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000000">
      <w:pPr>
        <w:spacing w:line="240" w:lineRule="auto"/>
        <w:ind w:firstLineChars="0" w:firstLine="0"/>
        <w:jc w:val="center"/>
        <w:rPr>
          <w:color w:val="000000"/>
        </w:rPr>
      </w:pPr>
      <w:r>
        <w:rPr>
          <w:color w:val="000F6F"/>
          <w:szCs w:val="21"/>
        </w:rPr>
        <w:fldChar w:fldCharType="end"/>
      </w: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000000">
      <w:pPr>
        <w:spacing w:line="240" w:lineRule="auto"/>
        <w:ind w:firstLineChars="0" w:firstLine="0"/>
        <w:jc w:val="center"/>
        <w:rPr>
          <w:color w:val="000000"/>
        </w:rPr>
      </w:pPr>
      <w:r>
        <w:rPr>
          <w:color w:val="000F6F"/>
          <w:szCs w:val="21"/>
        </w:rPr>
        <w:fldChar w:fldCharType="end"/>
      </w: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OLE_LINK8"/>
      <w:bookmarkStart w:id="21" w:name="_Toc229362563"/>
      <w:bookmarkEnd w:id="13"/>
      <w:bookmarkEnd w:id="14"/>
      <w:bookmarkEnd w:id="15"/>
      <w:bookmarkEnd w:id="16"/>
      <w:bookmarkEnd w:id="17"/>
      <w:bookmarkEnd w:id="18"/>
      <w:r>
        <w:rPr>
          <w:rFonts w:hint="eastAsia"/>
          <w:lang w:val="en-US"/>
        </w:rPr>
        <w:lastRenderedPageBreak/>
        <w:t>ABSTRAC</w:t>
      </w:r>
      <w:r>
        <w:rPr>
          <w:lang w:val="en-US"/>
        </w:rPr>
        <w:t>T</w:t>
      </w:r>
      <w:bookmarkEnd w:id="19"/>
      <w:bookmarkEnd w:id="21"/>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0"/>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hyperlink w:anchor="_Toc229362610" w:history="1">
        <w:r w:rsidRPr="00F13290">
          <w:rPr>
            <w:rStyle w:val="aff7"/>
            <w:noProof/>
          </w:rPr>
          <w:t>附录</w:t>
        </w:r>
        <w:r w:rsidRPr="00F13290">
          <w:rPr>
            <w:rStyle w:val="aff7"/>
            <w:noProof/>
          </w:rPr>
          <w:t>A Meta</w:t>
        </w:r>
        <w:r w:rsidRPr="00F13290">
          <w:rPr>
            <w:rStyle w:val="aff7"/>
            <w:noProof/>
          </w:rPr>
          <w:t>分析数据支撑信息</w:t>
        </w:r>
        <w:r>
          <w:rPr>
            <w:noProof/>
            <w:webHidden/>
          </w:rPr>
          <w:tab/>
        </w:r>
        <w:r>
          <w:rPr>
            <w:noProof/>
            <w:webHidden/>
          </w:rPr>
          <w:fldChar w:fldCharType="begin"/>
        </w:r>
        <w:r>
          <w:rPr>
            <w:noProof/>
            <w:webHidden/>
          </w:rPr>
          <w:instrText xml:space="preserve"> PAGEREF _Toc229362610 \h </w:instrText>
        </w:r>
        <w:r>
          <w:rPr>
            <w:noProof/>
            <w:webHidden/>
          </w:rPr>
        </w:r>
        <w:r>
          <w:rPr>
            <w:noProof/>
            <w:webHidden/>
          </w:rPr>
          <w:fldChar w:fldCharType="separate"/>
        </w:r>
        <w:r>
          <w:rPr>
            <w:noProof/>
            <w:webHidden/>
          </w:rPr>
          <w:t>29</w:t>
        </w:r>
        <w:r>
          <w:rPr>
            <w:noProof/>
            <w:webHidden/>
          </w:rPr>
          <w:fldChar w:fldCharType="end"/>
        </w:r>
      </w:hyperlink>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hyperlink w:anchor="_Toc229362611" w:history="1">
        <w:r w:rsidRPr="00F13290">
          <w:rPr>
            <w:rStyle w:val="aff7"/>
            <w:noProof/>
          </w:rPr>
          <w:t>致谢</w:t>
        </w:r>
        <w:r>
          <w:rPr>
            <w:noProof/>
            <w:webHidden/>
          </w:rPr>
          <w:tab/>
        </w:r>
        <w:r>
          <w:rPr>
            <w:noProof/>
            <w:webHidden/>
          </w:rPr>
          <w:fldChar w:fldCharType="begin"/>
        </w:r>
        <w:r>
          <w:rPr>
            <w:noProof/>
            <w:webHidden/>
          </w:rPr>
          <w:instrText xml:space="preserve"> PAGEREF _Toc229362611 \h </w:instrText>
        </w:r>
        <w:r>
          <w:rPr>
            <w:noProof/>
            <w:webHidden/>
          </w:rPr>
        </w:r>
        <w:r>
          <w:rPr>
            <w:noProof/>
            <w:webHidden/>
          </w:rPr>
          <w:fldChar w:fldCharType="separate"/>
        </w:r>
        <w:r>
          <w:rPr>
            <w:noProof/>
            <w:webHidden/>
          </w:rPr>
          <w:t>30</w:t>
        </w:r>
        <w:r>
          <w:rPr>
            <w:noProof/>
            <w:webHidden/>
          </w:rPr>
          <w:fldChar w:fldCharType="end"/>
        </w:r>
      </w:hyperlink>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hyperlink w:anchor="_Toc229362612" w:history="1">
        <w:r w:rsidRPr="00F13290">
          <w:rPr>
            <w:rStyle w:val="aff7"/>
            <w:noProof/>
          </w:rPr>
          <w:t>作者简历</w:t>
        </w:r>
        <w:r>
          <w:rPr>
            <w:noProof/>
            <w:webHidden/>
          </w:rPr>
          <w:tab/>
        </w:r>
        <w:r>
          <w:rPr>
            <w:noProof/>
            <w:webHidden/>
          </w:rPr>
          <w:fldChar w:fldCharType="begin"/>
        </w:r>
        <w:r>
          <w:rPr>
            <w:noProof/>
            <w:webHidden/>
          </w:rPr>
          <w:instrText xml:space="preserve"> PAGEREF _Toc229362612 \h </w:instrText>
        </w:r>
        <w:r>
          <w:rPr>
            <w:noProof/>
            <w:webHidden/>
          </w:rPr>
        </w:r>
        <w:r>
          <w:rPr>
            <w:noProof/>
            <w:webHidden/>
          </w:rPr>
          <w:fldChar w:fldCharType="separate"/>
        </w:r>
        <w:r>
          <w:rPr>
            <w:noProof/>
            <w:webHidden/>
          </w:rPr>
          <w:t>31</w:t>
        </w:r>
        <w:r>
          <w:rPr>
            <w:noProof/>
            <w:webHidden/>
          </w:rPr>
          <w:fldChar w:fldCharType="end"/>
        </w:r>
      </w:hyperlink>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OLE_LINK16"/>
      <w:bookmarkStart w:id="27" w:name="_Toc229362565"/>
      <w:r>
        <w:rPr>
          <w:rFonts w:hint="eastAsia"/>
        </w:rPr>
        <w:lastRenderedPageBreak/>
        <w:t>插图</w:t>
      </w:r>
      <w:r>
        <w:t>和附表清单</w:t>
      </w:r>
      <w:bookmarkEnd w:id="24"/>
      <w:bookmarkEnd w:id="25"/>
      <w:bookmarkEnd w:id="27"/>
    </w:p>
    <w:bookmarkEnd w:id="26"/>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095124B1" w14:textId="77777777" w:rsidR="00AF4612" w:rsidRDefault="00AF4612"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08F95EB7" w14:textId="77777777" w:rsidR="00AF4612" w:rsidRDefault="00AF4612"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61B33FBC" w14:textId="77777777" w:rsidR="00AF4612" w:rsidRDefault="00AF4612" w:rsidP="00747B0E">
      <w:pPr>
        <w:tabs>
          <w:tab w:val="right" w:leader="dot" w:pos="8856"/>
        </w:tabs>
        <w:ind w:firstLineChars="83" w:firstLine="199"/>
        <w:jc w:val="left"/>
      </w:pPr>
      <w:hyperlink w:anchor="Fig_3_3" w:history="1">
        <w:r>
          <w:t>图</w:t>
        </w:r>
        <w:r>
          <w:t xml:space="preserve"> 3-</w:t>
        </w:r>
        <w:r>
          <w:rPr>
            <w:rFonts w:hint="eastAsia"/>
          </w:rPr>
          <w:t>3</w:t>
        </w:r>
        <w:r>
          <w:t xml:space="preserve">  </w:t>
        </w:r>
        <w:r>
          <w:t>黄土高原不同农业生态系统</w:t>
        </w:r>
        <w:r>
          <w:t>N₂O</w:t>
        </w:r>
        <w:r>
          <w:t>排放对施氮量的响应及排放差异</w:t>
        </w:r>
        <w:r>
          <w:tab/>
          <w:t>12</w:t>
        </w:r>
      </w:hyperlink>
    </w:p>
    <w:p w14:paraId="34A10469" w14:textId="77777777" w:rsidR="00AF4612" w:rsidRDefault="00AF4612" w:rsidP="00747B0E">
      <w:pPr>
        <w:tabs>
          <w:tab w:val="right" w:leader="dot" w:pos="8856"/>
        </w:tabs>
        <w:ind w:firstLineChars="83" w:firstLine="199"/>
        <w:jc w:val="left"/>
      </w:pPr>
      <w:hyperlink w:anchor="Fig_3_4" w:history="1">
        <w:r>
          <w:t>图</w:t>
        </w:r>
        <w:r>
          <w:t xml:space="preserve"> 3-</w:t>
        </w:r>
        <w:r>
          <w:rPr>
            <w:rFonts w:hint="eastAsia"/>
          </w:rPr>
          <w:t>4</w:t>
        </w:r>
        <w:r>
          <w:t xml:space="preserve">  </w:t>
        </w:r>
        <w:r>
          <w:t>黄土高原不同农业生态系统直接排放因子和产量尺度排放比较</w:t>
        </w:r>
        <w:r>
          <w:tab/>
          <w:t>13</w:t>
        </w:r>
      </w:hyperlink>
    </w:p>
    <w:p w14:paraId="20330650" w14:textId="77777777" w:rsidR="00AF4612" w:rsidRDefault="00AF4612" w:rsidP="00747B0E">
      <w:pPr>
        <w:tabs>
          <w:tab w:val="right" w:leader="dot" w:pos="8856"/>
        </w:tabs>
        <w:ind w:left="199" w:firstLineChars="0" w:firstLine="1"/>
        <w:jc w:val="left"/>
      </w:pPr>
      <w:hyperlink w:anchor="Fig_3_5" w:history="1">
        <w:r>
          <w:t>图</w:t>
        </w:r>
        <w:r>
          <w:t xml:space="preserve"> 3-</w:t>
        </w:r>
        <w:r>
          <w:rPr>
            <w:rFonts w:hint="eastAsia"/>
          </w:rPr>
          <w:t>5</w:t>
        </w:r>
        <w:r>
          <w:t xml:space="preserve">  </w:t>
        </w:r>
        <w:r>
          <w:t>农作管理措施对</w:t>
        </w:r>
        <w:r>
          <w:t>N₂O</w:t>
        </w:r>
        <w:r>
          <w:t>排放、作物产量、产量尺度排放和直接排放因子的影响</w:t>
        </w:r>
        <w:r>
          <w:tab/>
          <w:t>15</w:t>
        </w:r>
      </w:hyperlink>
    </w:p>
    <w:p w14:paraId="6086008E" w14:textId="77777777" w:rsidR="00AF4612" w:rsidRDefault="00AF4612" w:rsidP="00747B0E">
      <w:pPr>
        <w:tabs>
          <w:tab w:val="right" w:leader="dot" w:pos="8856"/>
        </w:tabs>
        <w:ind w:left="240" w:firstLineChars="0" w:firstLine="0"/>
        <w:jc w:val="left"/>
      </w:pPr>
      <w:hyperlink w:anchor="Fig_3_6" w:history="1">
        <w:r>
          <w:t>图</w:t>
        </w:r>
        <w:r>
          <w:t xml:space="preserve"> 3-</w:t>
        </w:r>
        <w:r>
          <w:rPr>
            <w:rFonts w:hint="eastAsia"/>
          </w:rPr>
          <w:t>6</w:t>
        </w:r>
        <w:r>
          <w:t xml:space="preserve">  </w:t>
        </w:r>
        <w:r>
          <w:t>减量施氮对</w:t>
        </w:r>
        <w:r>
          <w:rPr>
            <w:rFonts w:hint="eastAsia"/>
          </w:rPr>
          <w:t xml:space="preserve"> </w:t>
        </w:r>
        <w:r>
          <w:t>N₂O</w:t>
        </w:r>
        <w:r>
          <w:rPr>
            <w:rFonts w:hint="eastAsia"/>
          </w:rPr>
          <w:t xml:space="preserve"> </w:t>
        </w:r>
        <w:r>
          <w:t>排放、作物产量、产量尺度排放和直接排放因子的影响</w:t>
        </w:r>
        <w:r>
          <w:tab/>
          <w:t>16</w:t>
        </w:r>
      </w:hyperlink>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r>
              <w:rPr>
                <w:sz w:val="21"/>
                <w:szCs w:val="21"/>
              </w:rPr>
              <w:t>lnRR</w:t>
            </w:r>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hyperlink w:anchor="ref_Ravishankara_2009" w:history="1">
        <w:r w:rsidR="00842031">
          <w:t>Ravishankara et al., 2009</w:t>
        </w:r>
      </w:hyperlink>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hyperlink w:anchor="ref_Davidson_2009" w:history="1">
        <w:r w:rsidR="00842031">
          <w:t>Davidson, 2009</w:t>
        </w:r>
      </w:hyperlink>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hyperlink w:anchor="ref_Tian_2024" w:history="1">
        <w:r w:rsidR="00842031">
          <w:t>Tian et al., 2024</w:t>
        </w:r>
      </w:hyperlink>
      <w:r>
        <w:t>）。这一格局的形成与现代农业对合成氮肥的高度依赖密切相关，氮肥投入量的急剧增加打破了土壤原有的氮素收支平衡，导致活性氮以</w:t>
      </w:r>
      <w:r>
        <w:t>N₂O</w:t>
      </w:r>
      <w:r>
        <w:t>形式的气态损失大幅增加（</w:t>
      </w:r>
      <w:hyperlink w:anchor="ref_Davidson_2009" w:history="1">
        <w:r w:rsidR="00842031">
          <w:t>Davidson, 2009</w:t>
        </w:r>
      </w:hyperlink>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hyperlink w:anchor="ref_Cui_2021" w:history="1">
        <w:r w:rsidR="00842031">
          <w:t>Cui et al., 2021</w:t>
        </w:r>
      </w:hyperlink>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hyperlink w:anchor="ref_Butterbach_Bahl_2013" w:history="1">
        <w:r w:rsidR="00842031">
          <w:t>Butterbach-Bahl et al., 2013</w:t>
        </w:r>
      </w:hyperlink>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hyperlink w:anchor="ref_Butterbach_Bahl_2013" w:history="1">
        <w:r w:rsidR="00842031">
          <w:t>Butterbach-Bahl et al., 2013</w:t>
        </w:r>
      </w:hyperlink>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hyperlink w:anchor="ref_Butterbach_Bahl_2013" w:history="1">
        <w:r w:rsidR="00842031">
          <w:t>Butterbach-Bahl et al.</w:t>
        </w:r>
        <w:r w:rsidR="00842031">
          <w:t>（</w:t>
        </w:r>
        <w:r w:rsidR="00842031">
          <w:t>2013</w:t>
        </w:r>
        <w:r w:rsidR="00842031">
          <w:t>）</w:t>
        </w:r>
      </w:hyperlink>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hyperlink w:anchor="ref_Gu_2017" w:history="1">
        <w:r w:rsidR="00842031">
          <w:t>Gu et al., 2017</w:t>
        </w:r>
      </w:hyperlink>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hyperlink w:anchor="ref_Cui_2021" w:history="1">
        <w:r w:rsidR="00842031">
          <w:t>Cui et al., 2021</w:t>
        </w:r>
      </w:hyperlink>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hyperlink w:anchor="ref_Cui_2021" w:history="1">
        <w:r w:rsidR="00842031">
          <w:t>Cui et al., 2021</w:t>
        </w:r>
      </w:hyperlink>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hyperlink w:anchor="ref_Liu_1999" w:history="1">
        <w:r w:rsidR="00842031">
          <w:t>Liu, 1999</w:t>
        </w:r>
      </w:hyperlink>
      <w:r>
        <w:t>）。该区域土壤母质以风积黄土为主，形成了以黄绵土、塿土为代表的土壤类型，其共同特征为质地疏松、大孔隙发育、侵蚀敏感性强，但有机质含量普遍偏低，土壤结构稳定性差（</w:t>
      </w:r>
      <w:hyperlink w:anchor="ref_Liu_1999" w:history="1">
        <w:r w:rsidR="00842031">
          <w:t>Liu, 1999</w:t>
        </w:r>
      </w:hyperlink>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hyperlink w:anchor="ref_An_2014" w:history="1">
        <w:r w:rsidR="00842031">
          <w:t>An et al., 2014</w:t>
        </w:r>
      </w:hyperlink>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hyperlink w:anchor="ref_An_2014" w:history="1">
        <w:r w:rsidR="00842031">
          <w:t>An et al., 2014</w:t>
        </w:r>
      </w:hyperlink>
      <w:r>
        <w:t>）。然而，长期高强度的坡地农耕加速了水土流失进程，土壤退化和耕地生产力下降的矛盾日趋突出（</w:t>
      </w:r>
      <w:hyperlink w:anchor="ref_Liu_1999" w:history="1">
        <w:r w:rsidR="00842031">
          <w:t>Liu, 1999</w:t>
        </w:r>
      </w:hyperlink>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hyperlink w:anchor="ref_Lv_2014" w:history="1">
        <w:r w:rsidR="00842031">
          <w:t>Lv et al., 2014</w:t>
        </w:r>
      </w:hyperlink>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hyperlink w:anchor="ref_Gu_2019" w:history="1">
        <w:r w:rsidR="00842031">
          <w:t>Gu et al., 2019</w:t>
        </w:r>
      </w:hyperlink>
      <w:r>
        <w:t>）。研究表明，果园生态系统可能是</w:t>
      </w:r>
      <w:r>
        <w:t>N₂O</w:t>
      </w:r>
      <w:r>
        <w:t>排放的热点源，其单位面积排放量明显高于谷物农田（</w:t>
      </w:r>
      <w:hyperlink w:anchor="ref_Gu_2019" w:history="1">
        <w:r w:rsidR="00842031">
          <w:t>Gu et al., 2019</w:t>
        </w:r>
      </w:hyperlink>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r>
        <w:t>nosZ</w:t>
      </w:r>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r>
        <w:t>lnRR</w:t>
      </w:r>
      <w:r>
        <w:t>）或标准化均值差（</w:t>
      </w:r>
      <w:r>
        <w:t>Hedges’d</w:t>
      </w:r>
      <w:r>
        <w:t>），并依据各研究的样本量和方差对其加权汇总，从而在最大化利用已有证据的基础上，给出统计效力更高、结论更为可靠的整合性估计（</w:t>
      </w:r>
      <w:hyperlink w:anchor="ref_Rosenberg_2024" w:history="1">
        <w:r w:rsidR="00842031">
          <w:t>Rosenberg, 2024</w:t>
        </w:r>
      </w:hyperlink>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hyperlink w:anchor="ref_Linquist_2012" w:history="1">
        <w:r w:rsidR="00842031">
          <w:t>Linquist et al.</w:t>
        </w:r>
        <w:r w:rsidR="00842031">
          <w:t>（</w:t>
        </w:r>
        <w:r w:rsidR="00842031">
          <w:t>2012</w:t>
        </w:r>
        <w:r w:rsidR="00842031">
          <w:t>）</w:t>
        </w:r>
      </w:hyperlink>
      <w:r>
        <w:t>率先对全球主要谷物作物（水稻、小麦、玉米）的温室气体排放和产量尺度排放进行了系统综合评估，量化了不同作物体系的排放基准。</w:t>
      </w:r>
      <w:hyperlink w:anchor="ref_Cui_2021" w:history="1">
        <w:r w:rsidR="00842031">
          <w:t>Cui et al.</w:t>
        </w:r>
        <w:r w:rsidR="00842031">
          <w:t>（</w:t>
        </w:r>
        <w:r w:rsidR="00842031">
          <w:t>2021</w:t>
        </w:r>
        <w:r w:rsidR="00842031">
          <w:t>）</w:t>
        </w:r>
      </w:hyperlink>
      <w:r>
        <w:t>进一步整合地理空间数据，绘制了精细化的全球作物特异性</w:t>
      </w:r>
      <w:r>
        <w:t>N₂O</w:t>
      </w:r>
      <w:r>
        <w:t>排放因子图谱，精准识别了</w:t>
      </w:r>
      <w:r>
        <w:t>N₂O</w:t>
      </w:r>
      <w:r>
        <w:t>减排的地理热点。</w:t>
      </w:r>
      <w:hyperlink w:anchor="ref_Yao_2024" w:history="1">
        <w:r w:rsidR="00842031">
          <w:t>Yao et al.</w:t>
        </w:r>
        <w:r w:rsidR="00842031">
          <w:t>（</w:t>
        </w:r>
        <w:r w:rsidR="00842031">
          <w:t>2024</w:t>
        </w:r>
        <w:r w:rsidR="00842031">
          <w:t>）</w:t>
        </w:r>
      </w:hyperlink>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hyperlink w:anchor="ref_Xu_2017" w:history="1">
        <w:r w:rsidR="00842031">
          <w:t>Xu et al., 2017</w:t>
        </w:r>
      </w:hyperlink>
      <w:r>
        <w:t>）。</w:t>
      </w:r>
    </w:p>
    <w:p w14:paraId="79CF3AB7" w14:textId="77777777" w:rsidR="00842031" w:rsidRDefault="00000000">
      <w:pPr>
        <w:pStyle w:val="afffe"/>
        <w:ind w:firstLine="480"/>
      </w:pPr>
      <w:r>
        <w:t>随着</w:t>
      </w:r>
      <w:r>
        <w:t xml:space="preserve"> MetaWin 3.0 </w:t>
      </w:r>
      <w:r>
        <w:t>和</w:t>
      </w:r>
      <w:r>
        <w:t xml:space="preserve"> R </w:t>
      </w:r>
      <w:r>
        <w:t>语言相关统计包的发展，</w:t>
      </w:r>
      <w:r>
        <w:t xml:space="preserve">Meta </w:t>
      </w:r>
      <w:r>
        <w:t>分析的实施过程逐渐从单一软件操作转向更加透明和可复现的计算流程。</w:t>
      </w:r>
      <w:r>
        <w:t xml:space="preserve">MetaWin 3.0 </w:t>
      </w:r>
      <w:r>
        <w:t>可用于效应值计算、随机效应模型拟合、异质性检验和</w:t>
      </w:r>
      <w:r>
        <w:t xml:space="preserve"> Bootstrap </w:t>
      </w:r>
      <w:r>
        <w:t>置信区间估计（</w:t>
      </w:r>
      <w:hyperlink w:anchor="ref_Rosenberg_2024" w:history="1">
        <w:r w:rsidR="00842031">
          <w:t>Rosenberg, 2024</w:t>
        </w:r>
      </w:hyperlink>
      <w:r>
        <w:t>）；</w:t>
      </w:r>
      <w:r>
        <w:t xml:space="preserve">R </w:t>
      </w:r>
      <w:r>
        <w:t>语言则在数据整理、描述统计、回归分析、效应值预处理、结果核对和图形绘制方面具有更强的灵活性。本研究采用</w:t>
      </w:r>
      <w:r>
        <w:t xml:space="preserve"> MetaWin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MetaWin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448094853"/>
      <w:bookmarkStart w:id="53" w:name="_Toc229362575"/>
      <w:r>
        <w:t>2.1</w:t>
      </w:r>
      <w:bookmarkEnd w:id="51"/>
      <w:r>
        <w:t>数据收集与文献筛选标准</w:t>
      </w:r>
      <w:bookmarkEnd w:id="53"/>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r>
        <w:t>GetData Graph Digitizer</w:t>
      </w:r>
      <w:r>
        <w:t>软件进行数字化提取。</w:t>
      </w:r>
    </w:p>
    <w:p w14:paraId="2A8D8DE2"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N₂O</w:t>
      </w:r>
      <w:r>
        <w:t>排放记录和</w:t>
      </w:r>
      <w:r>
        <w:t>311</w:t>
      </w:r>
      <w:r>
        <w:t>条作物产量记录。数据库信息包括试验地点经纬度、年均气温和年降水量、土壤黏粒含量、</w:t>
      </w:r>
      <w:r>
        <w:t>pH</w:t>
      </w:r>
      <w:r>
        <w:t>、有机碳含量、试验年份、种植制度、施氮量、氮肥类型、农艺措施</w:t>
      </w:r>
      <w:r>
        <w:t>N₂O</w:t>
      </w:r>
      <w:r>
        <w:t>排放量及作物产量等。研究区域覆盖黄土高原主要农业区，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w:t>
      </w:r>
      <w:r>
        <w:t>—</w:t>
      </w:r>
      <w:r>
        <w:t>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pPr>
      <w:bookmarkStart w:id="54" w:name="Fig_2_1"/>
      <w:r>
        <w:t>图</w:t>
      </w:r>
      <w:r>
        <w:t xml:space="preserve">2-1 </w:t>
      </w:r>
      <w:r>
        <w:t>黄土高原</w:t>
      </w:r>
      <w:r>
        <w:t>N₂O</w:t>
      </w:r>
      <w:r>
        <w:t>通量观测样点分布</w:t>
      </w:r>
      <w:bookmarkEnd w:id="54"/>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r>
        <w:t>lnRR</w:t>
      </w:r>
      <w:r>
        <w:t>）作为效应值，计算式为</w:t>
      </w:r>
      <w:r>
        <w:t xml:space="preserve"> lnRR = ln(Xₜ / Xc)</w:t>
      </w:r>
      <w:r>
        <w:t>，其中</w:t>
      </w:r>
      <w:r>
        <w:t xml:space="preserve"> Xₜ </w:t>
      </w:r>
      <w:r>
        <w:t>和</w:t>
      </w:r>
      <w:r>
        <w:t xml:space="preserve"> Xc </w:t>
      </w:r>
      <w:r>
        <w:t>分别为处理组和对照组均值。</w:t>
      </w:r>
      <w:r>
        <w:t xml:space="preserve">lnRR </w:t>
      </w:r>
      <w:r>
        <w:t>在结果展示时转换为百分比变化，即</w:t>
      </w:r>
      <w:r>
        <w:t xml:space="preserve"> [exp(lnRR)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lnRR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，仅说明当前数据不足，不据此判定显著增减效应。相应地，只有</w:t>
      </w:r>
      <w:r>
        <w:t xml:space="preserve"> refs ≥ 3 </w:t>
      </w:r>
      <w:r>
        <w:t>的项目才进入随机效应模型和显著性判断。因此，图</w:t>
      </w:r>
      <w:r>
        <w:t>3-5</w:t>
      </w:r>
      <w:r>
        <w:t>中标注</w:t>
      </w:r>
      <w:r>
        <w:t xml:space="preserve"> refs &lt; 3 </w:t>
      </w:r>
      <w:r>
        <w:t>的项目仅作数据不足说明，而图</w:t>
      </w:r>
      <w:r>
        <w:t>3-6</w:t>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2"/>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）（图</w:t>
      </w:r>
      <w:r>
        <w:t>3-1</w:t>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（图</w:t>
      </w:r>
      <w:r>
        <w:t>3-1</w:t>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e"/>
        <w:ind w:firstLine="420"/>
        <w:jc w:val="center"/>
        <w:rPr>
          <w:sz w:val="21"/>
          <w:szCs w:val="21"/>
        </w:rPr>
      </w:pPr>
      <w:bookmarkStart w:id="66" w:name="Fig_3_1"/>
      <w:r>
        <w:rPr>
          <w:sz w:val="21"/>
          <w:szCs w:val="21"/>
        </w:rPr>
        <w:t>图</w:t>
      </w:r>
      <w:r>
        <w:rPr>
          <w:sz w:val="21"/>
          <w:szCs w:val="21"/>
        </w:rPr>
        <w:t xml:space="preserve"> 3-1 </w:t>
      </w:r>
      <w:r>
        <w:rPr>
          <w:sz w:val="21"/>
          <w:szCs w:val="21"/>
        </w:rPr>
        <w:t>黄土高原主要粮食作物产量对施氮量的响应及产量差异</w:t>
      </w:r>
      <w:bookmarkEnd w:id="66"/>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w:t>
      </w:r>
      <w:r>
        <w:t>44.2 t ha⁻¹</w:t>
      </w:r>
      <w:r>
        <w:t>（范围</w:t>
      </w:r>
      <w:r>
        <w:t>12.0—93.4 t ha⁻¹</w:t>
      </w:r>
      <w:r>
        <w:t>，</w:t>
      </w:r>
      <w:r>
        <w:t>n = 25</w:t>
      </w:r>
      <w:r>
        <w:t>，</w:t>
      </w:r>
      <w:r>
        <w:t>CV = 38%</w:t>
      </w:r>
      <w:r>
        <w:t>），数据系列符合正态分布（</w:t>
      </w:r>
      <w:r>
        <w:t>p = 0.875</w:t>
      </w:r>
      <w:r>
        <w:t>）。图</w:t>
      </w:r>
      <w:r>
        <w:t>3-2</w:t>
      </w:r>
      <w:r>
        <w:t>的施氮量</w:t>
      </w:r>
      <w:r>
        <w:t>—</w:t>
      </w:r>
      <w:r>
        <w:t>产量关系拟合使用</w:t>
      </w:r>
      <w:r>
        <w:t>33</w:t>
      </w:r>
      <w:r>
        <w:t>条有产量和施氮量记录，包括</w:t>
      </w:r>
      <w:r>
        <w:t>8</w:t>
      </w:r>
      <w:r>
        <w:t>条不施氮对照和</w:t>
      </w:r>
      <w:r>
        <w:t>25</w:t>
      </w:r>
      <w:r>
        <w:t>条施氮处理；二次多项式关系不显著（</w:t>
      </w:r>
      <w:r>
        <w:t>R² = 0.101</w:t>
      </w:r>
      <w:r>
        <w:t>，二次项</w:t>
      </w:r>
      <w:r>
        <w:t xml:space="preserve"> p = 0.097</w:t>
      </w:r>
      <w:r>
        <w:t>）。其中，因极端天气事件（如霜冻）造成绝收的记录未纳入产量统计和施氮响应拟合。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e"/>
        <w:ind w:firstLine="420"/>
        <w:jc w:val="center"/>
        <w:rPr>
          <w:sz w:val="21"/>
          <w:szCs w:val="21"/>
        </w:rPr>
      </w:pPr>
      <w:bookmarkStart w:id="69" w:name="Fig_3_2"/>
      <w:r>
        <w:rPr>
          <w:sz w:val="21"/>
          <w:szCs w:val="21"/>
        </w:rPr>
        <w:t>图</w:t>
      </w:r>
      <w:r>
        <w:rPr>
          <w:sz w:val="21"/>
          <w:szCs w:val="21"/>
        </w:rPr>
        <w:t xml:space="preserve"> 3-</w:t>
      </w:r>
      <w:r>
        <w:rPr>
          <w:rFonts w:hint="eastAsia"/>
          <w:sz w:val="21"/>
          <w:szCs w:val="21"/>
        </w:rPr>
        <w:t>2</w:t>
      </w:r>
      <w:r>
        <w:rPr>
          <w:sz w:val="21"/>
          <w:szCs w:val="21"/>
        </w:rPr>
        <w:t>苹果产量与施氮量的关系</w:t>
      </w:r>
      <w:bookmarkEnd w:id="69"/>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hyperlink w:anchor="Fig_3_3" w:history="1">
        <w:r w:rsidR="00842031">
          <w:t>图</w:t>
        </w:r>
        <w:r w:rsidR="00842031">
          <w:t>3-3</w:t>
        </w:r>
      </w:hyperlink>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rsidR="00842031">
          <w:t>图</w:t>
        </w:r>
        <w:r w:rsidR="00842031">
          <w:t>3-3</w:t>
        </w:r>
      </w:hyperlink>
      <w:r>
        <w:t>）。</w:t>
      </w:r>
    </w:p>
    <w:p w14:paraId="48125745"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rsidR="00842031">
          <w:t>图</w:t>
        </w:r>
        <w:r w:rsidR="00842031">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e"/>
        <w:ind w:firstLine="420"/>
        <w:jc w:val="center"/>
        <w:rPr>
          <w:sz w:val="21"/>
          <w:szCs w:val="21"/>
        </w:rPr>
      </w:pPr>
      <w:bookmarkStart w:id="73" w:name="Fig_3_3"/>
      <w:r>
        <w:rPr>
          <w:rFonts w:hint="eastAsia"/>
          <w:sz w:val="21"/>
          <w:szCs w:val="21"/>
        </w:rPr>
        <w:t>图</w:t>
      </w:r>
      <w:r>
        <w:rPr>
          <w:sz w:val="21"/>
          <w:szCs w:val="21"/>
        </w:rPr>
        <w:t xml:space="preserve"> 3-3 </w:t>
      </w:r>
      <w:r>
        <w:rPr>
          <w:rFonts w:hint="eastAsia"/>
          <w:sz w:val="21"/>
          <w:szCs w:val="21"/>
        </w:rPr>
        <w:t>黄土高原不同农业生态系统</w:t>
      </w:r>
      <w:r>
        <w:rPr>
          <w:rFonts w:cs="Times New Roman"/>
          <w:sz w:val="21"/>
          <w:szCs w:val="21"/>
        </w:rPr>
        <w:t>N₂O</w:t>
      </w:r>
      <w:r>
        <w:rPr>
          <w:rFonts w:hint="eastAsia"/>
          <w:sz w:val="21"/>
          <w:szCs w:val="21"/>
        </w:rPr>
        <w:t>排放对施氮量的响应及排放差异</w:t>
      </w:r>
      <w:bookmarkEnd w:id="73"/>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hyperlink w:anchor="Fig_3_4" w:history="1">
        <w:r w:rsidR="00842031">
          <w:t>图</w:t>
        </w:r>
        <w:r w:rsidR="00842031">
          <w:t>3-4A</w:t>
        </w:r>
      </w:hyperlink>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hyperlink w:anchor="Fig_3_4" w:history="1">
        <w:r w:rsidR="00842031">
          <w:t>图</w:t>
        </w:r>
        <w:r w:rsidR="00842031">
          <w:t>3-4A</w:t>
        </w:r>
      </w:hyperlink>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rsidR="00842031">
          <w:t>图</w:t>
        </w:r>
        <w:r w:rsidR="00842031">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3"/>
        <w:jc w:val="center"/>
      </w:pPr>
      <w:bookmarkStart w:id="76" w:name="Fig_3_4"/>
      <w:r>
        <w:t>图</w:t>
      </w:r>
      <w:r>
        <w:t xml:space="preserve"> 3-4 </w:t>
      </w:r>
      <w:r>
        <w:t>黄土高原不同农业生态系统直接排放因子和产量尺度排放比较</w:t>
      </w:r>
      <w:bookmarkEnd w:id="76"/>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w:t>
      </w:r>
      <w:r>
        <w:t xml:space="preserve"> N₂O </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）（图</w:t>
      </w:r>
      <w:r>
        <w:t xml:space="preserve"> 3-5</w:t>
      </w:r>
      <w:r>
        <w:t>）。分类分析显示，粪肥施用显著降低</w:t>
      </w:r>
      <w:r>
        <w:t xml:space="preserve"> N₂O </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t xml:space="preserve"> N₂O </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w:t>
      </w:r>
      <w:r>
        <w:t xml:space="preserve"> N₂O </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）（图</w:t>
      </w:r>
      <w:r>
        <w:t xml:space="preserve"> 3-5</w:t>
      </w:r>
      <w:r>
        <w:t>）。地膜覆盖对</w:t>
      </w:r>
      <w:r>
        <w:t xml:space="preserve"> N₂O </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t xml:space="preserve"> N₂O </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w:t>
      </w:r>
      <w:r>
        <w:t xml:space="preserve"> N₂O </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）（图</w:t>
      </w:r>
      <w:r>
        <w:t xml:space="preserve"> 3-5</w:t>
      </w:r>
      <w:r>
        <w:t>）；其对</w:t>
      </w:r>
      <w:r>
        <w:t xml:space="preserve"> EF </w:t>
      </w:r>
      <w:r>
        <w:t>的影响因支持文献少于</w:t>
      </w:r>
      <w:r>
        <w:t xml:space="preserve"> 3 </w:t>
      </w:r>
      <w:r>
        <w:t>篇未作合并效应判断。增效肥料显著降低</w:t>
      </w:r>
      <w:r>
        <w:t xml:space="preserve"> N₂O </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rPr>
          <w:lang w:val="en"/>
        </w:rPr>
      </w:pPr>
      <w:bookmarkStart w:id="82" w:name="Fig_3_5"/>
      <w:r>
        <w:t>图</w:t>
      </w:r>
      <w:r>
        <w:t xml:space="preserve"> 3-5 </w:t>
      </w:r>
      <w:r>
        <w:t>农作管理措施对</w:t>
      </w:r>
      <w:r>
        <w:t xml:space="preserve"> N₂O </w:t>
      </w:r>
      <w:r>
        <w:t>排放、作物产量、产量尺度排放和直接排放因子的影响</w:t>
      </w:r>
      <w:bookmarkEnd w:id="82"/>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77777777" w:rsidR="00842031" w:rsidRDefault="00000000">
      <w:pPr>
        <w:ind w:firstLine="480"/>
      </w:pPr>
      <w:r>
        <w:t>减量施氮总体显著降低</w:t>
      </w:r>
      <w:r>
        <w:t xml:space="preserve"> N₂O </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）（图</w:t>
      </w:r>
      <w:r>
        <w:t xml:space="preserve"> 3-6</w:t>
      </w:r>
      <w:r>
        <w:t>）。分作物类型分析，减量施氮使春玉米和春小麦</w:t>
      </w:r>
      <w:r>
        <w:t xml:space="preserve"> N₂O </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 xml:space="preserve"> N₂O </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t xml:space="preserve"> N₂O </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t xml:space="preserve"> N₂O </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 d = 0.27</w:t>
      </w:r>
      <w:r>
        <w:t>，</w:t>
      </w:r>
      <w:r>
        <w:t>95% CI</w:t>
      </w:r>
      <w:r>
        <w:t>：</w:t>
      </w:r>
      <w:r>
        <w:t>−0.53</w:t>
      </w:r>
      <w:r>
        <w:t>至</w:t>
      </w:r>
      <w:r>
        <w:t xml:space="preserve"> 1.03</w:t>
      </w:r>
      <w:r>
        <w:t>）。</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pPr>
      <w:bookmarkStart w:id="84" w:name="Fig_3_6"/>
      <w:r>
        <w:t>图</w:t>
      </w:r>
      <w:r>
        <w:t xml:space="preserve"> 3-6 </w:t>
      </w:r>
      <w:r>
        <w:t>减量施氮对</w:t>
      </w:r>
      <w:r>
        <w:t xml:space="preserve"> N₂O </w:t>
      </w:r>
      <w:r>
        <w:t>排放、作物产量、产量尺度排放和直接排放因子的影响</w:t>
      </w:r>
      <w:bookmarkEnd w:id="84"/>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hyperlink w:anchor="Tab_4_1" w:history="1">
        <w:r w:rsidR="00842031">
          <w:t>表</w:t>
        </w:r>
        <w:r w:rsidR="00842031">
          <w:t>4-1</w:t>
        </w:r>
      </w:hyperlink>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hyperlink w:anchor="ref_Linquist_2012" w:history="1">
        <w:r w:rsidR="00842031">
          <w:t>Linquist et al., 2012</w:t>
        </w:r>
      </w:hyperlink>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rsidR="00842031">
          <w:t>表</w:t>
        </w:r>
        <w:r w:rsidR="00842031">
          <w:t>4-1</w:t>
        </w:r>
      </w:hyperlink>
      <w:r>
        <w:t>）。上述结果表明，黄土高原区域</w:t>
      </w:r>
      <w:r>
        <w:t>N₂O</w:t>
      </w:r>
      <w:r>
        <w:t>排放总量与全球尺度研究结论基本吻合。</w:t>
      </w:r>
    </w:p>
    <w:p w14:paraId="5CA96065" w14:textId="77777777" w:rsidR="00842031" w:rsidRDefault="00000000">
      <w:pPr>
        <w:pStyle w:val="afff1"/>
        <w:rPr>
          <w:lang w:val="en"/>
        </w:rPr>
      </w:pPr>
      <w:bookmarkStart w:id="89" w:name="Tab_4_1"/>
      <w:bookmarkStart w:id="9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89"/>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pPr>
      <w:bookmarkStart w:id="92"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92"/>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0.31%—0.37%</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1.19—1.25 kg N ha⁻¹</w:t>
      </w:r>
      <w:r>
        <w:t>）比全球平均值（</w:t>
      </w:r>
      <w:r>
        <w:t>0.59—0.73 kg N ha⁻¹</w:t>
      </w:r>
      <w:r>
        <w:t>）高约</w:t>
      </w:r>
      <w:r>
        <w:t>63%—112%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hyperlink w:anchor="Tab_4_1" w:history="1">
        <w:r w:rsidR="00842031">
          <w:t>表</w:t>
        </w:r>
        <w:r w:rsidR="00842031">
          <w:t>4-1</w:t>
        </w:r>
      </w:hyperlink>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w:t>
      </w:r>
      <w:r>
        <w:t>N₂O</w:t>
      </w:r>
      <w:r>
        <w:t>排放、作物产量和产量尺度排放的综合效应并不完全一致。当前</w:t>
      </w:r>
      <w:r>
        <w:t>Meta</w:t>
      </w:r>
      <w:r>
        <w:t>分析显示，有机物料投入总体对产量和产量尺度排放的影响均未达到显著水平，说明不宜笼统认为有机物料投入具有稳定增产或降低</w:t>
      </w:r>
      <w:r>
        <w:t>YSE</w:t>
      </w:r>
      <w:r>
        <w:t>效应。分措施看，粪肥施用显著降低</w:t>
      </w:r>
      <w:r>
        <w:t>N₂O</w:t>
      </w:r>
      <w:r>
        <w:t>排放（</w:t>
      </w:r>
      <w:r>
        <w:t>-7.4%</w:t>
      </w:r>
      <w:r>
        <w:t>，</w:t>
      </w:r>
      <w:r>
        <w:t>95% CI</w:t>
      </w:r>
      <w:r>
        <w:t>：</w:t>
      </w:r>
      <w:r>
        <w:t>[-13.0%</w:t>
      </w:r>
      <w:r>
        <w:t>，</w:t>
      </w:r>
      <w:r>
        <w:t>-1.3%]</w:t>
      </w:r>
      <w:r>
        <w:t>），并显著降低产量尺度排放（</w:t>
      </w:r>
      <w:r>
        <w:t>-16.6%</w:t>
      </w:r>
      <w:r>
        <w:t>，</w:t>
      </w:r>
      <w:r>
        <w:t>95% CI</w:t>
      </w:r>
      <w:r>
        <w:t>：</w:t>
      </w:r>
      <w:r>
        <w:t>[-27.5%</w:t>
      </w:r>
      <w:r>
        <w:t>，</w:t>
      </w:r>
      <w:r>
        <w:t>-3.6%]</w:t>
      </w:r>
      <w:r>
        <w:t>），但其对作物产量的促进作用不显著，</w:t>
      </w:r>
      <w:r>
        <w:t>EF</w:t>
      </w:r>
      <w:r>
        <w:t>降低也未达到显著水平（</w:t>
      </w:r>
      <w:r>
        <w:t>Hedges’ d = -0.59</w:t>
      </w:r>
      <w:r>
        <w:t>，</w:t>
      </w:r>
      <w:r>
        <w:t>95% CI</w:t>
      </w:r>
      <w:r>
        <w:t>：</w:t>
      </w:r>
      <w:r>
        <w:t>[-1.18</w:t>
      </w:r>
      <w:r>
        <w:t>，</w:t>
      </w:r>
      <w:r>
        <w:t>0.03]</w:t>
      </w:r>
      <w:r>
        <w:t>）（图</w:t>
      </w:r>
      <w:r>
        <w:t>3-5</w:t>
      </w:r>
      <w:r>
        <w:t>）。相比之下，秸秆还田显著增加</w:t>
      </w:r>
      <w:r>
        <w:t>N₂O</w:t>
      </w:r>
      <w:r>
        <w:t>排放（</w:t>
      </w:r>
      <w:r>
        <w:t>+10.2%</w:t>
      </w:r>
      <w:r>
        <w:t>，</w:t>
      </w:r>
      <w:r>
        <w:t>95% CI</w:t>
      </w:r>
      <w:r>
        <w:t>：</w:t>
      </w:r>
      <w:r>
        <w:t>[+3.6%</w:t>
      </w:r>
      <w:r>
        <w:t>，</w:t>
      </w:r>
      <w:r>
        <w:t>+16.2%]</w:t>
      </w:r>
      <w:r>
        <w:t>），而对产量和产量尺度排放的影响不显著，</w:t>
      </w:r>
      <w:r>
        <w:t>EF</w:t>
      </w:r>
      <w:r>
        <w:t>因独立文献数不足不作合并判断。秸秆还田促进</w:t>
      </w:r>
      <w:r>
        <w:t>N₂O</w:t>
      </w:r>
      <w:r>
        <w:t>排放，可能与其向土壤输入额外有机碳和氮源、增强反硝化过程有关（</w:t>
      </w:r>
      <w:r>
        <w:t>Abalos et al., 2022; Shan and Yan, 2013</w:t>
      </w:r>
      <w:r>
        <w:t>）。因此，粪肥施用的减排证据较秸秆还田更直接，但其</w:t>
      </w:r>
      <w:r>
        <w:t>EF</w:t>
      </w:r>
      <w:r>
        <w:t>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w:t>
      </w:r>
      <w:r>
        <w:t>N₂O</w:t>
      </w:r>
      <w:r>
        <w:t>排放，但二者在产量和其他指标上的证据强度不同。生物炭添加显著降低</w:t>
      </w:r>
      <w:r>
        <w:t>N₂O</w:t>
      </w:r>
      <w:r>
        <w:t>排放（</w:t>
      </w:r>
      <w:r>
        <w:t>-9.7%</w:t>
      </w:r>
      <w:r>
        <w:t>，</w:t>
      </w:r>
      <w:r>
        <w:t>95% CI</w:t>
      </w:r>
      <w:r>
        <w:t>：</w:t>
      </w:r>
      <w:r>
        <w:t>[-13.7%</w:t>
      </w:r>
      <w:r>
        <w:t>，</w:t>
      </w:r>
      <w:r>
        <w:t>-4.9%]</w:t>
      </w:r>
      <w:r>
        <w:t>），同时显著提高作物产量（</w:t>
      </w:r>
      <w:r>
        <w:t>+10.4%</w:t>
      </w:r>
      <w:r>
        <w:t>，</w:t>
      </w:r>
      <w:r>
        <w:t>95% CI</w:t>
      </w:r>
      <w:r>
        <w:t>：</w:t>
      </w:r>
      <w:r>
        <w:t>[+7.7%</w:t>
      </w:r>
      <w:r>
        <w:t>，</w:t>
      </w:r>
      <w:r>
        <w:t>+13.1%]</w:t>
      </w:r>
      <w:r>
        <w:t>），并降低产量尺度排放（</w:t>
      </w:r>
      <w:r>
        <w:t>-17.8%</w:t>
      </w:r>
      <w:r>
        <w:t>，</w:t>
      </w:r>
      <w:r>
        <w:t>95% CI</w:t>
      </w:r>
      <w:r>
        <w:t>：</w:t>
      </w:r>
      <w:r>
        <w:t>[-21.8%</w:t>
      </w:r>
      <w:r>
        <w:t>，</w:t>
      </w:r>
      <w:r>
        <w:t>-13.8%]</w:t>
      </w:r>
      <w:r>
        <w:t>）（图</w:t>
      </w:r>
      <w:r>
        <w:t>3-5</w:t>
      </w:r>
      <w:r>
        <w:t>），因此不能再解释为</w:t>
      </w:r>
      <w:r>
        <w:t>“</w:t>
      </w:r>
      <w:r>
        <w:t>对产量无显著影响</w:t>
      </w:r>
      <w:r>
        <w:t>”</w:t>
      </w:r>
      <w:r>
        <w:t>。这一增产效应可能与生物炭改善土壤孔隙结构、提高养分保持能力和缓解干旱胁迫有关；但其</w:t>
      </w:r>
      <w:r>
        <w:t>EF</w:t>
      </w:r>
      <w:r>
        <w:t>效应因独立文献数不足，仍不作正式合并判断。增效肥料的证据主要体现在</w:t>
      </w:r>
      <w:r>
        <w:t>N₂O</w:t>
      </w:r>
      <w:r>
        <w:t>减排上，其使</w:t>
      </w:r>
      <w:r>
        <w:t>N₂O</w:t>
      </w:r>
      <w:r>
        <w:t>排放显著降低（</w:t>
      </w:r>
      <w:r>
        <w:t>-19.1%</w:t>
      </w:r>
      <w:r>
        <w:t>，</w:t>
      </w:r>
      <w:r>
        <w:t>95% CI</w:t>
      </w:r>
      <w:r>
        <w:t>：</w:t>
      </w:r>
      <w:r>
        <w:t>[-25.8%</w:t>
      </w:r>
      <w:r>
        <w:t>，</w:t>
      </w:r>
      <w:r>
        <w:t>-13.3%]</w:t>
      </w:r>
      <w:r>
        <w:t>），符合硝化抑制剂、脲酶抑制剂和缓控释肥通过延缓氮素转化、降低短期无机氮峰值而减少</w:t>
      </w:r>
      <w:r>
        <w:t>N₂O</w:t>
      </w:r>
      <w:r>
        <w:t>产生的机理；但其产量、产量尺度排放和</w:t>
      </w:r>
      <w:r>
        <w:t>EF</w:t>
      </w:r>
      <w:r>
        <w:t>结果均受</w:t>
      </w:r>
      <w:r>
        <w:t>refs &lt; 3</w:t>
      </w:r>
      <w:r>
        <w:t>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w:t>
      </w:r>
      <w:r>
        <w:t>N₂O</w:t>
      </w:r>
      <w:r>
        <w:t>排放、产量尺度排放和</w:t>
      </w:r>
      <w:r>
        <w:t>EF</w:t>
      </w:r>
      <w:r>
        <w:t>方面效果较直接，但其产量效应取决于减氮幅度。总体上，减量施氮显著降低</w:t>
      </w:r>
      <w:r>
        <w:t>N₂O</w:t>
      </w:r>
      <w:r>
        <w:t>排放（</w:t>
      </w:r>
      <w:r>
        <w:t>-31.8%</w:t>
      </w:r>
      <w:r>
        <w:t>）、产量尺度排放（</w:t>
      </w:r>
      <w:r>
        <w:t>-27.4%</w:t>
      </w:r>
      <w:r>
        <w:t>）和</w:t>
      </w:r>
      <w:r>
        <w:t>EF</w:t>
      </w:r>
      <w:r>
        <w:t>（</w:t>
      </w:r>
      <w:r>
        <w:t>Hedges’ d = -0.38</w:t>
      </w:r>
      <w:r>
        <w:t>），同时对作物产量存在小幅但显著负效应（</w:t>
      </w:r>
      <w:r>
        <w:t>-5.1%</w:t>
      </w:r>
      <w:r>
        <w:t>）（图</w:t>
      </w:r>
      <w:r>
        <w:t>3-6</w:t>
      </w:r>
      <w:r>
        <w:t>）。分幅度看，减氮</w:t>
      </w:r>
      <w:r>
        <w:t>&lt;25%</w:t>
      </w:r>
      <w:r>
        <w:t>显著降低</w:t>
      </w:r>
      <w:r>
        <w:t>N₂O</w:t>
      </w:r>
      <w:r>
        <w:t>排放（</w:t>
      </w:r>
      <w:r>
        <w:t>-27.6%</w:t>
      </w:r>
      <w:r>
        <w:t>）、产量尺度排放（</w:t>
      </w:r>
      <w:r>
        <w:t>-26.8%</w:t>
      </w:r>
      <w:r>
        <w:t>）和</w:t>
      </w:r>
      <w:r>
        <w:t>EF</w:t>
      </w:r>
      <w:r>
        <w:t>（</w:t>
      </w:r>
      <w:r>
        <w:t>Hedges’ d = -1.31</w:t>
      </w:r>
      <w:r>
        <w:t>），且对产量影响不显著，说明当前数据支持其具有稳产减排潜力；减氮</w:t>
      </w:r>
      <w:r>
        <w:t>25%–50%</w:t>
      </w:r>
      <w:r>
        <w:t>同样显著降低</w:t>
      </w:r>
      <w:r>
        <w:t>N₂O</w:t>
      </w:r>
      <w:r>
        <w:t>排放、产量尺度排放和</w:t>
      </w:r>
      <w:r>
        <w:t>EF</w:t>
      </w:r>
      <w:r>
        <w:t>，产量影响不显著；减氮</w:t>
      </w:r>
      <w:r>
        <w:t>&gt;50%</w:t>
      </w:r>
      <w:r>
        <w:t>虽然</w:t>
      </w:r>
      <w:r>
        <w:t>N₂O</w:t>
      </w:r>
      <w:r>
        <w:t>减排幅度最大，但会造成显著产量损失。考虑到不同作物的氮肥依赖程度和长期土壤氮库响应可能不同，减氮</w:t>
      </w:r>
      <w:r>
        <w:t>&lt;25%</w:t>
      </w:r>
      <w:r>
        <w:t>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hyperlink w:anchor="Fig_3_6" w:history="1">
        <w:r w:rsidR="00842031">
          <w:t>图</w:t>
        </w:r>
        <w:r w:rsidR="00842031">
          <w:t>3-6</w:t>
        </w:r>
      </w:hyperlink>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w:t>
      </w:r>
      <w:r>
        <w:t>N₂O</w:t>
      </w:r>
      <w:r>
        <w:t>排放较高，提示大规模</w:t>
      </w:r>
      <w:r>
        <w:t>“</w:t>
      </w:r>
      <w:r>
        <w:t>粮改果</w:t>
      </w:r>
      <w:r>
        <w:t>”</w:t>
      </w:r>
      <w:r>
        <w:t>可能增加区域农业</w:t>
      </w:r>
      <w:r>
        <w:t>N₂O</w:t>
      </w:r>
      <w:r>
        <w:t>排放风险；其对区域总排放量的实际贡献仍需结合果园面积变化、施氮水平和管理强度进一步估算。进一步分析表明，苹果果园的高排放主要源于高施氮量驱动（图</w:t>
      </w:r>
      <w:r>
        <w:t>3-3</w:t>
      </w:r>
      <w:r>
        <w:t>），而各体系的</w:t>
      </w:r>
      <w:r>
        <w:t>EF</w:t>
      </w:r>
      <w:r>
        <w:t>和排放系数并无显著差异。这意味着优化苹果园氮肥施用量是降低其</w:t>
      </w:r>
      <w:r>
        <w:t>N₂O</w:t>
      </w:r>
      <w:r>
        <w:t>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可作为解决该问题的可行途径：一方面通过发展畜牧业提高农民收益，另一方面兼顾减少秸秆直接还田造成的温室气体排放，实现农牧结合、碳氮协同管理的新模式。在</w:t>
      </w:r>
      <w:r>
        <w:t>”</w:t>
      </w:r>
      <w:r>
        <w:t>双碳</w:t>
      </w:r>
      <w:r>
        <w:t>”</w:t>
      </w:r>
      <w:r>
        <w:t>战</w:t>
      </w:r>
      <w:r>
        <w:lastRenderedPageBreak/>
        <w:t>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Abalos D, Recous S, Butterbach-Bahl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r>
        <w:t>An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r>
        <w:t>Butterbach-Bahl K, Baggs E M, Dannenmann M, et al., 2013. Nitrous oxide emissions from soils: How well do we understand the processes and their controls?[J].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Gao N, Wei Y, Zhang W W,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Gu J, Nicoullaud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Gu J, Nicoullaud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Gu J, Guo H, Xiang H, 2020. The utility of a boundary line approach for simulating denitrification and nitrous oxide emissions from a Regosol under summer maize-winter wheat crop rotation in Southwest China[J]. Geoderma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Jeffery S, Abalos D, Prodana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Linquist B, Van Groenigen K J, Adviento-Borbe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Liu G, 1999. Soil Conservation and Sustainable Agriculture on the Loess Plateau: Challenges and prospects[J]. Ambio,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r>
        <w:t>Lv M Q, Xia Z L, Wang J J,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r>
        <w:t>Ravishankara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Rosenberg M S, 2024. MetaWin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(1980-2020)[J]. Earth System Science Data, 16: 2543-2604. https://doi.org/10.5194/essd-16-2543-2024</w:t>
      </w:r>
      <w:bookmarkEnd w:id="146"/>
    </w:p>
    <w:p w14:paraId="239E34E2" w14:textId="77777777" w:rsidR="00B85942" w:rsidRDefault="00000000">
      <w:pPr>
        <w:pStyle w:val="affc"/>
        <w:ind w:left="420" w:hanging="420"/>
      </w:pPr>
      <w:bookmarkStart w:id="147" w:name="ref_US_EPA_2025"/>
      <w:r>
        <w:t>US EPA, 2025. Understanding Global Warming Potentials[EB/OL].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Wei X R, Hao M D, Xue X H, et al., 2010. Nitrous oxide emission from highland winter wheat field after long-term fertilization[J]. Biogeosciences,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r>
        <w:t>Yangjin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rFonts w:hint="eastAsia"/>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5BDA37D9" w14:textId="77777777" w:rsidR="00E7573F" w:rsidRPr="00E7573F" w:rsidRDefault="00E7573F" w:rsidP="00E7573F">
            <w:pPr>
              <w:ind w:firstLineChars="0" w:firstLine="0"/>
              <w:jc w:val="center"/>
              <w:rPr>
                <w:sz w:val="21"/>
                <w:szCs w:val="21"/>
              </w:rPr>
            </w:pPr>
            <w:r w:rsidRPr="00E7573F">
              <w:rPr>
                <w:sz w:val="21"/>
                <w:szCs w:val="21"/>
              </w:rPr>
              <w:t>图号</w:t>
            </w:r>
          </w:p>
        </w:tc>
        <w:tc>
          <w:tcPr>
            <w:tcW w:w="1955" w:type="dxa"/>
            <w:tcBorders>
              <w:top w:val="single" w:sz="12" w:space="0" w:color="auto"/>
              <w:bottom w:val="single" w:sz="4" w:space="0" w:color="auto"/>
            </w:tcBorders>
            <w:vAlign w:val="center"/>
            <w:hideMark/>
          </w:tcPr>
          <w:p w14:paraId="5D9D6429" w14:textId="77777777" w:rsidR="00E7573F" w:rsidRPr="00E7573F" w:rsidRDefault="00E7573F" w:rsidP="00E7573F">
            <w:pPr>
              <w:ind w:firstLineChars="0" w:firstLine="0"/>
              <w:jc w:val="center"/>
              <w:rPr>
                <w:sz w:val="21"/>
                <w:szCs w:val="21"/>
              </w:rPr>
            </w:pPr>
            <w:r w:rsidRPr="00E7573F">
              <w:rPr>
                <w:sz w:val="21"/>
                <w:szCs w:val="21"/>
              </w:rPr>
              <w:t>类别</w:t>
            </w:r>
          </w:p>
        </w:tc>
        <w:tc>
          <w:tcPr>
            <w:tcW w:w="2060" w:type="dxa"/>
            <w:tcBorders>
              <w:top w:val="single" w:sz="12" w:space="0" w:color="auto"/>
              <w:bottom w:val="single" w:sz="4" w:space="0" w:color="auto"/>
            </w:tcBorders>
            <w:vAlign w:val="center"/>
            <w:hideMark/>
          </w:tcPr>
          <w:p w14:paraId="7A185B0C" w14:textId="532B5FB7" w:rsidR="00E7573F" w:rsidRPr="00E7573F" w:rsidRDefault="00E7573F" w:rsidP="00E7573F">
            <w:pPr>
              <w:ind w:firstLineChars="0" w:firstLine="0"/>
              <w:jc w:val="center"/>
              <w:rPr>
                <w:sz w:val="21"/>
                <w:szCs w:val="21"/>
              </w:rPr>
            </w:pPr>
            <w:r w:rsidRPr="00E7573F">
              <w:rPr>
                <w:sz w:val="21"/>
                <w:szCs w:val="21"/>
              </w:rPr>
              <w:t>N₂O</w:t>
            </w:r>
            <w:r w:rsidRPr="00E7573F">
              <w:rPr>
                <w:sz w:val="21"/>
                <w:szCs w:val="21"/>
              </w:rPr>
              <w:t>有效效应量</w:t>
            </w:r>
            <w:r w:rsidRPr="00E7573F">
              <w:rPr>
                <w:sz w:val="21"/>
                <w:szCs w:val="21"/>
              </w:rPr>
              <w:t>k</w:t>
            </w:r>
          </w:p>
        </w:tc>
        <w:tc>
          <w:tcPr>
            <w:tcW w:w="2238" w:type="dxa"/>
            <w:tcBorders>
              <w:top w:val="single" w:sz="12" w:space="0" w:color="auto"/>
              <w:bottom w:val="single" w:sz="4" w:space="0" w:color="auto"/>
            </w:tcBorders>
            <w:vAlign w:val="center"/>
            <w:hideMark/>
          </w:tcPr>
          <w:p w14:paraId="1369D99E" w14:textId="77777777" w:rsidR="00E7573F" w:rsidRPr="00E7573F" w:rsidRDefault="00E7573F" w:rsidP="00E7573F">
            <w:pPr>
              <w:ind w:firstLineChars="0" w:firstLine="0"/>
              <w:jc w:val="center"/>
              <w:rPr>
                <w:sz w:val="21"/>
                <w:szCs w:val="21"/>
              </w:rPr>
            </w:pPr>
            <w:r w:rsidRPr="00E7573F">
              <w:rPr>
                <w:sz w:val="21"/>
                <w:szCs w:val="21"/>
              </w:rPr>
              <w:t>产量有效效应量</w:t>
            </w:r>
            <w:r w:rsidRPr="00E7573F">
              <w:rPr>
                <w:sz w:val="21"/>
                <w:szCs w:val="21"/>
              </w:rPr>
              <w:t xml:space="preserve"> k</w:t>
            </w:r>
          </w:p>
        </w:tc>
        <w:tc>
          <w:tcPr>
            <w:tcW w:w="1089" w:type="dxa"/>
            <w:tcBorders>
              <w:top w:val="single" w:sz="12" w:space="0" w:color="auto"/>
              <w:bottom w:val="single" w:sz="4" w:space="0" w:color="auto"/>
            </w:tcBorders>
            <w:vAlign w:val="center"/>
            <w:hideMark/>
          </w:tcPr>
          <w:p w14:paraId="5ECE386C" w14:textId="74DA615F" w:rsidR="00E7573F" w:rsidRPr="00E7573F" w:rsidRDefault="00E7573F" w:rsidP="00E7573F">
            <w:pPr>
              <w:ind w:firstLineChars="0" w:firstLine="0"/>
              <w:jc w:val="center"/>
              <w:rPr>
                <w:sz w:val="21"/>
                <w:szCs w:val="21"/>
              </w:rPr>
            </w:pPr>
            <w:r w:rsidRPr="00E7573F">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Li S, Zhou X, Cui J, Zou X, Li Z, Youravong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0C51" w14:textId="77777777" w:rsidR="002E774A" w:rsidRDefault="002E774A">
      <w:pPr>
        <w:spacing w:line="240" w:lineRule="auto"/>
        <w:ind w:firstLine="480"/>
      </w:pPr>
      <w:r>
        <w:separator/>
      </w:r>
    </w:p>
  </w:endnote>
  <w:endnote w:type="continuationSeparator" w:id="0">
    <w:p w14:paraId="1C15150D" w14:textId="77777777" w:rsidR="002E774A" w:rsidRDefault="002E774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19EF" w14:textId="77777777" w:rsidR="002E774A" w:rsidRDefault="002E774A">
      <w:pPr>
        <w:spacing w:line="240" w:lineRule="auto"/>
        <w:ind w:firstLine="480"/>
      </w:pPr>
      <w:r>
        <w:separator/>
      </w:r>
    </w:p>
  </w:footnote>
  <w:footnote w:type="continuationSeparator" w:id="0">
    <w:p w14:paraId="219F0150" w14:textId="77777777" w:rsidR="002E774A" w:rsidRDefault="002E774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45</Pages>
  <Words>16057</Words>
  <Characters>27941</Characters>
  <Application>Microsoft Office Word</Application>
  <DocSecurity>0</DocSecurity>
  <Lines>1034</Lines>
  <Paragraphs>647</Paragraphs>
  <ScaleCrop>false</ScaleCrop>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8</cp:revision>
  <cp:lastPrinted>2018-09-11T03:10:00Z</cp:lastPrinted>
  <dcterms:created xsi:type="dcterms:W3CDTF">2026-05-10T09:16:00Z</dcterms:created>
  <dcterms:modified xsi:type="dcterms:W3CDTF">2026-05-10T19:31:00Z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