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w:t>
      </w:r>
      <w:r>
        <w:t>N₂O</w:t>
      </w:r>
      <w:r>
        <w:t>）是重要的温室气体和臭氧层消耗物质，农业土壤施氮是人为</w:t>
      </w:r>
      <w:r>
        <w:t xml:space="preserve"> N₂O </w:t>
      </w:r>
      <w:r>
        <w:t>排放的主要来源之一。黄土高原是中国北方典型旱作农业区，近年来粮田向苹果果园等土地利用类型转变明显，但该区域农业土壤</w:t>
      </w:r>
      <w:r>
        <w:t xml:space="preserve"> N₂O </w:t>
      </w:r>
      <w:r>
        <w:t>排放特征及管理措施的综合效应仍缺乏系统量化。本研究基于</w:t>
      </w:r>
      <w:r>
        <w:t>2006—2025</w:t>
      </w:r>
      <w:r>
        <w:t>年发表的</w:t>
      </w:r>
      <w:r>
        <w:t>38</w:t>
      </w:r>
      <w:r>
        <w:t>篇同行评议文献，构建包含</w:t>
      </w:r>
      <w:r>
        <w:t xml:space="preserve"> 366 </w:t>
      </w:r>
      <w:r>
        <w:t>条</w:t>
      </w:r>
      <w:r>
        <w:t>N₂O</w:t>
      </w:r>
      <w:r>
        <w:t>排放记录和</w:t>
      </w:r>
      <w:r>
        <w:t xml:space="preserve"> 311 </w:t>
      </w:r>
      <w:r>
        <w:t>条作物产量记录的区域数据库，采用描述统计、回归分析和成对比较</w:t>
      </w:r>
      <w:r>
        <w:t xml:space="preserve"> Meta </w:t>
      </w:r>
      <w:r>
        <w:t>分析方法，评估春玉米、冬小麦、春小麦和苹果果园的</w:t>
      </w:r>
      <w:r>
        <w:t xml:space="preserve"> N₂O </w:t>
      </w:r>
      <w:r>
        <w:t>排放量、直接排放因子和产量尺度排放，并比较有机物料投入、覆盖措施、生物炭添加、增效肥料施用和减量施氮等管理措施的增产减排效应。结果表明，苹果果园</w:t>
      </w:r>
      <w:r>
        <w:t xml:space="preserve"> N₂O </w:t>
      </w:r>
      <w:r>
        <w:t>排放均值为</w:t>
      </w:r>
      <w:r>
        <w:t xml:space="preserve"> 2.90 kg N ha⁻¹</w:t>
      </w:r>
      <w:r>
        <w:t>，高于粮食作物体系，是黄土高原潜在高排放源；但各体系直接排放因子差异不显著。春小麦产量尺度排放达</w:t>
      </w:r>
      <w:r>
        <w:t xml:space="preserve"> 1.08 kg N t⁻¹</w:t>
      </w:r>
      <w:r>
        <w:t>，显著高于春玉米和冬小麦，主要与其低产量有关。管理措施方面，减量施氮总体显著降低</w:t>
      </w:r>
      <w:r>
        <w:t xml:space="preserve"> N₂O </w:t>
      </w:r>
      <w:r>
        <w:t>排放、产量尺度排放和直接排放因子，但其产量效应取决于减氮幅度；其中减氮</w:t>
      </w:r>
      <w:r>
        <w:t xml:space="preserve"> &lt;25% </w:t>
      </w:r>
      <w:r>
        <w:t>在当前数据中表现出较好的稳产减排潜力，而减氮</w:t>
      </w:r>
      <w:r>
        <w:t xml:space="preserve"> &gt;50% </w:t>
      </w:r>
      <w:r>
        <w:t>会导致显著产量损失。粪肥施用和地膜覆盖有利于降低产量尺度排放；生物炭添加可同时降低</w:t>
      </w:r>
      <w:r>
        <w:t xml:space="preserve"> N₂O </w:t>
      </w:r>
      <w:r>
        <w:t>排放、提高作物产量并降低产量尺度排放；增效肥料可有效减少</w:t>
      </w:r>
      <w:r>
        <w:t xml:space="preserve"> N₂O </w:t>
      </w:r>
      <w:r>
        <w:t>排放，但其产量、产量尺度排放和直接排放因子效应仍受文献数量限制。综合来看，粪肥施用和地膜覆盖是较稳健的增产减排措施，减量施氮应避免过大幅度，适度减氮的稳产效应仍需更多独立研究验证。本研究可为区域温室气体清单编制、氮肥优化管理和农业绿色转型提供科学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ozone-depleting substance, and fertilized agricultural soils are a major anthropogenic source of N₂O emissions. The Loess Plateau is a typical dryland agricultural region in northern China, where land-use conversion from cereal cropland to apple orchards has become increasingly important. However, regional N₂O emission characteristics and the integrated effects of farming practices remain insufficiently quantified. In this study, field measurements were extracted from 38 peer-reviewed publications published between 2006 and 2025, yielding a regional database containing 366 records of N₂O emissions and 311 records of crop yields. Descriptive statistics, regression analysis and pairwise meta-analysis were used to quantify N₂O emissions, direct emission factors and yield-scaled emissions from spring maize, winter wheat, spring wheat and apple orchards, and to evaluate the effects of organic amendments, mulching, biochar amendment, enhanced-efficiency fertilizers and reduced nitrogen input. The results showed that apple orchards had a mean N₂O emission of 2.90 kg N ha⁻¹, higher than those of cereal systems, indicating that apple orchards may represent an important regional emission source. However, direct emission factors did not differ significantly among agroecosystems. Spring wheat showed a high yield-scaled emission of 1.08 kg N t⁻¹, mainly because of its low grain yield. Reducing N input generally decreased N₂O emissions, yield-scaled emissions and direct emission factors, while its effect on crop yield depended on the reduction intensity. A reduction of less than 25% showed the potential to reduce emissions without yield penalty, whereas reductions greater than 50% caused significant yield losses. Manure application and plastic film mulching reduced yield-scaled emissions, and biochar amendment simultaneously reduced N₂O emissions, increased crop yield and lowered yield-scaled emissions. Enhanced-efficiency fertilizers effectively mitigated N₂O emissions, but their effects on yield, yield-scaled emissions and direct emission factors remain constrained by the limited number of studies. Overall, manure application and plastic film mulching are relatively robust mitigation options, while moderate nitrogen reduction should be applied cautiously and further validated by independent field studies. This study provides scientific evidence for regional greenhouse gas inventories, optimized nitrogen management and sustainable agricultural transformation.</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hyperlink w:anchor="_Toc229362610" w:history="1">
        <w:r w:rsidRPr="00F13290">
          <w:rPr>
            <w:rStyle w:val="aff7"/>
            <w:noProof/>
          </w:rPr>
          <w:t>附录</w:t>
        </w:r>
        <w:r w:rsidRPr="00F13290">
          <w:rPr>
            <w:rStyle w:val="aff7"/>
            <w:noProof/>
          </w:rPr>
          <w:t>A Meta</w:t>
        </w:r>
        <w:r w:rsidRPr="00F13290">
          <w:rPr>
            <w:rStyle w:val="aff7"/>
            <w:noProof/>
          </w:rPr>
          <w:t>分析数据支撑信息</w:t>
        </w:r>
        <w:r>
          <w:rPr>
            <w:noProof/>
            <w:webHidden/>
          </w:rPr>
          <w:tab/>
        </w:r>
        <w:r>
          <w:rPr>
            <w:noProof/>
            <w:webHidden/>
          </w:rPr>
          <w:fldChar w:fldCharType="begin"/>
        </w:r>
        <w:r>
          <w:rPr>
            <w:noProof/>
            <w:webHidden/>
          </w:rPr>
          <w:instrText xml:space="preserve"> PAGEREF _Toc229362610 \h </w:instrText>
        </w:r>
        <w:r>
          <w:rPr>
            <w:noProof/>
            <w:webHidden/>
          </w:rPr>
        </w:r>
        <w:r>
          <w:rPr>
            <w:noProof/>
            <w:webHidden/>
          </w:rPr>
          <w:fldChar w:fldCharType="separate"/>
        </w:r>
        <w:r>
          <w:rPr>
            <w:noProof/>
            <w:webHidden/>
          </w:rPr>
          <w:t>29</w:t>
        </w:r>
        <w:r>
          <w:rPr>
            <w:noProof/>
            <w:webHidden/>
          </w:rPr>
          <w:fldChar w:fldCharType="end"/>
        </w:r>
      </w:hyperlink>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hyperlink w:anchor="_Toc229362611" w:history="1">
        <w:r w:rsidRPr="00F13290">
          <w:rPr>
            <w:rStyle w:val="aff7"/>
            <w:noProof/>
          </w:rPr>
          <w:t>致谢</w:t>
        </w:r>
        <w:r>
          <w:rPr>
            <w:noProof/>
            <w:webHidden/>
          </w:rPr>
          <w:tab/>
        </w:r>
        <w:r>
          <w:rPr>
            <w:noProof/>
            <w:webHidden/>
          </w:rPr>
          <w:fldChar w:fldCharType="begin"/>
        </w:r>
        <w:r>
          <w:rPr>
            <w:noProof/>
            <w:webHidden/>
          </w:rPr>
          <w:instrText xml:space="preserve"> PAGEREF _Toc229362611 \h </w:instrText>
        </w:r>
        <w:r>
          <w:rPr>
            <w:noProof/>
            <w:webHidden/>
          </w:rPr>
        </w:r>
        <w:r>
          <w:rPr>
            <w:noProof/>
            <w:webHidden/>
          </w:rPr>
          <w:fldChar w:fldCharType="separate"/>
        </w:r>
        <w:r>
          <w:rPr>
            <w:noProof/>
            <w:webHidden/>
          </w:rPr>
          <w:t>30</w:t>
        </w:r>
        <w:r>
          <w:rPr>
            <w:noProof/>
            <w:webHidden/>
          </w:rPr>
          <w:fldChar w:fldCharType="end"/>
        </w:r>
      </w:hyperlink>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hyperlink w:anchor="_Toc229362612" w:history="1">
        <w:r w:rsidRPr="00F13290">
          <w:rPr>
            <w:rStyle w:val="aff7"/>
            <w:noProof/>
          </w:rPr>
          <w:t>作者简历</w:t>
        </w:r>
        <w:r>
          <w:rPr>
            <w:noProof/>
            <w:webHidden/>
          </w:rPr>
          <w:tab/>
        </w:r>
        <w:r>
          <w:rPr>
            <w:noProof/>
            <w:webHidden/>
          </w:rPr>
          <w:fldChar w:fldCharType="begin"/>
        </w:r>
        <w:r>
          <w:rPr>
            <w:noProof/>
            <w:webHidden/>
          </w:rPr>
          <w:instrText xml:space="preserve"> PAGEREF _Toc229362612 \h </w:instrText>
        </w:r>
        <w:r>
          <w:rPr>
            <w:noProof/>
            <w:webHidden/>
          </w:rPr>
        </w:r>
        <w:r>
          <w:rPr>
            <w:noProof/>
            <w:webHidden/>
          </w:rPr>
          <w:fldChar w:fldCharType="separate"/>
        </w:r>
        <w:r>
          <w:rPr>
            <w:noProof/>
            <w:webHidden/>
          </w:rPr>
          <w:t>31</w:t>
        </w:r>
        <w:r>
          <w:rPr>
            <w:noProof/>
            <w:webHidden/>
          </w:rPr>
          <w:fldChar w:fldCharType="end"/>
        </w:r>
      </w:hyperlink>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hyperlink w:anchor="Fig_2_1" w:history="1">
        <w:r>
          <w:t>图</w:t>
        </w:r>
        <w:r>
          <w:t xml:space="preserve"> 2-1  </w:t>
        </w:r>
        <w:r>
          <w:t>黄土高原</w:t>
        </w:r>
        <w:r>
          <w:t>N₂O</w:t>
        </w:r>
        <w:r>
          <w:t>通量观测样点分布</w:t>
        </w:r>
        <w:r>
          <w:tab/>
          <w:t>7</w:t>
        </w:r>
      </w:hyperlink>
    </w:p>
    <w:p w14:paraId="095124B1" w14:textId="77777777" w:rsidR="00AF4612" w:rsidRDefault="00AF4612" w:rsidP="00747B0E">
      <w:pPr>
        <w:tabs>
          <w:tab w:val="right" w:leader="dot" w:pos="8856"/>
        </w:tabs>
        <w:ind w:firstLineChars="83" w:firstLine="199"/>
        <w:jc w:val="left"/>
      </w:pPr>
      <w:hyperlink w:anchor="Fig_3_1" w:history="1">
        <w:r>
          <w:t>图</w:t>
        </w:r>
        <w:r>
          <w:t xml:space="preserve"> 3-1  </w:t>
        </w:r>
        <w:r>
          <w:t>黄土高原主要粮食作物产量对施氮量的响应及产量差异</w:t>
        </w:r>
        <w:r>
          <w:tab/>
          <w:t>10</w:t>
        </w:r>
      </w:hyperlink>
    </w:p>
    <w:p w14:paraId="08F95EB7" w14:textId="77777777" w:rsidR="00AF4612" w:rsidRDefault="00AF4612" w:rsidP="00747B0E">
      <w:pPr>
        <w:tabs>
          <w:tab w:val="right" w:leader="dot" w:pos="8856"/>
        </w:tabs>
        <w:ind w:firstLineChars="83" w:firstLine="199"/>
        <w:jc w:val="left"/>
      </w:pPr>
      <w:hyperlink w:anchor="Fig_3_2" w:history="1">
        <w:r>
          <w:t>图</w:t>
        </w:r>
        <w:r>
          <w:t xml:space="preserve"> 3-2  </w:t>
        </w:r>
        <w:r>
          <w:t>苹果产量与施氮量的关系</w:t>
        </w:r>
        <w:r>
          <w:tab/>
          <w:t>11</w:t>
        </w:r>
      </w:hyperlink>
    </w:p>
    <w:p w14:paraId="61B33FBC" w14:textId="77777777" w:rsidR="00AF4612" w:rsidRDefault="00AF4612" w:rsidP="00747B0E">
      <w:pPr>
        <w:tabs>
          <w:tab w:val="right" w:leader="dot" w:pos="8856"/>
        </w:tabs>
        <w:ind w:firstLineChars="83" w:firstLine="199"/>
        <w:jc w:val="left"/>
      </w:pPr>
      <w:hyperlink w:anchor="Fig_3_3" w:history="1">
        <w:r>
          <w:t>图</w:t>
        </w:r>
        <w:r>
          <w:t xml:space="preserve"> 3-</w:t>
        </w:r>
        <w:r>
          <w:rPr>
            <w:rFonts w:hint="eastAsia"/>
          </w:rPr>
          <w:t>3</w:t>
        </w:r>
        <w:r>
          <w:t xml:space="preserve">  </w:t>
        </w:r>
        <w:r>
          <w:t>黄土高原不同农业生态系统</w:t>
        </w:r>
        <w:r>
          <w:t>N₂O</w:t>
        </w:r>
        <w:r>
          <w:t>排放对施氮量的响应及排放差异</w:t>
        </w:r>
        <w:r>
          <w:tab/>
          <w:t>12</w:t>
        </w:r>
      </w:hyperlink>
    </w:p>
    <w:p w14:paraId="34A10469" w14:textId="77777777" w:rsidR="00AF4612" w:rsidRDefault="00AF4612" w:rsidP="00747B0E">
      <w:pPr>
        <w:tabs>
          <w:tab w:val="right" w:leader="dot" w:pos="8856"/>
        </w:tabs>
        <w:ind w:firstLineChars="83" w:firstLine="199"/>
        <w:jc w:val="left"/>
      </w:pPr>
      <w:hyperlink w:anchor="Fig_3_4" w:history="1">
        <w:r>
          <w:t>图</w:t>
        </w:r>
        <w:r>
          <w:t xml:space="preserve"> 3-</w:t>
        </w:r>
        <w:r>
          <w:rPr>
            <w:rFonts w:hint="eastAsia"/>
          </w:rPr>
          <w:t>4</w:t>
        </w:r>
        <w:r>
          <w:t xml:space="preserve">  </w:t>
        </w:r>
        <w:r>
          <w:t>黄土高原不同农业生态系统直接排放因子和产量尺度排放比较</w:t>
        </w:r>
        <w:r>
          <w:tab/>
          <w:t>13</w:t>
        </w:r>
      </w:hyperlink>
    </w:p>
    <w:p w14:paraId="20330650" w14:textId="77777777" w:rsidR="00AF4612" w:rsidRDefault="00AF4612" w:rsidP="00747B0E">
      <w:pPr>
        <w:tabs>
          <w:tab w:val="right" w:leader="dot" w:pos="8856"/>
        </w:tabs>
        <w:ind w:left="199" w:firstLineChars="0" w:firstLine="1"/>
        <w:jc w:val="left"/>
      </w:pPr>
      <w:hyperlink w:anchor="Fig_3_5" w:history="1">
        <w:r>
          <w:t>图</w:t>
        </w:r>
        <w:r>
          <w:t xml:space="preserve"> 3-</w:t>
        </w:r>
        <w:r>
          <w:rPr>
            <w:rFonts w:hint="eastAsia"/>
          </w:rPr>
          <w:t>5</w:t>
        </w:r>
        <w:r>
          <w:t xml:space="preserve">  </w:t>
        </w:r>
        <w:r>
          <w:t>农作管理措施对</w:t>
        </w:r>
        <w:r>
          <w:t>N₂O</w:t>
        </w:r>
        <w:r>
          <w:t>排放、作物产量、产量尺度排放和直接排放因子的影响</w:t>
        </w:r>
        <w:r>
          <w:tab/>
          <w:t>15</w:t>
        </w:r>
      </w:hyperlink>
    </w:p>
    <w:p w14:paraId="6086008E" w14:textId="77777777" w:rsidR="00AF4612" w:rsidRDefault="00AF4612" w:rsidP="00747B0E">
      <w:pPr>
        <w:tabs>
          <w:tab w:val="right" w:leader="dot" w:pos="8856"/>
        </w:tabs>
        <w:ind w:left="240" w:firstLineChars="0" w:firstLine="0"/>
        <w:jc w:val="left"/>
      </w:pPr>
      <w:hyperlink w:anchor="Fig_3_6" w:history="1">
        <w:r>
          <w:t>图</w:t>
        </w:r>
        <w:r>
          <w:t xml:space="preserve"> 3-</w:t>
        </w:r>
        <w:r>
          <w:rPr>
            <w:rFonts w:hint="eastAsia"/>
          </w:rPr>
          <w:t>6</w:t>
        </w:r>
        <w:r>
          <w:t xml:space="preserve">  </w:t>
        </w:r>
        <w:r>
          <w:t>减量施氮对</w:t>
        </w:r>
        <w:r>
          <w:rPr>
            <w:rFonts w:hint="eastAsia"/>
          </w:rPr>
          <w:t xml:space="preserve"> </w:t>
        </w:r>
        <w:r>
          <w:t>N₂O</w:t>
        </w:r>
        <w:r>
          <w:rPr>
            <w:rFonts w:hint="eastAsia"/>
          </w:rPr>
          <w:t xml:space="preserve"> </w:t>
        </w:r>
        <w:r>
          <w:t>排放、作物产量、产量尺度排放和直接排放因子的影响</w:t>
        </w:r>
        <w:r>
          <w:tab/>
          <w:t>16</w:t>
        </w:r>
      </w:hyperlink>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hyperlink w:anchor="Tab_4_1" w:history="1">
        <w:r>
          <w:t>表</w:t>
        </w:r>
        <w:r>
          <w:t xml:space="preserve"> 4-1  </w:t>
        </w:r>
        <w:r>
          <w:t>黄土高原与其他区域农业土壤</w:t>
        </w:r>
        <w:r>
          <w:t>N₂O</w:t>
        </w:r>
        <w:r>
          <w:t>排放、产量和产量尺度排放比较</w:t>
        </w:r>
        <w:r>
          <w:tab/>
          <w:t>17</w:t>
        </w:r>
      </w:hyperlink>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w:t>
      </w:r>
      <w:r>
        <w:t xml:space="preserve"> 2006—2025 </w:t>
      </w:r>
      <w:r>
        <w:t>年间发表的</w:t>
      </w:r>
      <w:r>
        <w:t xml:space="preserve"> 38 </w:t>
      </w:r>
      <w:r>
        <w:t>篇同行评议文献，形成</w:t>
      </w:r>
      <w:r>
        <w:t xml:space="preserve"> 366 </w:t>
      </w:r>
      <w:r>
        <w:t>条</w:t>
      </w:r>
      <w:r>
        <w:t>N₂O</w:t>
      </w:r>
      <w:r>
        <w:t>排放记录和</w:t>
      </w:r>
      <w:r>
        <w:t>311</w:t>
      </w:r>
      <w:r>
        <w:t>条作物产量记录。数据库信息包括试验地点经纬度、年均气温和年降水量、土壤黏粒含量、</w:t>
      </w:r>
      <w:r>
        <w:t>pH</w:t>
      </w:r>
      <w:r>
        <w:t>、有机碳含量、试验年份、种植制度、施氮量、氮肥类型、农艺措施</w:t>
      </w:r>
      <w:r>
        <w:t>N₂O</w:t>
      </w:r>
      <w:r>
        <w:t>排放量及作物产量等。研究区域覆盖黄土高原主要农业区（图</w:t>
      </w:r>
      <w:r>
        <w:t>2-1</w:t>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w:t>
      </w:r>
      <w:r>
        <w:t>—</w:t>
      </w:r>
      <w:r>
        <w:t>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pPr>
      <w:bookmarkStart w:id="54" w:name="Fig_2_1"/>
      <w:r>
        <w:t>图</w:t>
      </w:r>
      <w:r>
        <w:t xml:space="preserve"> 2-1 </w:t>
      </w:r>
      <w:r>
        <w:t>黄土高原</w:t>
      </w:r>
      <w:r>
        <w:t>N₂O</w:t>
      </w:r>
      <w:r>
        <w:t>通量观测样点分布</w:t>
      </w:r>
      <w:bookmarkEnd w:id="54"/>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，仅说明当前数据不足，不据此判定显著增减效应。相应地，只有</w:t>
      </w:r>
      <w:r>
        <w:t xml:space="preserve"> refs ≥ 3 </w:t>
      </w:r>
      <w:r>
        <w:t>的项目才进入随机效应模型和显著性判断。因此，图</w:t>
      </w:r>
      <w:r>
        <w:t>3-5</w:t>
      </w:r>
      <w:r>
        <w:t>中标注</w:t>
      </w:r>
      <w:r>
        <w:t xml:space="preserve"> refs &lt; 3 </w:t>
      </w:r>
      <w:r>
        <w:t>的项目仅作数据不足说明，而图</w:t>
      </w:r>
      <w:r>
        <w:t>3-6</w:t>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）（图</w:t>
      </w:r>
      <w:r>
        <w:t>3-1</w:t>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（图</w:t>
      </w:r>
      <w:r>
        <w:t>3-1</w:t>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pPr>
      <w:bookmarkStart w:id="66" w:name="Fig_3_1"/>
      <w:r>
        <w:t>图</w:t>
      </w:r>
      <w:r>
        <w:t xml:space="preserve"> 3-1 </w:t>
      </w:r>
      <w:r>
        <w:t>黄土高原主要粮食作物产量对施氮量的响应及产量差异</w:t>
      </w:r>
      <w:bookmarkEnd w:id="66"/>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w:t>
      </w:r>
      <w:r>
        <w:t>44.2 t ha⁻¹</w:t>
      </w:r>
      <w:r>
        <w:t>（范围</w:t>
      </w:r>
      <w:r>
        <w:t>12.0—93.4 t ha⁻¹</w:t>
      </w:r>
      <w:r>
        <w:t>，</w:t>
      </w:r>
      <w:r>
        <w:t>n = 25</w:t>
      </w:r>
      <w:r>
        <w:t>，</w:t>
      </w:r>
      <w:r>
        <w:t>CV = 38%</w:t>
      </w:r>
      <w:r>
        <w:t>），数据系列符合正态分布（</w:t>
      </w:r>
      <w:r>
        <w:t>p = 0.875</w:t>
      </w:r>
      <w:r>
        <w:t>）。图</w:t>
      </w:r>
      <w:r>
        <w:t>3-2</w:t>
      </w:r>
      <w:r>
        <w:t>的施氮量</w:t>
      </w:r>
      <w:r>
        <w:t>—</w:t>
      </w:r>
      <w:r>
        <w:t>产量关系拟合使用</w:t>
      </w:r>
      <w:r>
        <w:t>33</w:t>
      </w:r>
      <w:r>
        <w:t>条有产量和施氮量记录，包括</w:t>
      </w:r>
      <w:r>
        <w:t>8</w:t>
      </w:r>
      <w:r>
        <w:t>条不施氮对照和</w:t>
      </w:r>
      <w:r>
        <w:t>25</w:t>
      </w:r>
      <w:r>
        <w:t>条施氮处理；二次多项式关系不显著（</w:t>
      </w:r>
      <w:r>
        <w:t>R² = 0.101</w:t>
      </w:r>
      <w:r>
        <w:t>，二次项</w:t>
      </w:r>
      <w:r>
        <w:t xml:space="preserve"> p = 0.097</w:t>
      </w:r>
      <w:r>
        <w:t>）。其中，因极端天气事件（如霜冻）造成绝收的记录未纳入产量统计和施氮响应拟合。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pPr>
      <w:bookmarkStart w:id="69" w:name="Fig_3_2"/>
      <w:r>
        <w:t>图</w:t>
      </w:r>
      <w:r>
        <w:t xml:space="preserve"> 3-</w:t>
      </w:r>
      <w:r>
        <w:rPr>
          <w:rFonts w:hint="eastAsia"/>
        </w:rPr>
        <w:t xml:space="preserve">2 </w:t>
      </w:r>
      <w:r>
        <w:t>苹果产量与施氮量的关系</w:t>
      </w:r>
      <w:bookmarkEnd w:id="69"/>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w:t>
      </w:r>
      <w:r>
        <w:t>N</w:t>
      </w:r>
      <w:r>
        <w:rPr>
          <w:rFonts w:ascii="Cambria Math" w:hAnsi="Cambria Math" w:cs="Cambria Math"/>
        </w:rPr>
        <w:t>₂</w:t>
      </w:r>
      <w:r>
        <w:t>O</w:t>
      </w:r>
      <w:r>
        <w:t>排放量在</w:t>
      </w:r>
      <w:r>
        <w:t>0.32—8.89 kg N ha</w:t>
      </w:r>
      <w:r>
        <w:rPr>
          <w:rFonts w:ascii="Cambria Math" w:hAnsi="Cambria Math" w:cs="Cambria Math"/>
        </w:rPr>
        <w:t>⁻</w:t>
      </w:r>
      <w:r>
        <w:t>¹</w:t>
      </w:r>
      <w:r>
        <w:t>之间（</w:t>
      </w:r>
      <w:r w:rsidR="00842031">
        <w:fldChar w:fldCharType="begin"/>
      </w:r>
      <w:r w:rsidR="00842031">
        <w:instrText>HYPERLINK \l "Fig_3_3"</w:instrText>
      </w:r>
      <w:r w:rsidR="00842031">
        <w:fldChar w:fldCharType="separate"/>
      </w:r>
      <w:r w:rsidR="00842031">
        <w:t>图</w:t>
      </w:r>
      <w:r w:rsidR="00842031">
        <w:t>3-3</w:t>
      </w:r>
      <w:r w:rsidR="00842031">
        <w:fldChar w:fldCharType="end"/>
      </w:r>
      <w:r>
        <w:t>），总体均值和中位数分别为</w:t>
      </w:r>
      <w:r>
        <w:t>1.85</w:t>
      </w:r>
      <w:r>
        <w:t>和</w:t>
      </w:r>
      <w:r>
        <w:t>1.55 kg N ha</w:t>
      </w:r>
      <w:r>
        <w:rPr>
          <w:rFonts w:ascii="Cambria Math" w:hAnsi="Cambria Math" w:cs="Cambria Math"/>
        </w:rPr>
        <w:t>⁻</w:t>
      </w:r>
      <w:r>
        <w:t>¹</w:t>
      </w:r>
      <w:r>
        <w:t>。各体系均值具体如下：春玉米</w:t>
      </w:r>
      <w:r>
        <w:t>1.86 kg N ha</w:t>
      </w:r>
      <w:r>
        <w:rPr>
          <w:rFonts w:ascii="Cambria Math" w:hAnsi="Cambria Math" w:cs="Cambria Math"/>
        </w:rPr>
        <w:t>⁻</w:t>
      </w:r>
      <w:r>
        <w:t>¹</w:t>
      </w:r>
      <w:r>
        <w:t>（范围</w:t>
      </w:r>
      <w:r>
        <w:t>0.32—4.95</w:t>
      </w:r>
      <w:r>
        <w:t>，</w:t>
      </w:r>
      <w:r>
        <w:t>n = 148</w:t>
      </w:r>
      <w:r>
        <w:t>，</w:t>
      </w:r>
      <w:r>
        <w:t>CV = 56%</w:t>
      </w:r>
      <w:r>
        <w:t>）、冬小麦</w:t>
      </w:r>
      <w:r>
        <w:t>0.89 kg N ha</w:t>
      </w:r>
      <w:r>
        <w:rPr>
          <w:rFonts w:ascii="Cambria Math" w:hAnsi="Cambria Math" w:cs="Cambria Math"/>
        </w:rPr>
        <w:t>⁻</w:t>
      </w:r>
      <w:r>
        <w:t>¹</w:t>
      </w:r>
      <w:r>
        <w:t>（范围</w:t>
      </w:r>
      <w:r>
        <w:t>0.36—1.48</w:t>
      </w:r>
      <w:r>
        <w:t>，</w:t>
      </w:r>
      <w:r>
        <w:t>n = 25</w:t>
      </w:r>
      <w:r>
        <w:t>，</w:t>
      </w:r>
      <w:r>
        <w:t>CV = 37%</w:t>
      </w:r>
      <w:r>
        <w:t>）、春小麦</w:t>
      </w:r>
      <w:r>
        <w:t>1.59 kg N ha</w:t>
      </w:r>
      <w:r>
        <w:rPr>
          <w:rFonts w:ascii="Cambria Math" w:hAnsi="Cambria Math" w:cs="Cambria Math"/>
        </w:rPr>
        <w:t>⁻</w:t>
      </w:r>
      <w:r>
        <w:t>¹</w:t>
      </w:r>
      <w:r>
        <w:t>（范围</w:t>
      </w:r>
      <w:r>
        <w:t>0.94—2.65</w:t>
      </w:r>
      <w:r>
        <w:t>，</w:t>
      </w:r>
      <w:r>
        <w:t>n = 47</w:t>
      </w:r>
      <w:r>
        <w:t>，</w:t>
      </w:r>
      <w:r>
        <w:t>CV = 27%</w:t>
      </w:r>
      <w:r>
        <w:t>）、苹果果园</w:t>
      </w:r>
      <w:r>
        <w:t>2.90 kg N ha</w:t>
      </w:r>
      <w:r>
        <w:rPr>
          <w:rFonts w:ascii="Cambria Math" w:hAnsi="Cambria Math" w:cs="Cambria Math"/>
        </w:rPr>
        <w:t>⁻</w:t>
      </w:r>
      <w:r>
        <w:t>¹</w:t>
      </w:r>
      <w:r>
        <w:t>（范围</w:t>
      </w:r>
      <w:r>
        <w:t>0.95—8.89</w:t>
      </w:r>
      <w:r>
        <w:t>，</w:t>
      </w:r>
      <w:r>
        <w:t>n = 33</w:t>
      </w:r>
      <w:r>
        <w:t>，</w:t>
      </w:r>
      <w:r>
        <w:t>CV = 76%</w:t>
      </w:r>
      <w:r>
        <w:t>）（</w:t>
      </w:r>
      <w:hyperlink w:anchor="Fig_3_3" w:history="1">
        <w:r w:rsidR="00842031">
          <w:t>图</w:t>
        </w:r>
        <w:r w:rsidR="00842031">
          <w:t>3-3</w:t>
        </w:r>
      </w:hyperlink>
      <w:r>
        <w:t>）。</w:t>
      </w:r>
    </w:p>
    <w:p w14:paraId="48125745" w14:textId="77777777" w:rsidR="00842031" w:rsidRDefault="00000000">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hyperlink w:anchor="Fig_3_3" w:history="1">
        <w:r w:rsidR="00842031">
          <w:t>图</w:t>
        </w:r>
        <w:r w:rsidR="00842031">
          <w:t>3-3</w:t>
        </w:r>
      </w:hyperlink>
      <w:r>
        <w:t>），排放系数在</w:t>
      </w:r>
      <w:r>
        <w:t>0.31%—0.37%</w:t>
      </w:r>
      <w:r>
        <w:t>之间小幅波动，体系间差异不显著。背景排放量估计值以冬小麦最低（</w:t>
      </w:r>
      <w:r>
        <w:t>0.35 kg N ha⁻¹</w:t>
      </w:r>
      <w:r>
        <w:t>），春玉米、春小麦和苹果果园较接近（</w:t>
      </w:r>
      <w:r>
        <w:t>1.13—1.25 kg N ha⁻¹</w:t>
      </w:r>
      <w:r>
        <w:t>），后三个体系之间差异不显著。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pPr>
      <w:bookmarkStart w:id="73" w:name="Fig_3_3"/>
      <w:r>
        <w:rPr>
          <w:rFonts w:hint="eastAsia"/>
        </w:rPr>
        <w:t>图</w:t>
      </w:r>
      <w:r>
        <w:t xml:space="preserve"> 3-3 </w:t>
      </w:r>
      <w:r>
        <w:rPr>
          <w:rFonts w:hint="eastAsia"/>
        </w:rPr>
        <w:t>黄土高原不同农业生态系统</w:t>
      </w:r>
      <w:r>
        <w:t>N₂O</w:t>
      </w:r>
      <w:r>
        <w:rPr>
          <w:rFonts w:hint="eastAsia"/>
        </w:rPr>
        <w:t>排放对施氮量的响应及排放差异</w:t>
      </w:r>
      <w:bookmarkEnd w:id="73"/>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w:t>
      </w:r>
      <w:r>
        <w:t>EF</w:t>
      </w:r>
      <w:r>
        <w:t>在</w:t>
      </w:r>
      <w:r>
        <w:rPr>
          <w:rFonts w:ascii="Cambria Math" w:hAnsi="Cambria Math" w:cs="Cambria Math"/>
        </w:rPr>
        <w:t>−</w:t>
      </w:r>
      <w:r>
        <w:t>0.11%</w:t>
      </w:r>
      <w:r>
        <w:t>至</w:t>
      </w:r>
      <w:r>
        <w:t>1.61%</w:t>
      </w:r>
      <w:r>
        <w:t>之间波动（</w:t>
      </w:r>
      <w:r w:rsidR="00842031">
        <w:fldChar w:fldCharType="begin"/>
      </w:r>
      <w:r w:rsidR="00842031">
        <w:instrText>HYPERLINK \l "Fig_3_4"</w:instrText>
      </w:r>
      <w:r w:rsidR="00842031">
        <w:fldChar w:fldCharType="separate"/>
      </w:r>
      <w:r w:rsidR="00842031">
        <w:t>图</w:t>
      </w:r>
      <w:r w:rsidR="00842031">
        <w:t>3-4A</w:t>
      </w:r>
      <w:r w:rsidR="00842031">
        <w:fldChar w:fldCharType="end"/>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rPr>
          <w:rFonts w:ascii="Cambria Math" w:hAnsi="Cambria Math" w:cs="Cambria Math"/>
        </w:rP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rsidR="00842031">
        <w:fldChar w:fldCharType="begin"/>
      </w:r>
      <w:r w:rsidR="00842031">
        <w:instrText>HYPERLINK \l "Fig_3_4"</w:instrText>
      </w:r>
      <w:r w:rsidR="00842031">
        <w:fldChar w:fldCharType="separate"/>
      </w:r>
      <w:r w:rsidR="00842031">
        <w:t>图</w:t>
      </w:r>
      <w:r w:rsidR="00842031">
        <w:t>3-4A</w:t>
      </w:r>
      <w:r w:rsidR="00842031">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hyperlink w:anchor="Fig_3_4" w:history="1">
        <w:r w:rsidR="00842031">
          <w:t>图</w:t>
        </w:r>
        <w:r w:rsidR="00842031">
          <w:t>3-4B</w:t>
        </w:r>
      </w:hyperlink>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pPr>
      <w:bookmarkStart w:id="76" w:name="Fig_3_4"/>
      <w:r>
        <w:t>图</w:t>
      </w:r>
      <w:r>
        <w:t xml:space="preserve"> 3-4 </w:t>
      </w:r>
      <w:r>
        <w:t>黄土高原不同农业生态系统直接排放因子和产量尺度排放比较</w:t>
      </w:r>
      <w:bookmarkEnd w:id="76"/>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w:t>
      </w:r>
      <w:r>
        <w:t xml:space="preserve"> N₂O </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）（图</w:t>
      </w:r>
      <w:r>
        <w:t xml:space="preserve"> 3-5</w:t>
      </w:r>
      <w:r>
        <w:t>）。分类分析显示，粪肥施用显著降低</w:t>
      </w:r>
      <w:r>
        <w:t xml:space="preserve"> N₂O </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t xml:space="preserve"> N₂O </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w:t>
      </w:r>
      <w:r>
        <w:t xml:space="preserve"> N₂O </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）（图</w:t>
      </w:r>
      <w:r>
        <w:t xml:space="preserve"> 3-5</w:t>
      </w:r>
      <w:r>
        <w:t>）。地膜覆盖对</w:t>
      </w:r>
      <w:r>
        <w:t xml:space="preserve"> N₂O </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t xml:space="preserve"> N₂O </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w:t>
      </w:r>
      <w:r>
        <w:t xml:space="preserve"> N₂O </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）（图</w:t>
      </w:r>
      <w:r>
        <w:t xml:space="preserve"> 3-5</w:t>
      </w:r>
      <w:r>
        <w:t>）；其对</w:t>
      </w:r>
      <w:r>
        <w:t xml:space="preserve"> EF </w:t>
      </w:r>
      <w:r>
        <w:t>的影响因支持文献少于</w:t>
      </w:r>
      <w:r>
        <w:t xml:space="preserve"> 3 </w:t>
      </w:r>
      <w:r>
        <w:t>篇未作合并效应判断。增效肥料显著降低</w:t>
      </w:r>
      <w:r>
        <w:t xml:space="preserve"> N₂O </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rPr>
          <w:lang w:val="en"/>
        </w:rPr>
      </w:pPr>
      <w:bookmarkStart w:id="82" w:name="Fig_3_5"/>
      <w:r>
        <w:t>图</w:t>
      </w:r>
      <w:r>
        <w:t xml:space="preserve"> 3-5 </w:t>
      </w:r>
      <w:r>
        <w:t>农作管理措施对</w:t>
      </w:r>
      <w:r>
        <w:t xml:space="preserve"> N₂O </w:t>
      </w:r>
      <w:r>
        <w:t>排放、作物产量、产量尺度排放和直接排放因子的影响</w:t>
      </w:r>
      <w:bookmarkEnd w:id="82"/>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w:t>
      </w:r>
      <w:r>
        <w:t xml:space="preserve"> N₂O </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）（图</w:t>
      </w:r>
      <w:r>
        <w:t xml:space="preserve"> 3-6</w:t>
      </w:r>
      <w:r>
        <w:t>）。分作物类型分析，减量施氮使春玉米和春小麦</w:t>
      </w:r>
      <w:r>
        <w:t xml:space="preserve"> N₂O </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t xml:space="preserve"> N₂O </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t xml:space="preserve"> N₂O </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t xml:space="preserve"> N₂O </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r>
        <w:t>Hedges</w:t>
      </w:r>
      <w:r w:rsidR="00DC3164">
        <w:rPr>
          <w:rFonts w:hint="eastAsia"/>
        </w:rPr>
        <w:t>’</w:t>
      </w:r>
      <w:r>
        <w:t>d = 0.27</w:t>
      </w:r>
      <w:r>
        <w:t>，</w:t>
      </w:r>
      <w:r>
        <w:t>95% CI</w:t>
      </w:r>
      <w:r>
        <w:t>：</w:t>
      </w:r>
      <w:r>
        <w:t>−0.53</w:t>
      </w:r>
      <w:r>
        <w:t>至</w:t>
      </w:r>
      <w:r>
        <w:t xml:space="preserve"> 1.03</w:t>
      </w:r>
      <w:r>
        <w:t>）。</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pPr>
      <w:bookmarkStart w:id="84" w:name="Fig_3_6"/>
      <w:r>
        <w:t>图</w:t>
      </w:r>
      <w:r>
        <w:t xml:space="preserve"> 3-6 </w:t>
      </w:r>
      <w:r>
        <w:t>减量施氮对</w:t>
      </w:r>
      <w:r>
        <w:t xml:space="preserve"> N₂O </w:t>
      </w:r>
      <w:r>
        <w:t>排放、作物产量、产量尺度排放和直接排放因子的影响</w:t>
      </w:r>
      <w:bookmarkEnd w:id="84"/>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w:t>
      </w:r>
      <w:r>
        <w:t>N₂O</w:t>
      </w:r>
      <w:r>
        <w:t>排放量（</w:t>
      </w:r>
      <w:r>
        <w:t>0.32—8.89 kg N ha⁻¹</w:t>
      </w:r>
      <w:r>
        <w:t>）处于全球变化范围（</w:t>
      </w:r>
      <w:r>
        <w:t>−0.12—26.0 kg N ha⁻¹</w:t>
      </w:r>
      <w:r>
        <w:t>）之内（</w:t>
      </w:r>
      <w:r w:rsidR="00842031">
        <w:fldChar w:fldCharType="begin"/>
      </w:r>
      <w:r w:rsidR="00842031">
        <w:instrText>HYPERLINK \l "Tab_4_1"</w:instrText>
      </w:r>
      <w:r w:rsidR="00842031">
        <w:fldChar w:fldCharType="separate"/>
      </w:r>
      <w:r w:rsidR="00842031">
        <w:t>表</w:t>
      </w:r>
      <w:r w:rsidR="00842031">
        <w:t>4-1</w:t>
      </w:r>
      <w:r w:rsidR="00842031">
        <w:fldChar w:fldCharType="end"/>
      </w:r>
      <w:r>
        <w:t>）。春玉米的</w:t>
      </w:r>
      <w:r>
        <w:t>N₂O</w:t>
      </w:r>
      <w:r>
        <w:t>排放均值（</w:t>
      </w:r>
      <w:r>
        <w:t>1.86 kg N ha⁻¹</w:t>
      </w:r>
      <w:r>
        <w:t>）落于全球玉米均值变化范围（</w:t>
      </w:r>
      <w:r>
        <w:t>1.50—3.01 kg N ha⁻¹</w:t>
      </w:r>
      <w:r>
        <w:t>）之内；冬小麦和春小麦的排放均值（</w:t>
      </w:r>
      <w:r>
        <w:t>0.89</w:t>
      </w:r>
      <w:r>
        <w:t>和</w:t>
      </w:r>
      <w:r>
        <w:t>1.59 kg N ha⁻¹</w:t>
      </w:r>
      <w:r>
        <w:t>）分别低于和高于全球小麦排放均值区间（</w:t>
      </w:r>
      <w:r>
        <w:t>1.38—1.44 kg N ha⁻¹</w:t>
      </w:r>
      <w:r>
        <w:t>），但考虑到已有全球</w:t>
      </w:r>
      <w:r>
        <w:t>Meta</w:t>
      </w:r>
      <w:r>
        <w:t>分析将冬小麦和春小麦合并处理（</w:t>
      </w:r>
      <w:r w:rsidR="00842031">
        <w:fldChar w:fldCharType="begin"/>
      </w:r>
      <w:r w:rsidR="00842031">
        <w:instrText>HYPERLINK \l "ref_Linquist_2012"</w:instrText>
      </w:r>
      <w:r w:rsidR="00842031">
        <w:fldChar w:fldCharType="separate"/>
      </w:r>
      <w:r w:rsidR="00842031">
        <w:t>Linquist et al., 2012</w:t>
      </w:r>
      <w:r w:rsidR="00842031">
        <w:fldChar w:fldCharType="end"/>
      </w:r>
      <w:r>
        <w:t xml:space="preserve">; </w:t>
      </w:r>
      <w:hyperlink w:anchor="ref_Yao_2024" w:history="1">
        <w:r w:rsidR="00842031">
          <w:t>Yao et al., 2024</w:t>
        </w:r>
      </w:hyperlink>
      <w:r>
        <w:t>），整体上黄土高原小麦的</w:t>
      </w:r>
      <w:r>
        <w:t>N₂O</w:t>
      </w:r>
      <w:r>
        <w:t>排放与全球水平相当。苹果果园的</w:t>
      </w:r>
      <w:r>
        <w:t>N₂O</w:t>
      </w:r>
      <w:r>
        <w:t>排放均值（</w:t>
      </w:r>
      <w:r>
        <w:t>2.90 kg N ha⁻¹</w:t>
      </w:r>
      <w:r>
        <w:t>）略低于全球果园平均水平（</w:t>
      </w:r>
      <w:r>
        <w:t>3.06 kg N ha⁻¹</w:t>
      </w:r>
      <w:r>
        <w:t>）（</w:t>
      </w:r>
      <w:hyperlink w:anchor="Tab_4_1" w:history="1">
        <w:r w:rsidR="00842031">
          <w:t>表</w:t>
        </w:r>
        <w:r w:rsidR="00842031">
          <w:t>4-1</w:t>
        </w:r>
      </w:hyperlink>
      <w:r>
        <w:t>）。上述结果表明，黄土高原区域</w:t>
      </w:r>
      <w:r>
        <w:t>N₂O</w:t>
      </w:r>
      <w:r>
        <w:t>排放总量与全球尺度研究结论基本吻合。</w:t>
      </w:r>
    </w:p>
    <w:p w14:paraId="5CA96065" w14:textId="77777777" w:rsidR="00842031" w:rsidRDefault="00000000">
      <w:pPr>
        <w:pStyle w:val="afff1"/>
        <w:rPr>
          <w:lang w:val="en"/>
        </w:rPr>
      </w:pPr>
      <w:bookmarkStart w:id="89" w:name="Tab_4_1"/>
      <w:bookmarkStart w:id="90" w:name="OLE_LINK20"/>
      <w:r>
        <w:rPr>
          <w:lang w:val="en"/>
        </w:rPr>
        <w:t>表</w:t>
      </w:r>
      <w:r>
        <w:rPr>
          <w:lang w:val="en"/>
        </w:rPr>
        <w:t xml:space="preserve"> 4-1 </w:t>
      </w:r>
      <w:r>
        <w:rPr>
          <w:lang w:val="en"/>
        </w:rPr>
        <w:t>黄土高原与其他区域农业土壤</w:t>
      </w:r>
      <w:r>
        <w:rPr>
          <w:lang w:val="en"/>
        </w:rPr>
        <w:t xml:space="preserve"> N₂O </w:t>
      </w:r>
      <w:r>
        <w:rPr>
          <w:lang w:val="en"/>
        </w:rPr>
        <w:t>排放、产量和产量尺度排放比较</w:t>
      </w:r>
      <w:bookmarkEnd w:id="89"/>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pPr>
      <w:bookmarkStart w:id="92" w:name="Tab_4_1_cont"/>
      <w:r>
        <w:rPr>
          <w:rFonts w:hint="eastAsia"/>
        </w:rPr>
        <w:lastRenderedPageBreak/>
        <w:t>续</w:t>
      </w:r>
      <w:r>
        <w:t>表</w:t>
      </w:r>
      <w:r>
        <w:t xml:space="preserve"> 4-1 </w:t>
      </w:r>
      <w:r>
        <w:t>黄土高原与其他区域农业土壤</w:t>
      </w:r>
      <w:r>
        <w:t xml:space="preserve"> N₂O </w:t>
      </w:r>
      <w:r>
        <w:t>排放、产量和产量尺度排放比较</w:t>
      </w:r>
      <w:bookmarkEnd w:id="92"/>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w:t>
      </w:r>
      <w:r>
        <w:t>EF</w:t>
      </w:r>
      <w:r>
        <w:t>（</w:t>
      </w:r>
      <w:r>
        <w:t>0.29%—0.49%</w:t>
      </w:r>
      <w:r>
        <w:t>）约比全球尺度水平（</w:t>
      </w:r>
      <w:r>
        <w:t>0.58%—1.19%</w:t>
      </w:r>
      <w:r>
        <w:t>）低</w:t>
      </w:r>
      <w:r>
        <w:t>50%</w:t>
      </w:r>
      <w:r>
        <w:t>，排放系数（</w:t>
      </w:r>
      <w:r>
        <w:t>0.31%—0.37%</w:t>
      </w:r>
      <w:r>
        <w:t>）亦约比全球水平（</w:t>
      </w:r>
      <w:r>
        <w:t>1.06%—1.36%</w:t>
      </w:r>
      <w:r>
        <w:t>）低</w:t>
      </w:r>
      <w:r>
        <w:t>70%</w:t>
      </w:r>
      <w:r>
        <w:t>（表</w:t>
      </w:r>
      <w:r>
        <w:t>4-1</w:t>
      </w:r>
      <w:r>
        <w:t>）。这一差异的成因是多方面的。首先，较高的背景排放量（</w:t>
      </w:r>
      <w:r>
        <w:t>E₀</w:t>
      </w:r>
      <w:r>
        <w:t>）在一定程度上压低了区域</w:t>
      </w:r>
      <w:r>
        <w:t>EF</w:t>
      </w:r>
      <w:r>
        <w:t>和排放系数，尤其是春小麦和苹果果园的背景排放量（</w:t>
      </w:r>
      <w:r>
        <w:t>1.19—1.25 kg N ha⁻¹</w:t>
      </w:r>
      <w:r>
        <w:t>）比全球平均值（</w:t>
      </w:r>
      <w:r>
        <w:t>0.59—0.73 kg N ha⁻¹</w:t>
      </w:r>
      <w:r>
        <w:t>）高约</w:t>
      </w:r>
      <w:r>
        <w:t>63%—112%</w:t>
      </w:r>
      <w:r>
        <w:t>（表</w:t>
      </w:r>
      <w:r>
        <w:t>4-1</w:t>
      </w:r>
      <w:r>
        <w:t>）。一般认为，高背景排放与土壤高肥力相关（</w:t>
      </w:r>
      <w:r>
        <w:t>Gu et al., 2009, 2007</w:t>
      </w:r>
      <w:r>
        <w:t>），但本研究区土壤有机碳含量偏低（表</w:t>
      </w:r>
      <w:r>
        <w:t>S1</w:t>
      </w:r>
      <w:r>
        <w:t>），表明高背景排放可能另有机制。其次，春玉米产量偏高（</w:t>
      </w:r>
      <w:r>
        <w:t>11.1 t ha⁻¹</w:t>
      </w:r>
      <w:r>
        <w:t>，全球玉米</w:t>
      </w:r>
      <w:r>
        <w:t>7.9—8.0 t ha⁻¹</w:t>
      </w:r>
      <w:r>
        <w:t>）共同导致其</w:t>
      </w:r>
      <w:r>
        <w:t>EF</w:t>
      </w:r>
      <w:r>
        <w:t>和排放系数相对偏低。此外，冬小麦生长季的低温干燥气候可能是其背景排放量、</w:t>
      </w:r>
      <w:r>
        <w:t>EF</w:t>
      </w:r>
      <w:r>
        <w:t>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w:t>
      </w:r>
      <w:r>
        <w:t>1.08 kg N t</w:t>
      </w:r>
      <w:r>
        <w:rPr>
          <w:rFonts w:ascii="Cambria Math" w:eastAsia="Cambria Math" w:hAnsi="Cambria Math" w:cs="Cambria Math"/>
        </w:rPr>
        <w:t>⁻¹</w:t>
      </w:r>
      <w:r>
        <w:t>）约为全球小麦均值（</w:t>
      </w:r>
      <w:r>
        <w:t>0.32—0.35 kg N t</w:t>
      </w:r>
      <w:r>
        <w:rPr>
          <w:rFonts w:ascii="Cambria Math" w:eastAsia="Cambria Math" w:hAnsi="Cambria Math" w:cs="Cambria Math"/>
        </w:rPr>
        <w:t>⁻¹</w:t>
      </w:r>
      <w:r>
        <w:t>）</w:t>
      </w:r>
      <w:r>
        <w:t>3</w:t>
      </w:r>
      <w:r>
        <w:t>倍以上，而冬小麦的产量尺度排放（</w:t>
      </w:r>
      <w:r>
        <w:t>0.17 kg N t</w:t>
      </w:r>
      <w:r>
        <w:rPr>
          <w:rFonts w:ascii="Cambria Math" w:eastAsia="Cambria Math" w:hAnsi="Cambria Math" w:cs="Cambria Math"/>
        </w:rPr>
        <w:t>⁻¹</w:t>
      </w:r>
      <w:r>
        <w:t>）则约</w:t>
      </w:r>
      <w:r>
        <w:t>50%</w:t>
      </w:r>
      <w:r>
        <w:t>低于全球小麦均值（</w:t>
      </w:r>
      <w:r w:rsidR="00842031">
        <w:fldChar w:fldCharType="begin"/>
      </w:r>
      <w:r w:rsidR="00842031">
        <w:instrText>HYPERLINK \l "Tab_4_1"</w:instrText>
      </w:r>
      <w:r w:rsidR="00842031">
        <w:fldChar w:fldCharType="separate"/>
      </w:r>
      <w:r w:rsidR="00842031">
        <w:t>表</w:t>
      </w:r>
      <w:r w:rsidR="00842031">
        <w:t>4-1</w:t>
      </w:r>
      <w:r w:rsidR="00842031">
        <w:fldChar w:fldCharType="end"/>
      </w:r>
      <w:r>
        <w:t>）。春小麦产量尺度排放异常偏高，主要源于其籽粒产量极低（</w:t>
      </w:r>
      <w:r>
        <w:t>1.5 t ha</w:t>
      </w:r>
      <w:r>
        <w:rPr>
          <w:rFonts w:ascii="Cambria Math" w:eastAsia="Cambria Math" w:hAnsi="Cambria Math" w:cs="Cambria Math"/>
        </w:rPr>
        <w:t>⁻¹</w:t>
      </w:r>
      <w:r>
        <w:t>），仅为同区域冬小麦（</w:t>
      </w:r>
      <w:r>
        <w:t>5.4 t ha</w:t>
      </w:r>
      <w:r>
        <w:rPr>
          <w:rFonts w:ascii="Cambria Math" w:eastAsia="Cambria Math" w:hAnsi="Cambria Math" w:cs="Cambria Math"/>
        </w:rPr>
        <w:t>⁻¹</w:t>
      </w:r>
      <w:r>
        <w:t>）的三分之一左右。这一现象凸显了黄土高原春小麦种植体系高产减排协同研究的必要性。黄土高原冬小麦和春小麦</w:t>
      </w:r>
      <w:r>
        <w:t>N</w:t>
      </w:r>
      <w:r>
        <w:rPr>
          <w:rFonts w:ascii="Cambria Math" w:eastAsia="Cambria Math" w:hAnsi="Cambria Math" w:cs="Cambria Math"/>
        </w:rPr>
        <w:t>₂</w:t>
      </w:r>
      <w:r>
        <w:t>O</w:t>
      </w:r>
      <w:r>
        <w:t>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w:t>
      </w:r>
      <w:r>
        <w:t>N₂O</w:t>
      </w:r>
      <w:r>
        <w:t>排放、作物产量和产量尺度排放的综合效应并不完全一致。当前</w:t>
      </w:r>
      <w:r>
        <w:t>Meta</w:t>
      </w:r>
      <w:r>
        <w:t>分析显示，有机物料投入总体对产量和产量尺度排放的影响均未达到显著水平，说明不宜笼统认为有机物料投入具有稳定增产或降低</w:t>
      </w:r>
      <w:r>
        <w:t>YSE</w:t>
      </w:r>
      <w:r>
        <w:t>效应。分措施看，粪肥施用显著降低</w:t>
      </w:r>
      <w:r>
        <w:t>N₂O</w:t>
      </w:r>
      <w:r>
        <w:t>排放（</w:t>
      </w:r>
      <w:r>
        <w:t>-7.4%</w:t>
      </w:r>
      <w:r>
        <w:t>，</w:t>
      </w:r>
      <w:r>
        <w:t>95% CI</w:t>
      </w:r>
      <w:r>
        <w:t>：</w:t>
      </w:r>
      <w:r>
        <w:t>[-13.0%</w:t>
      </w:r>
      <w:r>
        <w:t>，</w:t>
      </w:r>
      <w:r>
        <w:t>-1.3%]</w:t>
      </w:r>
      <w:r>
        <w:t>），并显著降低产量尺度排放（</w:t>
      </w:r>
      <w:r>
        <w:t>-16.6%</w:t>
      </w:r>
      <w:r>
        <w:t>，</w:t>
      </w:r>
      <w:r>
        <w:t>95% CI</w:t>
      </w:r>
      <w:r>
        <w:t>：</w:t>
      </w:r>
      <w:r>
        <w:t>[-27.5%</w:t>
      </w:r>
      <w:r>
        <w:t>，</w:t>
      </w:r>
      <w:r>
        <w:t>-3.6%]</w:t>
      </w:r>
      <w:r>
        <w:t>），但其对作物产量的促进作用不显著，</w:t>
      </w:r>
      <w:r>
        <w:t>EF</w:t>
      </w:r>
      <w:r>
        <w:t>降低也未达到显著水平（</w:t>
      </w:r>
      <w:r>
        <w:t>Hedges’ d = -0.59</w:t>
      </w:r>
      <w:r>
        <w:t>，</w:t>
      </w:r>
      <w:r>
        <w:t>95% CI</w:t>
      </w:r>
      <w:r>
        <w:t>：</w:t>
      </w:r>
      <w:r>
        <w:t>[-1.18</w:t>
      </w:r>
      <w:r>
        <w:t>，</w:t>
      </w:r>
      <w:r>
        <w:t>0.03]</w:t>
      </w:r>
      <w:r>
        <w:t>）（图</w:t>
      </w:r>
      <w:r>
        <w:t>3-5</w:t>
      </w:r>
      <w:r>
        <w:t>）。相比之下，秸秆还田显著增加</w:t>
      </w:r>
      <w:r>
        <w:t>N₂O</w:t>
      </w:r>
      <w:r>
        <w:t>排放（</w:t>
      </w:r>
      <w:r>
        <w:t>+10.2%</w:t>
      </w:r>
      <w:r>
        <w:t>，</w:t>
      </w:r>
      <w:r>
        <w:t>95% CI</w:t>
      </w:r>
      <w:r>
        <w:t>：</w:t>
      </w:r>
      <w:r>
        <w:t>[+3.6%</w:t>
      </w:r>
      <w:r>
        <w:t>，</w:t>
      </w:r>
      <w:r>
        <w:t>+16.2%]</w:t>
      </w:r>
      <w:r>
        <w:t>），而对产量和产量尺度排放的影响不显著，</w:t>
      </w:r>
      <w:r>
        <w:t>EF</w:t>
      </w:r>
      <w:r>
        <w:t>因独立文献数不足不作合并判断。秸秆还田促进</w:t>
      </w:r>
      <w:r>
        <w:t>N₂O</w:t>
      </w:r>
      <w:r>
        <w:t>排放，可能与其向土壤输入额外有机碳和氮源、增强反硝化过程有关（</w:t>
      </w:r>
      <w:r>
        <w:t>Abalos et al., 2022; Shan and Yan, 2013</w:t>
      </w:r>
      <w:r>
        <w:t>）。因此，粪肥施用的减排证据较秸秆还田更直接，但其</w:t>
      </w:r>
      <w:r>
        <w:t>EF</w:t>
      </w:r>
      <w:r>
        <w:t>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w:t>
      </w:r>
      <w:r>
        <w:t>N₂O</w:t>
      </w:r>
      <w:r>
        <w:t>排放，但二者在产量和其他指标上的证据强度不同。生物炭添加显著降低</w:t>
      </w:r>
      <w:r>
        <w:t>N₂O</w:t>
      </w:r>
      <w:r>
        <w:t>排放（</w:t>
      </w:r>
      <w:r>
        <w:t>-9.7%</w:t>
      </w:r>
      <w:r>
        <w:t>，</w:t>
      </w:r>
      <w:r>
        <w:t>95% CI</w:t>
      </w:r>
      <w:r>
        <w:t>：</w:t>
      </w:r>
      <w:r>
        <w:t>[-13.7%</w:t>
      </w:r>
      <w:r>
        <w:t>，</w:t>
      </w:r>
      <w:r>
        <w:t>-4.9%]</w:t>
      </w:r>
      <w:r>
        <w:t>），同时显著提高作物产量（</w:t>
      </w:r>
      <w:r>
        <w:t>+10.4%</w:t>
      </w:r>
      <w:r>
        <w:t>，</w:t>
      </w:r>
      <w:r>
        <w:t>95% CI</w:t>
      </w:r>
      <w:r>
        <w:t>：</w:t>
      </w:r>
      <w:r>
        <w:t>[+7.7%</w:t>
      </w:r>
      <w:r>
        <w:t>，</w:t>
      </w:r>
      <w:r>
        <w:t>+13.1%]</w:t>
      </w:r>
      <w:r>
        <w:t>），并降低产量尺度排放（</w:t>
      </w:r>
      <w:r>
        <w:t>-17.8%</w:t>
      </w:r>
      <w:r>
        <w:t>，</w:t>
      </w:r>
      <w:r>
        <w:t>95% CI</w:t>
      </w:r>
      <w:r>
        <w:t>：</w:t>
      </w:r>
      <w:r>
        <w:t>[-21.8%</w:t>
      </w:r>
      <w:r>
        <w:t>，</w:t>
      </w:r>
      <w:r>
        <w:t>-13.8%]</w:t>
      </w:r>
      <w:r>
        <w:t>）（图</w:t>
      </w:r>
      <w:r>
        <w:t>3-5</w:t>
      </w:r>
      <w:r>
        <w:t>），因此不能再解释为</w:t>
      </w:r>
      <w:r>
        <w:t>“</w:t>
      </w:r>
      <w:r>
        <w:t>对产量无显著影响</w:t>
      </w:r>
      <w:r>
        <w:t>”</w:t>
      </w:r>
      <w:r>
        <w:t>。这一增产效应可能与生物炭改善土壤孔隙结构、提高养分保持能力和缓解干旱胁迫有关；但其</w:t>
      </w:r>
      <w:r>
        <w:t>EF</w:t>
      </w:r>
      <w:r>
        <w:t>效应因独立文献数不足，仍不作正式合并判断。增效肥料的证据主要体现在</w:t>
      </w:r>
      <w:r>
        <w:t>N₂O</w:t>
      </w:r>
      <w:r>
        <w:t>减排上，其使</w:t>
      </w:r>
      <w:r>
        <w:t>N₂O</w:t>
      </w:r>
      <w:r>
        <w:t>排放显著降低（</w:t>
      </w:r>
      <w:r>
        <w:t>-19.1%</w:t>
      </w:r>
      <w:r>
        <w:t>，</w:t>
      </w:r>
      <w:r>
        <w:t>95% CI</w:t>
      </w:r>
      <w:r>
        <w:t>：</w:t>
      </w:r>
      <w:r>
        <w:t>[-25.8%</w:t>
      </w:r>
      <w:r>
        <w:t>，</w:t>
      </w:r>
      <w:r>
        <w:t>-13.3%]</w:t>
      </w:r>
      <w:r>
        <w:t>），符合硝化抑制剂、脲酶抑制剂和缓控释肥通过延缓氮素转化、降低短期无机氮峰值而减少</w:t>
      </w:r>
      <w:r>
        <w:t>N₂O</w:t>
      </w:r>
      <w:r>
        <w:t>产生的机理；但其产量、产量尺度排放和</w:t>
      </w:r>
      <w:r>
        <w:t>EF</w:t>
      </w:r>
      <w:r>
        <w:t>结果均受</w:t>
      </w:r>
      <w:r>
        <w:t>refs &lt; 3</w:t>
      </w:r>
      <w:r>
        <w:t>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w:t>
      </w:r>
      <w:r>
        <w:t>N₂O</w:t>
      </w:r>
      <w:r>
        <w:t>排放、产量尺度排放和</w:t>
      </w:r>
      <w:r>
        <w:t>EF</w:t>
      </w:r>
      <w:r>
        <w:t>方面效果较直接，但其产量效应取决于减氮幅度。总体上，减量施氮显著降低</w:t>
      </w:r>
      <w:r>
        <w:t>N₂O</w:t>
      </w:r>
      <w:r>
        <w:t>排放（</w:t>
      </w:r>
      <w:r>
        <w:t>-31.8%</w:t>
      </w:r>
      <w:r>
        <w:t>）、产量尺度排放（</w:t>
      </w:r>
      <w:r>
        <w:t>-27.4%</w:t>
      </w:r>
      <w:r>
        <w:t>）和</w:t>
      </w:r>
      <w:r>
        <w:t>EF</w:t>
      </w:r>
      <w:r>
        <w:t>（</w:t>
      </w:r>
      <w:r>
        <w:t>Hedges’ d = -0.38</w:t>
      </w:r>
      <w:r>
        <w:t>），同时对作物产量存在小幅但显著负效应（</w:t>
      </w:r>
      <w:r>
        <w:t>-5.1%</w:t>
      </w:r>
      <w:r>
        <w:t>）（图</w:t>
      </w:r>
      <w:r>
        <w:t>3-6</w:t>
      </w:r>
      <w:r>
        <w:t>）。分幅度看，减氮</w:t>
      </w:r>
      <w:r>
        <w:t>&lt;25%</w:t>
      </w:r>
      <w:r>
        <w:t>显著降低</w:t>
      </w:r>
      <w:r>
        <w:t>N₂O</w:t>
      </w:r>
      <w:r>
        <w:t>排放（</w:t>
      </w:r>
      <w:r>
        <w:t>-27.6%</w:t>
      </w:r>
      <w:r>
        <w:t>）、产量尺度排放（</w:t>
      </w:r>
      <w:r>
        <w:t>-26.8%</w:t>
      </w:r>
      <w:r>
        <w:t>）和</w:t>
      </w:r>
      <w:r>
        <w:t>EF</w:t>
      </w:r>
      <w:r>
        <w:t>（</w:t>
      </w:r>
      <w:r>
        <w:t>Hedges’ d = -1.31</w:t>
      </w:r>
      <w:r>
        <w:t>），且对产量影响不显著，说明当前数据支持其具有稳产减排潜力；减氮</w:t>
      </w:r>
      <w:r>
        <w:t>25%–50%</w:t>
      </w:r>
      <w:r>
        <w:t>同样显著降低</w:t>
      </w:r>
      <w:r>
        <w:t>N₂O</w:t>
      </w:r>
      <w:r>
        <w:t>排放、产量尺度排放和</w:t>
      </w:r>
      <w:r>
        <w:t>EF</w:t>
      </w:r>
      <w:r>
        <w:t>，产量影响不显著；减氮</w:t>
      </w:r>
      <w:r>
        <w:t>&gt;50%</w:t>
      </w:r>
      <w:r>
        <w:t>虽然</w:t>
      </w:r>
      <w:r>
        <w:t>N₂O</w:t>
      </w:r>
      <w:r>
        <w:t>减排幅度最大，但会造成显著产量损失。考虑到不同作物的氮肥依赖程度和长期土壤氮库响应可能不同，减氮</w:t>
      </w:r>
      <w:r>
        <w:t>&lt;25%</w:t>
      </w:r>
      <w:r>
        <w:t>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w:t>
      </w:r>
      <w:r>
        <w:t>11.1 t ha⁻¹</w:t>
      </w:r>
      <w:r>
        <w:t>）明显高于全球玉米（</w:t>
      </w:r>
      <w:r>
        <w:t>7.9—8.0 t ha⁻¹</w:t>
      </w:r>
      <w:r>
        <w:t>），最高产量（</w:t>
      </w:r>
      <w:r>
        <w:t>11.9 t ha⁻¹</w:t>
      </w:r>
      <w:r>
        <w:t>）和农学最优施氮量（</w:t>
      </w:r>
      <w:r>
        <w:t>295 kg N ha⁻¹</w:t>
      </w:r>
      <w:r>
        <w:t>）均约比华北平原夏玉米高</w:t>
      </w:r>
      <w:r>
        <w:t>25%</w:t>
      </w:r>
      <w:r>
        <w:t>（</w:t>
      </w:r>
      <w:hyperlink w:anchor="ref_Xu_2017" w:history="1">
        <w:r w:rsidR="00842031">
          <w:t>Xu et al., 2017</w:t>
        </w:r>
      </w:hyperlink>
      <w:r>
        <w:t>）。然而</w:t>
      </w:r>
      <w:r>
        <w:t>Meta</w:t>
      </w:r>
      <w:r>
        <w:t>分析结果表明，春玉米对减量施氮反应敏感，产量损失相较于春小麦更为显著（</w:t>
      </w:r>
      <w:r w:rsidR="00842031">
        <w:fldChar w:fldCharType="begin"/>
      </w:r>
      <w:r w:rsidR="00842031">
        <w:instrText>HYPERLINK \l "Fig_3_6"</w:instrText>
      </w:r>
      <w:r w:rsidR="00842031">
        <w:fldChar w:fldCharType="separate"/>
      </w:r>
      <w:r w:rsidR="00842031">
        <w:t>图</w:t>
      </w:r>
      <w:r w:rsidR="00842031">
        <w:t>3-6</w:t>
      </w:r>
      <w:r w:rsidR="00842031">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w:t>
      </w:r>
      <w:r>
        <w:t>N₂O</w:t>
      </w:r>
      <w:r>
        <w:t>排放较高，提示大规模</w:t>
      </w:r>
      <w:r>
        <w:t>“</w:t>
      </w:r>
      <w:r>
        <w:t>粮改果</w:t>
      </w:r>
      <w:r>
        <w:t>”</w:t>
      </w:r>
      <w:r>
        <w:t>可能增加区域农业</w:t>
      </w:r>
      <w:r>
        <w:t>N₂O</w:t>
      </w:r>
      <w:r>
        <w:t>排放风险；其对区域总排放量的实际贡献仍需结合果园面积变化、施氮水平和管理强度进一步估算。进一步分析表明，苹果果园的高排放主要源于高施氮量驱动（图</w:t>
      </w:r>
      <w:r>
        <w:t>3-3</w:t>
      </w:r>
      <w:r>
        <w:t>），而各体系的</w:t>
      </w:r>
      <w:r>
        <w:t>EF</w:t>
      </w:r>
      <w:r>
        <w:t>和排放系数并无显著差异（图</w:t>
      </w:r>
      <w:r>
        <w:t>3-4A</w:t>
      </w:r>
      <w:r>
        <w:t>）。这意味着优化苹果园氮肥施用量是降低其</w:t>
      </w:r>
      <w:r>
        <w:t>N₂O</w:t>
      </w:r>
      <w:r>
        <w:t>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5BDA37D9" w14:textId="77777777" w:rsidR="00E7573F" w:rsidRPr="00E7573F" w:rsidRDefault="00E7573F" w:rsidP="00E7573F">
            <w:pPr>
              <w:ind w:firstLineChars="0" w:firstLine="0"/>
              <w:jc w:val="center"/>
              <w:rPr>
                <w:sz w:val="21"/>
                <w:szCs w:val="21"/>
              </w:rPr>
            </w:pPr>
            <w:r w:rsidRPr="00E7573F">
              <w:rPr>
                <w:sz w:val="21"/>
                <w:szCs w:val="21"/>
              </w:rPr>
              <w:t>图号</w:t>
            </w:r>
          </w:p>
        </w:tc>
        <w:tc>
          <w:tcPr>
            <w:tcW w:w="1955" w:type="dxa"/>
            <w:tcBorders>
              <w:top w:val="single" w:sz="12" w:space="0" w:color="auto"/>
              <w:bottom w:val="single" w:sz="4" w:space="0" w:color="auto"/>
            </w:tcBorders>
            <w:vAlign w:val="center"/>
            <w:hideMark/>
          </w:tcPr>
          <w:p w14:paraId="5D9D6429" w14:textId="77777777" w:rsidR="00E7573F" w:rsidRPr="00E7573F" w:rsidRDefault="00E7573F" w:rsidP="00E7573F">
            <w:pPr>
              <w:ind w:firstLineChars="0" w:firstLine="0"/>
              <w:jc w:val="center"/>
              <w:rPr>
                <w:sz w:val="21"/>
                <w:szCs w:val="21"/>
              </w:rPr>
            </w:pPr>
            <w:r w:rsidRPr="00E7573F">
              <w:rPr>
                <w:sz w:val="21"/>
                <w:szCs w:val="21"/>
              </w:rPr>
              <w:t>类别</w:t>
            </w:r>
          </w:p>
        </w:tc>
        <w:tc>
          <w:tcPr>
            <w:tcW w:w="2060" w:type="dxa"/>
            <w:tcBorders>
              <w:top w:val="single" w:sz="12" w:space="0" w:color="auto"/>
              <w:bottom w:val="single" w:sz="4" w:space="0" w:color="auto"/>
            </w:tcBorders>
            <w:vAlign w:val="center"/>
            <w:hideMark/>
          </w:tcPr>
          <w:p w14:paraId="7A185B0C" w14:textId="532B5FB7" w:rsidR="00E7573F" w:rsidRPr="00E7573F" w:rsidRDefault="00E7573F" w:rsidP="00E7573F">
            <w:pPr>
              <w:ind w:firstLineChars="0" w:firstLine="0"/>
              <w:jc w:val="center"/>
              <w:rPr>
                <w:sz w:val="21"/>
                <w:szCs w:val="21"/>
              </w:rPr>
            </w:pPr>
            <w:r w:rsidRPr="00E7573F">
              <w:rPr>
                <w:sz w:val="21"/>
                <w:szCs w:val="21"/>
              </w:rPr>
              <w:t>N₂O</w:t>
            </w:r>
            <w:r w:rsidRPr="00E7573F">
              <w:rPr>
                <w:sz w:val="21"/>
                <w:szCs w:val="21"/>
              </w:rPr>
              <w:t>有效效应量</w:t>
            </w:r>
            <w:r w:rsidRPr="00E7573F">
              <w:rPr>
                <w:sz w:val="21"/>
                <w:szCs w:val="21"/>
              </w:rPr>
              <w:t>k</w:t>
            </w:r>
          </w:p>
        </w:tc>
        <w:tc>
          <w:tcPr>
            <w:tcW w:w="2238" w:type="dxa"/>
            <w:tcBorders>
              <w:top w:val="single" w:sz="12" w:space="0" w:color="auto"/>
              <w:bottom w:val="single" w:sz="4" w:space="0" w:color="auto"/>
            </w:tcBorders>
            <w:vAlign w:val="center"/>
            <w:hideMark/>
          </w:tcPr>
          <w:p w14:paraId="1369D99E" w14:textId="77777777" w:rsidR="00E7573F" w:rsidRPr="00E7573F" w:rsidRDefault="00E7573F" w:rsidP="00E7573F">
            <w:pPr>
              <w:ind w:firstLineChars="0" w:firstLine="0"/>
              <w:jc w:val="center"/>
              <w:rPr>
                <w:sz w:val="21"/>
                <w:szCs w:val="21"/>
              </w:rPr>
            </w:pPr>
            <w:r w:rsidRPr="00E7573F">
              <w:rPr>
                <w:sz w:val="21"/>
                <w:szCs w:val="21"/>
              </w:rPr>
              <w:t>产量有效效应量</w:t>
            </w:r>
            <w:r w:rsidRPr="00E7573F">
              <w:rPr>
                <w:sz w:val="21"/>
                <w:szCs w:val="21"/>
              </w:rPr>
              <w:t xml:space="preserve"> k</w:t>
            </w:r>
          </w:p>
        </w:tc>
        <w:tc>
          <w:tcPr>
            <w:tcW w:w="1089" w:type="dxa"/>
            <w:tcBorders>
              <w:top w:val="single" w:sz="12" w:space="0" w:color="auto"/>
              <w:bottom w:val="single" w:sz="4" w:space="0" w:color="auto"/>
            </w:tcBorders>
            <w:vAlign w:val="center"/>
            <w:hideMark/>
          </w:tcPr>
          <w:p w14:paraId="5ECE386C" w14:textId="74DA615F" w:rsidR="00E7573F" w:rsidRPr="00E7573F" w:rsidRDefault="00E7573F" w:rsidP="00E7573F">
            <w:pPr>
              <w:ind w:firstLineChars="0" w:firstLine="0"/>
              <w:jc w:val="center"/>
              <w:rPr>
                <w:sz w:val="21"/>
                <w:szCs w:val="21"/>
              </w:rPr>
            </w:pPr>
            <w:r w:rsidRPr="00E7573F">
              <w:rPr>
                <w:sz w:val="21"/>
                <w:szCs w:val="21"/>
              </w:rP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pPr>
    <w:r>
      <w:rPr>
        <w:rFonts w:ascii="宋体" w:hAnsi="宋体"/>
      </w:rP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rPr>
        <w:lang w:val="en-US"/>
      </w:rPr>
    </w:pPr>
    <w:r>
      <w:rPr>
        <w:rFonts w:ascii="宋体" w:hAnsi="宋体"/>
      </w:rP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