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54C4D" w14:textId="327BD1EB" w:rsidR="002E6077" w:rsidRPr="002E6077" w:rsidRDefault="002E6077" w:rsidP="002E6077">
      <w:pPr>
        <w:jc w:val="center"/>
        <w:rPr>
          <w:rFonts w:ascii="Times New Roman" w:hAnsi="Times New Roman" w:cs="Times New Roman"/>
          <w:kern w:val="2"/>
          <w:lang w:val="en-US"/>
        </w:rPr>
      </w:pPr>
    </w:p>
    <w:p w14:paraId="57DD2619" w14:textId="77777777" w:rsidR="002E6077" w:rsidRPr="002E6077" w:rsidRDefault="002E6077" w:rsidP="002E6077">
      <w:pPr>
        <w:widowControl w:val="0"/>
        <w:jc w:val="center"/>
        <w:rPr>
          <w:rFonts w:ascii="Times New Roman" w:hAnsi="Times New Roman" w:cs="Times New Roman"/>
          <w:spacing w:val="70"/>
          <w:kern w:val="2"/>
          <w:lang w:val="en-US"/>
        </w:rPr>
      </w:pPr>
    </w:p>
    <w:p w14:paraId="5A0B7E26" w14:textId="77777777" w:rsidR="002E6077" w:rsidRPr="002E6077" w:rsidRDefault="002E6077" w:rsidP="002E6077">
      <w:pPr>
        <w:widowControl w:val="0"/>
        <w:jc w:val="center"/>
        <w:rPr>
          <w:rFonts w:ascii="Times New Roman" w:hAnsi="Times New Roman" w:cs="Times New Roman"/>
          <w:color w:val="000000"/>
          <w:kern w:val="2"/>
          <w:lang w:val="en-US"/>
        </w:rPr>
      </w:pPr>
    </w:p>
    <w:p w14:paraId="05F35552" w14:textId="77777777" w:rsidR="002E6077" w:rsidRPr="002E6077" w:rsidRDefault="002E6077" w:rsidP="002E6077">
      <w:pPr>
        <w:widowControl w:val="0"/>
        <w:jc w:val="center"/>
        <w:rPr>
          <w:rFonts w:ascii="Times New Roman" w:hAnsi="Times New Roman" w:cs="Times New Roman"/>
          <w:color w:val="000000"/>
          <w:kern w:val="2"/>
          <w:lang w:val="en-US"/>
        </w:rPr>
      </w:pPr>
    </w:p>
    <w:p w14:paraId="631CD246" w14:textId="5331051A" w:rsidR="002E6077" w:rsidRPr="002E6077" w:rsidRDefault="002E6077" w:rsidP="002E6077">
      <w:pPr>
        <w:widowControl w:val="0"/>
        <w:jc w:val="center"/>
        <w:rPr>
          <w:rFonts w:ascii="Times New Roman" w:hAnsi="Times New Roman" w:cs="Times New Roman"/>
          <w:color w:val="000000"/>
          <w:kern w:val="2"/>
          <w:lang w:val="en-US"/>
        </w:rPr>
      </w:pPr>
      <w:r w:rsidRPr="002E6077">
        <w:rPr>
          <w:rFonts w:ascii="Times New Roman" w:hAnsi="Times New Roman" w:cs="Times New Roman"/>
          <w:noProof/>
          <w:color w:val="000000"/>
          <w:kern w:val="2"/>
          <w:lang w:val="en-US"/>
        </w:rPr>
        <w:drawing>
          <wp:inline distT="0" distB="0" distL="0" distR="0" wp14:anchorId="12112040" wp14:editId="1A9DA365">
            <wp:extent cx="3469005" cy="70485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7">
                      <a:extLst>
                        <a:ext uri="{28A0092B-C50C-407E-A947-70E740481C1C}">
                          <a14:useLocalDpi xmlns:a14="http://schemas.microsoft.com/office/drawing/2010/main" val="0"/>
                        </a:ext>
                      </a:extLst>
                    </a:blip>
                    <a:srcRect t="23809" b="21131"/>
                    <a:stretch>
                      <a:fillRect/>
                    </a:stretch>
                  </pic:blipFill>
                  <pic:spPr>
                    <a:xfrm>
                      <a:off x="0" y="0"/>
                      <a:ext cx="3469005" cy="704850"/>
                    </a:xfrm>
                    <a:prstGeom prst="rect">
                      <a:avLst/>
                    </a:prstGeom>
                    <a:noFill/>
                    <a:ln>
                      <a:noFill/>
                    </a:ln>
                  </pic:spPr>
                </pic:pic>
              </a:graphicData>
            </a:graphic>
          </wp:inline>
        </w:drawing>
      </w:r>
    </w:p>
    <w:p w14:paraId="63BBBD11" w14:textId="77777777" w:rsidR="002E6077" w:rsidRPr="002E6077" w:rsidRDefault="002E6077" w:rsidP="002E6077">
      <w:pPr>
        <w:widowControl w:val="0"/>
        <w:jc w:val="center"/>
        <w:rPr>
          <w:rFonts w:ascii="Times New Roman" w:hAnsi="Times New Roman" w:cs="Times New Roman"/>
          <w:color w:val="000F6F"/>
          <w:kern w:val="2"/>
          <w:szCs w:val="21"/>
          <w:lang w:val="en-US"/>
        </w:rPr>
      </w:pPr>
      <w:r w:rsidRPr="002E6077">
        <w:rPr>
          <w:rFonts w:ascii="Times New Roman" w:hAnsi="Times New Roman" w:cs="Times New Roman"/>
          <w:color w:val="000F6F"/>
          <w:kern w:val="2"/>
          <w:szCs w:val="21"/>
          <w:lang w:val="en-US"/>
        </w:rPr>
        <w:fldChar w:fldCharType="begin"/>
      </w:r>
      <w:r w:rsidRPr="002E6077">
        <w:rPr>
          <w:rFonts w:ascii="Times New Roman" w:hAnsi="Times New Roman" w:cs="Times New Roman"/>
          <w:color w:val="000F6F"/>
          <w:kern w:val="2"/>
          <w:szCs w:val="21"/>
          <w:lang w:val="en-US"/>
        </w:rPr>
        <w:instrText xml:space="preserve"> INCLUDEPICTURE  "http://news.cau.edu.cn/upload/2005/caunews_20050711181514.jpg" \* MERGEFORMATINET </w:instrText>
      </w:r>
      <w:r w:rsidRPr="002E6077">
        <w:rPr>
          <w:rFonts w:ascii="Times New Roman" w:hAnsi="Times New Roman" w:cs="Times New Roman"/>
          <w:color w:val="000F6F"/>
          <w:kern w:val="2"/>
          <w:szCs w:val="21"/>
          <w:lang w:val="en-US"/>
        </w:rPr>
        <w:fldChar w:fldCharType="separate"/>
      </w:r>
    </w:p>
    <w:p w14:paraId="345115C2" w14:textId="77777777" w:rsidR="002E6077" w:rsidRPr="002E6077" w:rsidRDefault="002E6077" w:rsidP="002E6077">
      <w:pPr>
        <w:widowControl w:val="0"/>
        <w:jc w:val="center"/>
        <w:rPr>
          <w:rFonts w:ascii="Times New Roman" w:hAnsi="Times New Roman" w:cs="Times New Roman"/>
          <w:color w:val="000000"/>
          <w:kern w:val="2"/>
          <w:lang w:val="en-US"/>
        </w:rPr>
      </w:pPr>
      <w:r w:rsidRPr="002E6077">
        <w:rPr>
          <w:rFonts w:ascii="Times New Roman" w:hAnsi="Times New Roman" w:cs="Times New Roman"/>
          <w:color w:val="000F6F"/>
          <w:kern w:val="2"/>
          <w:szCs w:val="21"/>
          <w:lang w:val="en-US"/>
        </w:rPr>
        <w:fldChar w:fldCharType="end"/>
      </w:r>
    </w:p>
    <w:p w14:paraId="25BC927D" w14:textId="6ED1D89F" w:rsidR="002E6077" w:rsidRPr="002E6077" w:rsidRDefault="002E6077" w:rsidP="002E6077">
      <w:pPr>
        <w:widowControl w:val="0"/>
        <w:spacing w:beforeLines="100" w:before="240" w:afterLines="100" w:after="240"/>
        <w:jc w:val="center"/>
        <w:rPr>
          <w:rFonts w:ascii="黑体" w:eastAsia="黑体" w:hAnsi="黑体" w:cs="Times New Roman"/>
          <w:kern w:val="2"/>
          <w:sz w:val="40"/>
          <w:szCs w:val="28"/>
          <w:lang w:val="en-US"/>
        </w:rPr>
      </w:pPr>
      <w:r w:rsidRPr="002E6077">
        <w:rPr>
          <w:rFonts w:ascii="黑体" w:eastAsia="黑体" w:hAnsi="黑体" w:cs="Times New Roman" w:hint="eastAsia"/>
          <w:kern w:val="2"/>
          <w:sz w:val="40"/>
          <w:szCs w:val="28"/>
          <w:lang w:val="en-US"/>
        </w:rPr>
        <w:t>20</w:t>
      </w:r>
      <w:r w:rsidRPr="002E6077">
        <w:rPr>
          <w:rFonts w:ascii="黑体" w:eastAsia="黑体" w:hAnsi="黑体" w:cs="Times New Roman" w:hint="eastAsia"/>
          <w:color w:val="000000" w:themeColor="text1"/>
          <w:kern w:val="2"/>
          <w:sz w:val="40"/>
          <w:szCs w:val="28"/>
          <w:lang w:val="en-US"/>
        </w:rPr>
        <w:t>26</w:t>
      </w:r>
      <w:r w:rsidRPr="002E6077">
        <w:rPr>
          <w:rFonts w:ascii="黑体" w:eastAsia="黑体" w:hAnsi="黑体" w:cs="Times New Roman" w:hint="eastAsia"/>
          <w:kern w:val="2"/>
          <w:sz w:val="40"/>
          <w:szCs w:val="28"/>
          <w:lang w:val="en-US"/>
        </w:rPr>
        <w:t>届本科毕业</w:t>
      </w:r>
      <w:r w:rsidRPr="002E6077">
        <w:rPr>
          <w:rFonts w:ascii="黑体" w:eastAsia="黑体" w:hAnsi="黑体" w:cs="Times New Roman"/>
          <w:kern w:val="2"/>
          <w:sz w:val="40"/>
          <w:szCs w:val="28"/>
          <w:lang w:val="en-US"/>
        </w:rPr>
        <w:t>论文</w:t>
      </w:r>
    </w:p>
    <w:p w14:paraId="4E4C852C" w14:textId="77777777" w:rsidR="002E6077" w:rsidRPr="002E6077" w:rsidRDefault="002E6077" w:rsidP="002E6077">
      <w:pPr>
        <w:widowControl w:val="0"/>
        <w:jc w:val="center"/>
        <w:rPr>
          <w:rFonts w:ascii="Times New Roman" w:hAnsi="Times New Roman" w:cs="Times New Roman"/>
          <w:kern w:val="2"/>
          <w:lang w:val="en-US"/>
        </w:rPr>
      </w:pPr>
    </w:p>
    <w:p w14:paraId="689DD8ED" w14:textId="77777777" w:rsidR="002E6077" w:rsidRPr="002E6077" w:rsidRDefault="002E6077" w:rsidP="002E6077">
      <w:pPr>
        <w:widowControl w:val="0"/>
        <w:jc w:val="center"/>
        <w:outlineLvl w:val="7"/>
        <w:rPr>
          <w:rFonts w:ascii="Times New Roman" w:eastAsia="黑体" w:hAnsi="Times New Roman" w:cs="Times New Roman"/>
          <w:b/>
          <w:bCs/>
          <w:kern w:val="2"/>
          <w:sz w:val="44"/>
          <w:szCs w:val="32"/>
          <w:lang w:val="en-US"/>
        </w:rPr>
      </w:pPr>
      <w:r w:rsidRPr="002E6077">
        <w:rPr>
          <w:rFonts w:ascii="Times New Roman" w:eastAsia="黑体" w:hAnsi="Times New Roman" w:cs="Times New Roman"/>
          <w:b/>
          <w:bCs/>
          <w:kern w:val="2"/>
          <w:sz w:val="44"/>
          <w:szCs w:val="32"/>
          <w:lang w:val="en-US"/>
        </w:rPr>
        <w:fldChar w:fldCharType="begin"/>
      </w:r>
      <w:r w:rsidRPr="002E6077">
        <w:rPr>
          <w:rFonts w:ascii="Times New Roman" w:eastAsia="黑体" w:hAnsi="Times New Roman" w:cs="Times New Roman"/>
          <w:b/>
          <w:bCs/>
          <w:kern w:val="2"/>
          <w:sz w:val="44"/>
          <w:szCs w:val="32"/>
          <w:lang w:val="en-US"/>
        </w:rPr>
        <w:instrText xml:space="preserve"> </w:instrText>
      </w:r>
      <w:r w:rsidRPr="002E6077">
        <w:rPr>
          <w:rFonts w:ascii="Times New Roman" w:eastAsia="黑体" w:hAnsi="Times New Roman" w:cs="Times New Roman" w:hint="eastAsia"/>
          <w:b/>
          <w:bCs/>
          <w:kern w:val="2"/>
          <w:sz w:val="44"/>
          <w:szCs w:val="32"/>
          <w:lang w:val="en-US"/>
        </w:rPr>
        <w:instrText>MACROBUTTON  AcceptAllChangesInDocAndStopTracking [</w:instrText>
      </w:r>
      <w:r w:rsidRPr="002E6077">
        <w:rPr>
          <w:rFonts w:ascii="Times New Roman" w:eastAsia="黑体" w:hAnsi="Times New Roman" w:cs="Times New Roman" w:hint="eastAsia"/>
          <w:b/>
          <w:bCs/>
          <w:kern w:val="2"/>
          <w:sz w:val="44"/>
          <w:szCs w:val="32"/>
          <w:lang w:val="en-US"/>
        </w:rPr>
        <w:instrText>请单击此处，键入论文题目</w:instrText>
      </w:r>
      <w:r w:rsidRPr="002E6077">
        <w:rPr>
          <w:rFonts w:ascii="Times New Roman" w:eastAsia="黑体" w:hAnsi="Times New Roman" w:cs="Times New Roman" w:hint="eastAsia"/>
          <w:b/>
          <w:bCs/>
          <w:kern w:val="2"/>
          <w:sz w:val="44"/>
          <w:szCs w:val="32"/>
          <w:lang w:val="en-US"/>
        </w:rPr>
        <w:instrText>]</w:instrText>
      </w:r>
      <w:r w:rsidRPr="002E6077">
        <w:rPr>
          <w:rFonts w:ascii="Times New Roman" w:eastAsia="黑体" w:hAnsi="Times New Roman" w:cs="Times New Roman"/>
          <w:b/>
          <w:bCs/>
          <w:kern w:val="2"/>
          <w:sz w:val="44"/>
          <w:szCs w:val="32"/>
          <w:lang w:val="en-US"/>
        </w:rPr>
        <w:instrText xml:space="preserve"> </w:instrText>
      </w:r>
      <w:r w:rsidRPr="002E6077">
        <w:rPr>
          <w:rFonts w:ascii="Times New Roman" w:eastAsia="黑体" w:hAnsi="Times New Roman" w:cs="Times New Roman"/>
          <w:b/>
          <w:bCs/>
          <w:kern w:val="2"/>
          <w:sz w:val="44"/>
          <w:szCs w:val="32"/>
          <w:lang w:val="en-US"/>
        </w:rPr>
        <w:fldChar w:fldCharType="end"/>
      </w:r>
    </w:p>
    <w:p w14:paraId="0A97E42D" w14:textId="77777777" w:rsidR="002E6077" w:rsidRPr="002E6077" w:rsidRDefault="002E6077" w:rsidP="002E6077">
      <w:pPr>
        <w:widowControl w:val="0"/>
        <w:spacing w:line="400" w:lineRule="exact"/>
        <w:ind w:firstLineChars="200" w:firstLine="480"/>
        <w:jc w:val="both"/>
        <w:rPr>
          <w:rFonts w:ascii="Times New Roman" w:hAnsi="Times New Roman" w:cs="Times New Roman"/>
          <w:kern w:val="2"/>
          <w:lang w:val="en-US"/>
        </w:rPr>
      </w:pPr>
    </w:p>
    <w:p w14:paraId="0019514B" w14:textId="77777777" w:rsidR="002E6077" w:rsidRPr="002E6077" w:rsidRDefault="002E6077" w:rsidP="002E6077">
      <w:pPr>
        <w:widowControl w:val="0"/>
        <w:jc w:val="center"/>
        <w:outlineLvl w:val="7"/>
        <w:rPr>
          <w:rFonts w:ascii="Times New Roman" w:eastAsia="黑体" w:hAnsi="Times New Roman" w:cs="Times New Roman"/>
          <w:b/>
          <w:bCs/>
          <w:kern w:val="2"/>
          <w:sz w:val="44"/>
          <w:szCs w:val="32"/>
          <w:lang w:val="en-US"/>
        </w:rPr>
      </w:pPr>
      <w:r w:rsidRPr="002E6077">
        <w:rPr>
          <w:rFonts w:ascii="Times New Roman" w:eastAsia="黑体" w:hAnsi="Times New Roman" w:cs="Times New Roman"/>
          <w:b/>
          <w:bCs/>
          <w:kern w:val="2"/>
          <w:sz w:val="44"/>
          <w:szCs w:val="32"/>
          <w:lang w:val="en-US"/>
        </w:rPr>
        <w:fldChar w:fldCharType="begin"/>
      </w:r>
      <w:r w:rsidRPr="002E6077">
        <w:rPr>
          <w:rFonts w:ascii="Times New Roman" w:eastAsia="黑体" w:hAnsi="Times New Roman" w:cs="Times New Roman"/>
          <w:b/>
          <w:bCs/>
          <w:kern w:val="2"/>
          <w:sz w:val="44"/>
          <w:szCs w:val="32"/>
          <w:lang w:val="en-US"/>
        </w:rPr>
        <w:instrText xml:space="preserve"> MACROBUTTON  AcceptAllChangesInDocAndStopTracking [</w:instrText>
      </w:r>
      <w:r w:rsidRPr="002E6077">
        <w:rPr>
          <w:rFonts w:ascii="Times New Roman" w:eastAsia="黑体" w:hAnsi="Times New Roman" w:cs="Times New Roman"/>
          <w:b/>
          <w:bCs/>
          <w:kern w:val="2"/>
          <w:sz w:val="44"/>
          <w:szCs w:val="32"/>
          <w:lang w:val="en-US"/>
        </w:rPr>
        <w:instrText>请单击此处，键入论文英文题目</w:instrText>
      </w:r>
      <w:r w:rsidRPr="002E6077">
        <w:rPr>
          <w:rFonts w:ascii="Times New Roman" w:eastAsia="黑体" w:hAnsi="Times New Roman" w:cs="Times New Roman"/>
          <w:b/>
          <w:bCs/>
          <w:kern w:val="2"/>
          <w:sz w:val="44"/>
          <w:szCs w:val="32"/>
          <w:lang w:val="en-US"/>
        </w:rPr>
        <w:instrText xml:space="preserve">] </w:instrText>
      </w:r>
      <w:r w:rsidRPr="002E6077">
        <w:rPr>
          <w:rFonts w:ascii="Times New Roman" w:eastAsia="黑体" w:hAnsi="Times New Roman" w:cs="Times New Roman"/>
          <w:b/>
          <w:bCs/>
          <w:kern w:val="2"/>
          <w:sz w:val="44"/>
          <w:szCs w:val="32"/>
          <w:lang w:val="en-US"/>
        </w:rPr>
        <w:fldChar w:fldCharType="end"/>
      </w:r>
    </w:p>
    <w:p w14:paraId="66504D89" w14:textId="77777777" w:rsidR="002E6077" w:rsidRPr="002E6077" w:rsidRDefault="002E6077" w:rsidP="002E6077">
      <w:pPr>
        <w:widowControl w:val="0"/>
        <w:jc w:val="center"/>
        <w:rPr>
          <w:rFonts w:ascii="Times New Roman" w:hAnsi="Times New Roman" w:cs="Times New Roman"/>
          <w:kern w:val="2"/>
          <w:lang w:val="en-US"/>
        </w:rPr>
      </w:pPr>
    </w:p>
    <w:p w14:paraId="31BB6FD1" w14:textId="77777777" w:rsidR="002E6077" w:rsidRPr="002E6077" w:rsidRDefault="002E6077" w:rsidP="002E6077">
      <w:pPr>
        <w:widowControl w:val="0"/>
        <w:jc w:val="center"/>
        <w:rPr>
          <w:rFonts w:ascii="Times New Roman" w:hAnsi="Times New Roman" w:cs="Times New Roman"/>
          <w:kern w:val="2"/>
          <w:lang w:val="en-US"/>
        </w:rPr>
      </w:pPr>
    </w:p>
    <w:p w14:paraId="7EBD6D61" w14:textId="77777777" w:rsidR="002E6077" w:rsidRPr="002E6077" w:rsidRDefault="002E6077" w:rsidP="002E6077">
      <w:pPr>
        <w:widowControl w:val="0"/>
        <w:jc w:val="center"/>
        <w:rPr>
          <w:rFonts w:ascii="Times New Roman" w:hAnsi="Times New Roman" w:cs="Times New Roman"/>
          <w:kern w:val="2"/>
          <w:lang w:val="en-US"/>
        </w:rPr>
      </w:pPr>
    </w:p>
    <w:p w14:paraId="441A14E1" w14:textId="77777777" w:rsidR="002E6077" w:rsidRPr="002E6077" w:rsidRDefault="002E6077" w:rsidP="002E6077">
      <w:pPr>
        <w:widowControl w:val="0"/>
        <w:jc w:val="center"/>
        <w:rPr>
          <w:rFonts w:ascii="Times New Roman" w:hAnsi="Times New Roman" w:cs="Times New Roman"/>
          <w:kern w:val="2"/>
          <w:lang w:val="en-US"/>
        </w:rPr>
      </w:pPr>
    </w:p>
    <w:p w14:paraId="379FD222" w14:textId="77777777" w:rsidR="002E6077" w:rsidRPr="002E6077" w:rsidRDefault="002E6077" w:rsidP="002E6077">
      <w:pPr>
        <w:widowControl w:val="0"/>
        <w:jc w:val="center"/>
        <w:rPr>
          <w:rFonts w:ascii="Times New Roman" w:hAnsi="Times New Roman" w:cs="Times New Roman"/>
          <w:kern w:val="2"/>
          <w:lang w:val="en-US"/>
        </w:rPr>
      </w:pPr>
    </w:p>
    <w:p w14:paraId="094D2664" w14:textId="77777777" w:rsidR="002E6077" w:rsidRPr="002E6077" w:rsidRDefault="002E6077" w:rsidP="002E6077">
      <w:pPr>
        <w:widowControl w:val="0"/>
        <w:jc w:val="center"/>
        <w:rPr>
          <w:rFonts w:ascii="Times New Roman" w:hAnsi="Times New Roman" w:cs="Times New Roman"/>
          <w:kern w:val="2"/>
          <w:lang w:val="en-US"/>
        </w:rPr>
      </w:pPr>
    </w:p>
    <w:p w14:paraId="6FC67B1B" w14:textId="77777777" w:rsidR="002E6077" w:rsidRPr="002E6077" w:rsidRDefault="002E6077" w:rsidP="002E6077">
      <w:pPr>
        <w:widowControl w:val="0"/>
        <w:jc w:val="center"/>
        <w:rPr>
          <w:rFonts w:ascii="Times New Roman" w:hAnsi="Times New Roman" w:cs="Times New Roman"/>
          <w:kern w:val="2"/>
          <w:lang w:val="en-US"/>
        </w:rPr>
      </w:pPr>
    </w:p>
    <w:p w14:paraId="2C6D9E2A" w14:textId="77777777" w:rsidR="002E6077" w:rsidRPr="002E6077" w:rsidRDefault="002E6077" w:rsidP="002E6077">
      <w:pPr>
        <w:widowControl w:val="0"/>
        <w:spacing w:line="360" w:lineRule="auto"/>
        <w:ind w:leftChars="-7" w:left="-17" w:firstLineChars="131" w:firstLine="1546"/>
        <w:rPr>
          <w:rFonts w:ascii="黑体" w:eastAsia="黑体" w:hAnsi="黑体" w:cs="Times New Roman"/>
          <w:kern w:val="2"/>
          <w:position w:val="-6"/>
          <w:sz w:val="30"/>
          <w:szCs w:val="30"/>
          <w:u w:val="single"/>
          <w:lang w:val="en-US"/>
        </w:rPr>
      </w:pPr>
      <w:r w:rsidRPr="002E6077">
        <w:rPr>
          <w:rFonts w:ascii="黑体" w:eastAsia="黑体" w:hAnsi="黑体" w:cs="Times New Roman" w:hint="eastAsia"/>
          <w:spacing w:val="440"/>
          <w:sz w:val="30"/>
          <w:szCs w:val="30"/>
          <w:fitText w:val="1500" w:id="-447953406"/>
          <w:lang w:val="en-US"/>
        </w:rPr>
        <w:t>作</w:t>
      </w:r>
      <w:r w:rsidRPr="002E6077">
        <w:rPr>
          <w:rFonts w:ascii="黑体" w:eastAsia="黑体" w:hAnsi="黑体" w:cs="Times New Roman" w:hint="eastAsia"/>
          <w:spacing w:val="10"/>
          <w:sz w:val="30"/>
          <w:szCs w:val="30"/>
          <w:fitText w:val="1500" w:id="-447953406"/>
          <w:lang w:val="en-US"/>
        </w:rPr>
        <w:t>者</w:t>
      </w:r>
      <w:r w:rsidRPr="002E6077">
        <w:rPr>
          <w:rFonts w:ascii="黑体" w:eastAsia="黑体" w:hAnsi="黑体" w:cs="Times New Roman"/>
          <w:kern w:val="2"/>
          <w:sz w:val="30"/>
          <w:szCs w:val="30"/>
          <w:lang w:val="en-US"/>
        </w:rPr>
        <w:t>：</w:t>
      </w:r>
      <w:r w:rsidRPr="002E6077">
        <w:rPr>
          <w:rFonts w:ascii="黑体" w:eastAsia="黑体" w:hAnsi="黑体" w:cs="Times New Roman" w:hint="eastAsia"/>
          <w:kern w:val="2"/>
          <w:sz w:val="30"/>
          <w:szCs w:val="30"/>
          <w:lang w:val="en-US"/>
        </w:rPr>
        <w:t xml:space="preserve"> </w:t>
      </w:r>
      <w:r w:rsidRPr="002E6077">
        <w:rPr>
          <w:rFonts w:ascii="黑体" w:eastAsia="黑体" w:hAnsi="黑体" w:cs="Times New Roman"/>
          <w:kern w:val="2"/>
          <w:sz w:val="30"/>
          <w:szCs w:val="30"/>
          <w:lang w:val="en-US"/>
        </w:rPr>
        <w:t xml:space="preserve"> </w:t>
      </w:r>
      <w:r w:rsidRPr="002E6077">
        <w:rPr>
          <w:rFonts w:ascii="黑体" w:eastAsia="黑体" w:hAnsi="黑体" w:cs="Times New Roman"/>
          <w:kern w:val="2"/>
          <w:sz w:val="30"/>
          <w:szCs w:val="30"/>
          <w:lang w:val="en-US"/>
        </w:rPr>
        <w:fldChar w:fldCharType="begin"/>
      </w:r>
      <w:r w:rsidRPr="002E6077">
        <w:rPr>
          <w:rFonts w:ascii="黑体" w:eastAsia="黑体" w:hAnsi="黑体" w:cs="Times New Roman"/>
          <w:kern w:val="2"/>
          <w:sz w:val="30"/>
          <w:szCs w:val="30"/>
          <w:lang w:val="en-US"/>
        </w:rPr>
        <w:instrText xml:space="preserve"> MACROBUTTON  AcceptAllChangesInDocAndStopTracking [请单击此处键入姓名] </w:instrText>
      </w:r>
      <w:r w:rsidRPr="002E6077">
        <w:rPr>
          <w:rFonts w:ascii="黑体" w:eastAsia="黑体" w:hAnsi="黑体" w:cs="Times New Roman"/>
          <w:kern w:val="2"/>
          <w:sz w:val="30"/>
          <w:szCs w:val="30"/>
          <w:lang w:val="en-US"/>
        </w:rPr>
        <w:fldChar w:fldCharType="end"/>
      </w:r>
    </w:p>
    <w:p w14:paraId="0459858E" w14:textId="77777777" w:rsidR="002E6077" w:rsidRPr="002E6077" w:rsidRDefault="002E6077" w:rsidP="002E6077">
      <w:pPr>
        <w:widowControl w:val="0"/>
        <w:spacing w:line="360" w:lineRule="auto"/>
        <w:ind w:leftChars="-7" w:left="-17" w:firstLineChars="56" w:firstLine="168"/>
        <w:rPr>
          <w:rFonts w:ascii="黑体" w:eastAsia="黑体" w:hAnsi="黑体" w:cs="Times New Roman"/>
          <w:kern w:val="2"/>
          <w:position w:val="-6"/>
          <w:sz w:val="30"/>
          <w:szCs w:val="30"/>
          <w:u w:val="single"/>
          <w:lang w:val="en-US"/>
        </w:rPr>
      </w:pPr>
    </w:p>
    <w:p w14:paraId="79655952" w14:textId="77777777" w:rsidR="002E6077" w:rsidRPr="002E6077" w:rsidRDefault="002E6077" w:rsidP="002E6077">
      <w:pPr>
        <w:widowControl w:val="0"/>
        <w:spacing w:line="360" w:lineRule="auto"/>
        <w:ind w:leftChars="-7" w:left="-17" w:firstLineChars="394" w:firstLine="1576"/>
        <w:rPr>
          <w:rFonts w:ascii="黑体" w:eastAsia="黑体" w:hAnsi="黑体" w:cs="Times New Roman"/>
          <w:kern w:val="2"/>
          <w:position w:val="-6"/>
          <w:sz w:val="30"/>
          <w:szCs w:val="30"/>
          <w:u w:val="single"/>
          <w:lang w:val="en-US"/>
        </w:rPr>
      </w:pPr>
      <w:r w:rsidRPr="002E6077">
        <w:rPr>
          <w:rFonts w:ascii="黑体" w:eastAsia="黑体" w:hAnsi="黑体" w:cs="Times New Roman"/>
          <w:spacing w:val="50"/>
          <w:sz w:val="30"/>
          <w:szCs w:val="30"/>
          <w:fitText w:val="1500" w:id="-447953405"/>
          <w:lang w:val="en-US"/>
        </w:rPr>
        <w:t>指导教</w:t>
      </w:r>
      <w:r w:rsidRPr="002E6077">
        <w:rPr>
          <w:rFonts w:ascii="黑体" w:eastAsia="黑体" w:hAnsi="黑体" w:cs="Times New Roman"/>
          <w:sz w:val="30"/>
          <w:szCs w:val="30"/>
          <w:fitText w:val="1500" w:id="-447953405"/>
          <w:lang w:val="en-US"/>
        </w:rPr>
        <w:t>师</w:t>
      </w:r>
      <w:r w:rsidRPr="002E6077">
        <w:rPr>
          <w:rFonts w:ascii="黑体" w:eastAsia="黑体" w:hAnsi="黑体" w:cs="Times New Roman"/>
          <w:kern w:val="2"/>
          <w:sz w:val="30"/>
          <w:szCs w:val="30"/>
          <w:lang w:val="en-US"/>
        </w:rPr>
        <w:t xml:space="preserve">：  </w:t>
      </w:r>
      <w:r w:rsidRPr="002E6077">
        <w:rPr>
          <w:rFonts w:ascii="黑体" w:eastAsia="黑体" w:hAnsi="黑体" w:cs="Times New Roman"/>
          <w:kern w:val="2"/>
          <w:sz w:val="30"/>
          <w:szCs w:val="30"/>
          <w:lang w:val="en-US"/>
        </w:rPr>
        <w:fldChar w:fldCharType="begin"/>
      </w:r>
      <w:r w:rsidRPr="002E6077">
        <w:rPr>
          <w:rFonts w:ascii="黑体" w:eastAsia="黑体" w:hAnsi="黑体" w:cs="Times New Roman"/>
          <w:kern w:val="2"/>
          <w:sz w:val="30"/>
          <w:szCs w:val="30"/>
          <w:lang w:val="en-US"/>
        </w:rPr>
        <w:instrText xml:space="preserve"> MACROBUTTON  AcceptAllChangesInDocAndStopTracking [键入导师姓名，职称] </w:instrText>
      </w:r>
      <w:r w:rsidRPr="002E6077">
        <w:rPr>
          <w:rFonts w:ascii="黑体" w:eastAsia="黑体" w:hAnsi="黑体" w:cs="Times New Roman"/>
          <w:kern w:val="2"/>
          <w:sz w:val="30"/>
          <w:szCs w:val="30"/>
          <w:lang w:val="en-US"/>
        </w:rPr>
        <w:fldChar w:fldCharType="end"/>
      </w:r>
    </w:p>
    <w:p w14:paraId="40209C98" w14:textId="77777777" w:rsidR="002E6077" w:rsidRPr="002E6077" w:rsidRDefault="002E6077" w:rsidP="002E6077">
      <w:pPr>
        <w:widowControl w:val="0"/>
        <w:spacing w:line="360" w:lineRule="auto"/>
        <w:ind w:left="839"/>
        <w:jc w:val="both"/>
        <w:rPr>
          <w:rFonts w:ascii="黑体" w:eastAsia="黑体" w:hAnsi="黑体" w:cs="Times New Roman"/>
          <w:kern w:val="2"/>
          <w:position w:val="-6"/>
          <w:sz w:val="30"/>
          <w:szCs w:val="30"/>
          <w:u w:val="single"/>
          <w:lang w:val="en-US"/>
        </w:rPr>
      </w:pPr>
      <w:r w:rsidRPr="002E6077">
        <w:rPr>
          <w:rFonts w:ascii="Times New Roman" w:hAnsi="Times New Roman" w:cs="Times New Roman"/>
          <w:noProof/>
          <w:color w:val="000000"/>
          <w:kern w:val="2"/>
          <w:lang w:val="en-US"/>
        </w:rPr>
        <mc:AlternateContent>
          <mc:Choice Requires="wps">
            <w:drawing>
              <wp:anchor distT="0" distB="0" distL="114300" distR="114300" simplePos="0" relativeHeight="251659264" behindDoc="0" locked="0" layoutInCell="1" allowOverlap="1" wp14:anchorId="75DF6CC6" wp14:editId="175CD973">
                <wp:simplePos x="0" y="0"/>
                <wp:positionH relativeFrom="column">
                  <wp:posOffset>1764030</wp:posOffset>
                </wp:positionH>
                <wp:positionV relativeFrom="paragraph">
                  <wp:posOffset>7620</wp:posOffset>
                </wp:positionV>
                <wp:extent cx="2795270" cy="609600"/>
                <wp:effectExtent l="0" t="0" r="24130" b="19050"/>
                <wp:wrapNone/>
                <wp:docPr id="19" name="文本框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5270" cy="609600"/>
                        </a:xfrm>
                        <a:prstGeom prst="rect">
                          <a:avLst/>
                        </a:prstGeom>
                        <a:solidFill>
                          <a:srgbClr val="FFFFFF"/>
                        </a:solidFill>
                        <a:ln w="9525">
                          <a:solidFill>
                            <a:srgbClr val="000000"/>
                          </a:solidFill>
                          <a:miter lim="800000"/>
                        </a:ln>
                      </wps:spPr>
                      <wps:txbx>
                        <w:txbxContent>
                          <w:p w14:paraId="30E2FC1F" w14:textId="77777777" w:rsidR="002E6077" w:rsidRDefault="002E6077" w:rsidP="002E6077">
                            <w:pPr>
                              <w:pStyle w:val="af6"/>
                              <w:ind w:firstLine="480"/>
                              <w:rPr>
                                <w:color w:val="FF0000"/>
                              </w:rPr>
                            </w:pPr>
                            <w:r>
                              <w:rPr>
                                <w:rFonts w:hint="eastAsia"/>
                                <w:color w:val="FF0000"/>
                              </w:rPr>
                              <w:t>键入文本后，使用空格调整为居中对齐，请删除本文本框</w:t>
                            </w:r>
                          </w:p>
                        </w:txbxContent>
                      </wps:txbx>
                      <wps:bodyPr rot="0" vert="horz" wrap="square" lIns="91440" tIns="45720" rIns="91440" bIns="45720" anchor="t" anchorCtr="0" upright="1">
                        <a:noAutofit/>
                      </wps:bodyPr>
                    </wps:wsp>
                  </a:graphicData>
                </a:graphic>
              </wp:anchor>
            </w:drawing>
          </mc:Choice>
          <mc:Fallback>
            <w:pict>
              <v:shapetype w14:anchorId="75DF6CC6" id="_x0000_t202" coordsize="21600,21600" o:spt="202" path="m,l,21600r21600,l21600,xe">
                <v:stroke joinstyle="miter"/>
                <v:path gradientshapeok="t" o:connecttype="rect"/>
              </v:shapetype>
              <v:shape id="文本框 19" o:spid="_x0000_s1026" type="#_x0000_t202" style="position:absolute;left:0;text-align:left;margin-left:138.9pt;margin-top:.6pt;width:220.1pt;height:4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">
                <v:textbox>
                  <w:txbxContent>
                    <w:p w14:paraId="30E2FC1F" w14:textId="77777777" w:rsidR="002E6077" w:rsidRDefault="002E6077" w:rsidP="002E6077">
                      <w:pPr>
                        <w:pStyle w:val="af6"/>
                        <w:ind w:firstLine="480"/>
                        <w:rPr>
                          <w:color w:val="FF0000"/>
                        </w:rPr>
                      </w:pPr>
                      <w:r>
                        <w:rPr>
                          <w:rFonts w:hint="eastAsia"/>
                          <w:color w:val="FF0000"/>
                        </w:rPr>
                        <w:t>键入文本后，使用空格调整为居中对齐，请删除本文本框</w:t>
                      </w:r>
                    </w:p>
                  </w:txbxContent>
                </v:textbox>
              </v:shape>
            </w:pict>
          </mc:Fallback>
        </mc:AlternateContent>
      </w:r>
    </w:p>
    <w:p w14:paraId="3E244C29" w14:textId="77777777" w:rsidR="002E6077" w:rsidRPr="002E6077" w:rsidRDefault="002E6077" w:rsidP="002E6077">
      <w:pPr>
        <w:widowControl w:val="0"/>
        <w:spacing w:line="360" w:lineRule="auto"/>
        <w:ind w:left="839"/>
        <w:jc w:val="both"/>
        <w:rPr>
          <w:rFonts w:ascii="黑体" w:eastAsia="黑体" w:hAnsi="黑体" w:cs="Times New Roman"/>
          <w:kern w:val="2"/>
          <w:position w:val="-6"/>
          <w:sz w:val="30"/>
          <w:szCs w:val="30"/>
          <w:u w:val="single"/>
          <w:lang w:val="en-US"/>
        </w:rPr>
      </w:pPr>
    </w:p>
    <w:p w14:paraId="118A8BAD" w14:textId="77777777" w:rsidR="002E6077" w:rsidRPr="002E6077" w:rsidRDefault="002E6077" w:rsidP="002E6077">
      <w:pPr>
        <w:widowControl w:val="0"/>
        <w:jc w:val="center"/>
        <w:rPr>
          <w:rFonts w:ascii="Times New Roman" w:hAnsi="Times New Roman" w:cs="Times New Roman"/>
          <w:kern w:val="2"/>
          <w:sz w:val="28"/>
          <w:lang w:val="en-US"/>
        </w:rPr>
      </w:pPr>
    </w:p>
    <w:p w14:paraId="0B1D29F7" w14:textId="77777777" w:rsidR="002E6077" w:rsidRPr="002E6077" w:rsidRDefault="002E6077" w:rsidP="002E6077">
      <w:pPr>
        <w:widowControl w:val="0"/>
        <w:jc w:val="center"/>
        <w:rPr>
          <w:rFonts w:ascii="Times New Roman" w:hAnsi="Times New Roman" w:cs="Times New Roman"/>
          <w:kern w:val="2"/>
          <w:sz w:val="28"/>
          <w:lang w:val="en-US"/>
        </w:rPr>
      </w:pPr>
    </w:p>
    <w:p w14:paraId="78DFB275" w14:textId="77777777" w:rsidR="002E6077" w:rsidRPr="002E6077" w:rsidRDefault="002E6077" w:rsidP="002E6077">
      <w:pPr>
        <w:widowControl w:val="0"/>
        <w:jc w:val="center"/>
        <w:rPr>
          <w:rFonts w:ascii="Times New Roman" w:hAnsi="Times New Roman" w:cs="Times New Roman"/>
          <w:kern w:val="2"/>
          <w:sz w:val="28"/>
          <w:lang w:val="en-US"/>
        </w:rPr>
      </w:pPr>
    </w:p>
    <w:p w14:paraId="38CE2884" w14:textId="77777777" w:rsidR="002E6077" w:rsidRPr="002E6077" w:rsidRDefault="002E6077" w:rsidP="002E6077">
      <w:pPr>
        <w:widowControl w:val="0"/>
        <w:jc w:val="center"/>
        <w:rPr>
          <w:rFonts w:ascii="Times New Roman" w:hAnsi="Times New Roman" w:cs="Times New Roman"/>
          <w:kern w:val="2"/>
          <w:sz w:val="28"/>
          <w:lang w:val="en-US"/>
        </w:rPr>
      </w:pPr>
    </w:p>
    <w:p w14:paraId="57F52D16" w14:textId="77777777" w:rsidR="002E6077" w:rsidRPr="002E6077" w:rsidRDefault="002E6077" w:rsidP="002E6077">
      <w:pPr>
        <w:widowControl w:val="0"/>
        <w:jc w:val="center"/>
        <w:rPr>
          <w:rFonts w:ascii="Times New Roman" w:hAnsi="Times New Roman" w:cs="Times New Roman"/>
          <w:kern w:val="2"/>
          <w:sz w:val="28"/>
          <w:lang w:val="en-US"/>
        </w:rPr>
      </w:pPr>
      <w:r w:rsidRPr="002E6077">
        <w:rPr>
          <w:rFonts w:ascii="Times New Roman" w:hAnsi="Times New Roman" w:cs="Times New Roman"/>
          <w:noProof/>
          <w:color w:val="000000"/>
          <w:kern w:val="2"/>
          <w:lang w:val="en-US"/>
        </w:rPr>
        <mc:AlternateContent>
          <mc:Choice Requires="wps">
            <w:drawing>
              <wp:anchor distT="0" distB="0" distL="114300" distR="114300" simplePos="0" relativeHeight="251662336" behindDoc="0" locked="0" layoutInCell="1" allowOverlap="1" wp14:anchorId="600ECB72" wp14:editId="329FB6DF">
                <wp:simplePos x="0" y="0"/>
                <wp:positionH relativeFrom="column">
                  <wp:posOffset>3495675</wp:posOffset>
                </wp:positionH>
                <wp:positionV relativeFrom="paragraph">
                  <wp:posOffset>99060</wp:posOffset>
                </wp:positionV>
                <wp:extent cx="2074545" cy="596900"/>
                <wp:effectExtent l="4445" t="5080" r="16510" b="7620"/>
                <wp:wrapNone/>
                <wp:docPr id="48" name="文本框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74545" cy="596900"/>
                        </a:xfrm>
                        <a:prstGeom prst="rect">
                          <a:avLst/>
                        </a:prstGeom>
                        <a:solidFill>
                          <a:srgbClr val="FFFFFF"/>
                        </a:solidFill>
                        <a:ln w="9525">
                          <a:solidFill>
                            <a:srgbClr val="000000"/>
                          </a:solidFill>
                          <a:miter lim="800000"/>
                        </a:ln>
                      </wps:spPr>
                      <wps:txbx>
                        <w:txbxContent>
                          <w:p w14:paraId="0EEEEBB6" w14:textId="77777777" w:rsidR="002E6077" w:rsidRDefault="002E6077" w:rsidP="002E6077">
                            <w:pPr>
                              <w:pStyle w:val="af6"/>
                              <w:ind w:firstLineChars="0" w:firstLine="0"/>
                              <w:rPr>
                                <w:color w:val="FF0000"/>
                              </w:rPr>
                            </w:pPr>
                            <w:r>
                              <w:rPr>
                                <w:rFonts w:hint="eastAsia"/>
                                <w:color w:val="FF0000"/>
                              </w:rPr>
                              <w:t>填学位会召开月份，请删除本文本框</w:t>
                            </w:r>
                          </w:p>
                        </w:txbxContent>
                      </wps:txbx>
                      <wps:bodyPr rot="0" vert="horz" wrap="square" lIns="91440" tIns="45720" rIns="91440" bIns="45720" anchor="t" anchorCtr="0" upright="1">
                        <a:noAutofit/>
                      </wps:bodyPr>
                    </wps:wsp>
                  </a:graphicData>
                </a:graphic>
              </wp:anchor>
            </w:drawing>
          </mc:Choice>
          <mc:Fallback>
            <w:pict>
              <v:shape w14:anchorId="600ECB72" id="文本框 48" o:spid="_x0000_s1027" type="#_x0000_t202" style="position:absolute;left:0;text-align:left;margin-left:275.25pt;margin-top:7.8pt;width:163.35pt;height:47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">
                <v:textbox>
                  <w:txbxContent>
                    <w:p w14:paraId="0EEEEBB6" w14:textId="77777777" w:rsidR="002E6077" w:rsidRDefault="002E6077" w:rsidP="002E6077">
                      <w:pPr>
                        <w:pStyle w:val="af6"/>
                        <w:ind w:firstLineChars="0" w:firstLine="0"/>
                        <w:rPr>
                          <w:color w:val="FF0000"/>
                        </w:rPr>
                      </w:pPr>
                      <w:r>
                        <w:rPr>
                          <w:rFonts w:hint="eastAsia"/>
                          <w:color w:val="FF0000"/>
                        </w:rPr>
                        <w:t>填学位会召开月份，请删除本文本框</w:t>
                      </w:r>
                    </w:p>
                  </w:txbxContent>
                </v:textbox>
              </v:shape>
            </w:pict>
          </mc:Fallback>
        </mc:AlternateContent>
      </w:r>
    </w:p>
    <w:p w14:paraId="73CF9CBA" w14:textId="77777777" w:rsidR="002E6077" w:rsidRPr="002E6077" w:rsidRDefault="002E6077" w:rsidP="002E6077">
      <w:pPr>
        <w:widowControl w:val="0"/>
        <w:spacing w:line="360" w:lineRule="auto"/>
        <w:jc w:val="center"/>
        <w:rPr>
          <w:rFonts w:ascii="黑体" w:eastAsia="黑体" w:hAnsi="黑体" w:cs="Times New Roman"/>
          <w:kern w:val="2"/>
          <w:position w:val="-6"/>
          <w:sz w:val="30"/>
          <w:szCs w:val="30"/>
          <w:u w:val="single"/>
          <w:lang w:val="en-US"/>
        </w:rPr>
      </w:pPr>
      <w:r w:rsidRPr="002E6077">
        <w:rPr>
          <w:rFonts w:ascii="黑体" w:eastAsia="黑体" w:hAnsi="黑体" w:cs="Times New Roman"/>
          <w:kern w:val="2"/>
          <w:position w:val="-6"/>
          <w:sz w:val="30"/>
          <w:szCs w:val="30"/>
          <w:lang w:val="en-US"/>
        </w:rPr>
        <w:t>20XX</w:t>
      </w:r>
      <w:r w:rsidRPr="002E6077">
        <w:rPr>
          <w:rFonts w:ascii="黑体" w:eastAsia="黑体" w:hAnsi="黑体" w:cs="Times New Roman" w:hint="eastAsia"/>
          <w:kern w:val="2"/>
          <w:position w:val="-6"/>
          <w:sz w:val="30"/>
          <w:szCs w:val="30"/>
          <w:lang w:val="en-US"/>
        </w:rPr>
        <w:t>年</w:t>
      </w:r>
      <w:r w:rsidRPr="002E6077">
        <w:rPr>
          <w:rFonts w:ascii="黑体" w:eastAsia="黑体" w:hAnsi="黑体" w:cs="Times New Roman"/>
          <w:kern w:val="2"/>
          <w:position w:val="-6"/>
          <w:sz w:val="30"/>
          <w:szCs w:val="30"/>
          <w:lang w:val="en-US"/>
        </w:rPr>
        <w:t>XX</w:t>
      </w:r>
      <w:r w:rsidRPr="002E6077">
        <w:rPr>
          <w:rFonts w:ascii="黑体" w:eastAsia="黑体" w:hAnsi="黑体" w:cs="Times New Roman" w:hint="eastAsia"/>
          <w:kern w:val="2"/>
          <w:position w:val="-6"/>
          <w:sz w:val="30"/>
          <w:szCs w:val="30"/>
          <w:lang w:val="en-US"/>
        </w:rPr>
        <w:t>月</w:t>
      </w:r>
    </w:p>
    <w:p w14:paraId="7EBC6F72" w14:textId="77777777" w:rsidR="002E6077" w:rsidRPr="002E6077" w:rsidRDefault="002E6077" w:rsidP="002E6077">
      <w:pPr>
        <w:widowControl w:val="0"/>
        <w:jc w:val="center"/>
        <w:rPr>
          <w:rFonts w:ascii="黑体" w:eastAsia="黑体" w:hAnsi="Times New Roman" w:cs="Times New Roman"/>
          <w:kern w:val="2"/>
          <w:sz w:val="44"/>
          <w:lang w:val="en-US"/>
        </w:rPr>
      </w:pPr>
      <w:r w:rsidRPr="002E6077">
        <w:rPr>
          <w:rFonts w:ascii="黑体" w:eastAsia="黑体" w:hAnsi="Times New Roman" w:cs="Times New Roman"/>
          <w:kern w:val="2"/>
          <w:sz w:val="44"/>
          <w:lang w:val="en-US"/>
        </w:rPr>
        <w:br w:type="page"/>
      </w:r>
    </w:p>
    <w:p w14:paraId="3A3405A7" w14:textId="77777777" w:rsidR="00D5358D" w:rsidRPr="002E6077" w:rsidRDefault="00D5358D">
      <w:pPr>
        <w:pStyle w:val="ac"/>
        <w:ind w:firstLineChars="83" w:firstLine="199"/>
        <w:rPr>
          <w:rFonts w:ascii="黑体" w:eastAsia="黑体" w:hAnsi="黑体"/>
          <w:lang w:val="en-US"/>
        </w:rPr>
      </w:pPr>
    </w:p>
    <w:p w14:paraId="6DEAAB8A" w14:textId="77777777" w:rsidR="00D5358D" w:rsidRDefault="00D5358D">
      <w:pPr>
        <w:rPr>
          <w:rFonts w:ascii="黑体" w:eastAsia="黑体" w:hAnsi="黑体" w:cstheme="minorBidi"/>
          <w:kern w:val="2"/>
          <w:lang w:val="en-US"/>
          <w14:ligatures w14:val="standardContextual"/>
        </w:rPr>
      </w:pPr>
      <w:r>
        <w:rPr>
          <w:rFonts w:ascii="黑体" w:eastAsia="黑体" w:hAnsi="黑体"/>
        </w:rPr>
        <w:br w:type="page"/>
      </w:r>
    </w:p>
    <w:p w14:paraId="75ADFD7B" w14:textId="78C9B9D2" w:rsidR="00606DE5" w:rsidRDefault="00000000">
      <w:pPr>
        <w:pStyle w:val="ac"/>
        <w:ind w:firstLineChars="83" w:firstLine="199"/>
        <w:rPr>
          <w:rFonts w:ascii="黑体" w:eastAsia="黑体" w:hAnsi="黑体"/>
        </w:rPr>
      </w:pPr>
      <w:r>
        <w:rPr>
          <w:rFonts w:ascii="黑体" w:eastAsia="黑体" w:hAnsi="黑体" w:hint="eastAsia"/>
        </w:rPr>
        <w:lastRenderedPageBreak/>
        <w:t>摘 要：</w:t>
      </w:r>
    </w:p>
    <w:p w14:paraId="2EE2489A" w14:textId="77777777" w:rsidR="00606DE5" w:rsidRDefault="00000000">
      <w:pPr>
        <w:pStyle w:val="ac"/>
        <w:ind w:firstLine="480"/>
      </w:pPr>
      <w:r>
        <w:rPr>
          <w:rFonts w:hint="eastAsia"/>
        </w:rPr>
        <w:t>氧化亚氮（</w:t>
      </w:r>
      <w:r>
        <w:t>N₂O</w:t>
      </w:r>
      <w:r>
        <w:rPr>
          <w:rFonts w:hint="eastAsia"/>
        </w:rPr>
        <w:t>）是重要的温室气体和臭氧层消耗物质，农业土壤施氮是人为</w:t>
      </w:r>
      <w:r>
        <w:t xml:space="preserve"> N₂O </w:t>
      </w:r>
      <w:r>
        <w:rPr>
          <w:rFonts w:hint="eastAsia"/>
        </w:rPr>
        <w:t>排放的主要来源之一。黄土高原是中国北方典型旱作农业区，近年来粮田向苹果果园等土地利用类型转变明显，但该区域农业土壤</w:t>
      </w:r>
      <w:r>
        <w:t xml:space="preserve"> N₂O </w:t>
      </w:r>
      <w:r>
        <w:rPr>
          <w:rFonts w:hint="eastAsia"/>
        </w:rPr>
        <w:t>排放特征及管理措施的综合效应仍缺乏系统量化。本研究基于</w:t>
      </w:r>
      <w:r>
        <w:t>2006—2025</w:t>
      </w:r>
      <w:r>
        <w:rPr>
          <w:rFonts w:hint="eastAsia"/>
        </w:rPr>
        <w:t>年发表的</w:t>
      </w:r>
      <w:r>
        <w:t>38</w:t>
      </w:r>
      <w:r>
        <w:rPr>
          <w:rFonts w:hint="eastAsia"/>
        </w:rPr>
        <w:t>篇同行评议文献，构建包含</w:t>
      </w:r>
      <w:r>
        <w:t xml:space="preserve"> 366 </w:t>
      </w:r>
      <w:r>
        <w:rPr>
          <w:rFonts w:hint="eastAsia"/>
        </w:rPr>
        <w:t>条</w:t>
      </w:r>
      <w:r>
        <w:t>N₂O</w:t>
      </w:r>
      <w:r>
        <w:rPr>
          <w:rFonts w:hint="eastAsia"/>
        </w:rPr>
        <w:t>排放记录和</w:t>
      </w:r>
      <w:r>
        <w:t xml:space="preserve"> 311 </w:t>
      </w:r>
      <w:r>
        <w:rPr>
          <w:rFonts w:hint="eastAsia"/>
        </w:rPr>
        <w:t>条作物产量记录的区域数据库，采用描述统计、回归分析和成对比较</w:t>
      </w:r>
      <w:r>
        <w:t xml:space="preserve"> Meta </w:t>
      </w:r>
      <w:r>
        <w:rPr>
          <w:rFonts w:hint="eastAsia"/>
        </w:rPr>
        <w:t>分析方法，评估春玉米、冬小麦、春小麦和苹果果园的</w:t>
      </w:r>
      <w:r>
        <w:t xml:space="preserve"> N₂O </w:t>
      </w:r>
      <w:r>
        <w:rPr>
          <w:rFonts w:hint="eastAsia"/>
        </w:rPr>
        <w:t>排放量、直接排放因子和产量尺度排放，并比较有机物料投入、覆盖措施、生物炭添加、增效肥料施用和减量施氮等管理措施的增产减排效应。结果表明，苹果果园</w:t>
      </w:r>
      <w:r>
        <w:t xml:space="preserve"> N₂O </w:t>
      </w:r>
      <w:r>
        <w:rPr>
          <w:rFonts w:hint="eastAsia"/>
        </w:rPr>
        <w:t>排放均值为</w:t>
      </w:r>
      <w:r>
        <w:t xml:space="preserve"> 2.90 kg N ha⁻¹</w:t>
      </w:r>
      <w:r>
        <w:rPr>
          <w:rFonts w:hint="eastAsia"/>
        </w:rPr>
        <w:t>，高于粮食作物体系，是黄土高原潜在高排放源；但各体系直接排放因子差异不显著。春小麦产量尺度排放达</w:t>
      </w:r>
      <w:r>
        <w:t xml:space="preserve"> 1.08 kg N t⁻¹</w:t>
      </w:r>
      <w:r>
        <w:rPr>
          <w:rFonts w:hint="eastAsia"/>
        </w:rPr>
        <w:t>，显著高于春玉米和冬小麦，主要与其低产量有关。管理措施方面，减量施氮总体显著降低</w:t>
      </w:r>
      <w:r>
        <w:t xml:space="preserve"> N₂O </w:t>
      </w:r>
      <w:r>
        <w:rPr>
          <w:rFonts w:hint="eastAsia"/>
        </w:rPr>
        <w:t>排放和产量尺度排放，但伴随一定产量下降；减氮</w:t>
      </w:r>
      <w:r>
        <w:t xml:space="preserve"> &lt;25% </w:t>
      </w:r>
      <w:r>
        <w:rPr>
          <w:rFonts w:hint="eastAsia"/>
        </w:rPr>
        <w:t>亚组因文献数不足，尚不能作合并效应判断；粪肥施用和地膜覆盖有利于降低产量尺度排放；生物炭和增效肥料可有效减少</w:t>
      </w:r>
      <w:r>
        <w:t xml:space="preserve"> N₂O </w:t>
      </w:r>
      <w:r>
        <w:rPr>
          <w:rFonts w:hint="eastAsia"/>
        </w:rPr>
        <w:t>排放；秸秆还田和秸秆覆盖则增加</w:t>
      </w:r>
      <w:r>
        <w:t xml:space="preserve"> N₂O </w:t>
      </w:r>
      <w:r>
        <w:rPr>
          <w:rFonts w:hint="eastAsia"/>
        </w:rPr>
        <w:t>排放。综合来看，粪肥施用和地膜覆盖是较稳健的增产减排措施，减量施氮应避免过大幅度，适度减氮的稳产效应仍需更多独立研究验证。本研究可为区域温室气体清单编制、氮肥优化管理和农业绿色转型提供科学依据。</w:t>
      </w:r>
    </w:p>
    <w:p w14:paraId="3A080B98" w14:textId="77777777" w:rsidR="00606DE5" w:rsidRDefault="00606DE5">
      <w:pPr>
        <w:spacing w:line="276" w:lineRule="auto"/>
        <w:jc w:val="both"/>
        <w:rPr>
          <w:rFonts w:ascii="Arial" w:eastAsia="Arial" w:hAnsi="Arial" w:cs="Arial"/>
          <w:sz w:val="22"/>
          <w:szCs w:val="22"/>
        </w:rPr>
      </w:pPr>
    </w:p>
    <w:p w14:paraId="61B1A347" w14:textId="77777777" w:rsidR="00606DE5" w:rsidRDefault="00000000">
      <w:pPr>
        <w:pStyle w:val="a6"/>
        <w:spacing w:before="120" w:after="120"/>
      </w:pPr>
      <w:r>
        <w:t>关键词：黄土高原; 氧化亚氮; Meta分析; 排放因子; 减排措施</w:t>
      </w:r>
    </w:p>
    <w:p w14:paraId="76D1CB8F" w14:textId="77777777" w:rsidR="00606DE5" w:rsidRDefault="00000000">
      <w:pPr>
        <w:spacing w:after="160" w:line="278" w:lineRule="auto"/>
        <w:rPr>
          <w:rFonts w:ascii="Arial" w:eastAsia="Arial" w:hAnsi="Arial" w:cs="Arial"/>
          <w:sz w:val="22"/>
          <w:szCs w:val="22"/>
        </w:rPr>
      </w:pPr>
      <w:r>
        <w:rPr>
          <w:rFonts w:ascii="Arial" w:eastAsia="Arial" w:hAnsi="Arial" w:cs="Arial"/>
          <w:sz w:val="22"/>
          <w:szCs w:val="22"/>
        </w:rPr>
        <w:br w:type="page"/>
      </w:r>
    </w:p>
    <w:p w14:paraId="697B14F3" w14:textId="77777777" w:rsidR="00606DE5" w:rsidRDefault="00000000">
      <w:pPr>
        <w:spacing w:line="276" w:lineRule="auto"/>
        <w:rPr>
          <w:rFonts w:ascii="Times New Roman" w:eastAsia="Arial" w:hAnsi="Times New Roman" w:cs="Times New Roman"/>
          <w:lang w:val="en-US"/>
        </w:rPr>
      </w:pPr>
      <w:r>
        <w:rPr>
          <w:rFonts w:ascii="Times New Roman" w:eastAsia="Arial" w:hAnsi="Times New Roman" w:cs="Times New Roman"/>
        </w:rPr>
        <w:lastRenderedPageBreak/>
        <w:t>A</w:t>
      </w:r>
      <w:r>
        <w:rPr>
          <w:rFonts w:ascii="Times New Roman" w:eastAsia="Arial" w:hAnsi="Times New Roman" w:cs="Times New Roman" w:hint="eastAsia"/>
        </w:rPr>
        <w:t>BSTRACT</w:t>
      </w:r>
      <w:r>
        <w:rPr>
          <w:rFonts w:ascii="Times New Roman" w:eastAsia="Arial" w:hAnsi="Times New Roman" w:cs="Times New Roman"/>
          <w:lang w:val="en-US"/>
        </w:rPr>
        <w:t>:</w:t>
      </w:r>
    </w:p>
    <w:p w14:paraId="31DF8C9D" w14:textId="77777777" w:rsidR="00606DE5" w:rsidRDefault="00000000">
      <w:pPr>
        <w:pStyle w:val="ac"/>
        <w:ind w:firstLine="480"/>
      </w:pPr>
      <w:r>
        <w:t>Nitrous oxide (N₂O) is an important greenhouse gas and ozone-depleting substance, and fertilized agricultural soils are a major anthropogenic source of N₂O emissions. The Loess Plateau is a typical dryland agricultural region in northern China, where land-use conversion from cereal cropland to apple orchards has become increasingly important. However, regional N₂O emission characteristics and the integrated effects of farming practices remain insufficiently quantified. In this study, field measurements were extracted from 38 peer-reviewed publications published between 2006 and 2025, yielding a regional database containing 366 records of N₂O emissions and 311 records of crop yields. Descriptive statistics, regression analysis and pairwise meta-analysis were used to quantify N₂O emissions, direct emission factors and yield-scaled emissions from spring maize, winter wheat, spring wheat and apple orchards, and to evaluate the effects of organic amendments, mulching, biochar amendment, enhanced-efficiency fertilizers and reduced nitrogen input. The results showed that apple orchards had a mean N₂O emission of 2.90 kg N ha⁻¹, higher than those of cereal systems, indicating that apple orchards may represent an important regional emission source. However, direct emission factors did not differ significantly among agroecosystems. Spring wheat showed a high yield-scaled emission of 1.08 kg N t⁻¹, mainly because of its low grain yield. Among farming practices, reducing nitrogen input by less than 25% decreased N₂O emissions and yield-scaled emissions while increasing crop yield. Manure application and plastic film mulching reduced yield-scaled emissions, whereas biochar amendment and enhanced-efficiency fertilizers effectively mitigated N₂O emissions. In contrast, straw return and straw mulching increased N₂O emissions. Overall, manure application, plastic film mulching and moderate nitrogen reduction are recommended as priority practices to balance crop production and N₂O mitigation in agricultural ecosystems of the Loess Plateau. This study provides scientific evidence for regional greenhouse gas inventories, optimized nitrogen management and sustainable agricultural transformation.</w:t>
      </w:r>
    </w:p>
    <w:p w14:paraId="682230CF" w14:textId="77777777" w:rsidR="00606DE5" w:rsidRDefault="00606DE5">
      <w:pPr>
        <w:spacing w:line="276" w:lineRule="auto"/>
        <w:rPr>
          <w:rFonts w:ascii="Arial" w:eastAsia="Arial" w:hAnsi="Arial" w:cs="Arial"/>
          <w:sz w:val="22"/>
          <w:szCs w:val="22"/>
        </w:rPr>
      </w:pPr>
    </w:p>
    <w:p w14:paraId="02B763DF" w14:textId="77777777" w:rsidR="00606DE5" w:rsidRDefault="00000000">
      <w:pPr>
        <w:spacing w:line="276" w:lineRule="auto"/>
        <w:rPr>
          <w:rFonts w:ascii="Times New Roman" w:eastAsia="Arial" w:hAnsi="Times New Roman" w:cs="Times New Roman"/>
          <w:sz w:val="22"/>
          <w:szCs w:val="22"/>
        </w:rPr>
      </w:pPr>
      <w:r>
        <w:rPr>
          <w:rFonts w:ascii="Times New Roman" w:eastAsia="Arial" w:hAnsi="Times New Roman" w:cs="Times New Roman"/>
          <w:sz w:val="22"/>
          <w:szCs w:val="22"/>
        </w:rPr>
        <w:t>KEY WORDS: Loess Plateau; nitrous oxide; meta-analysis; emission factor; mitigation practice</w:t>
      </w:r>
    </w:p>
    <w:p w14:paraId="507F205A" w14:textId="77777777" w:rsidR="00606DE5" w:rsidRDefault="00000000">
      <w:pPr>
        <w:spacing w:after="160" w:line="278" w:lineRule="auto"/>
        <w:rPr>
          <w:b/>
          <w:bCs/>
        </w:rPr>
      </w:pPr>
      <w:r>
        <w:rPr>
          <w:b/>
          <w:bCs/>
        </w:rPr>
        <w:br w:type="page"/>
      </w:r>
    </w:p>
    <w:bookmarkStart w:id="0" w:name="_Toc229090852" w:displacedByCustomXml="next"/>
    <w:sdt>
      <w:sdtPr>
        <w:rPr>
          <w:rFonts w:ascii="黑体" w:eastAsia="黑体" w:hAnsi="黑体" w:cs="黑体" w:hint="eastAsia"/>
          <w:color w:val="000000" w:themeColor="text1"/>
          <w:kern w:val="2"/>
          <w:sz w:val="28"/>
          <w:lang w:val="en-US"/>
          <w14:ligatures w14:val="standardContextual"/>
        </w:rPr>
        <w:id w:val="818590711"/>
        <w15:color w:val="DBDBDB"/>
        <w:docPartObj>
          <w:docPartGallery w:val="Table of Contents"/>
          <w:docPartUnique/>
        </w:docPartObj>
      </w:sdtPr>
      <w:sdtEndPr>
        <w:rPr>
          <w:rFonts w:ascii="Times New Roman" w:hAnsi="Times New Roman" w:cstheme="majorBidi"/>
          <w:lang w:val="en"/>
        </w:rPr>
      </w:sdtEndPr>
      <w:sdtContent>
        <w:p w14:paraId="3808FB55" w14:textId="77777777" w:rsidR="00606DE5" w:rsidRDefault="00000000">
          <w:pPr>
            <w:jc w:val="center"/>
            <w:rPr>
              <w:rFonts w:ascii="黑体" w:eastAsia="黑体" w:hAnsi="黑体" w:cs="黑体"/>
            </w:rPr>
          </w:pPr>
          <w:r>
            <w:rPr>
              <w:rFonts w:ascii="黑体" w:eastAsia="黑体" w:hAnsi="黑体" w:cs="黑体" w:hint="eastAsia"/>
            </w:rPr>
            <w:t>目</w:t>
          </w:r>
          <w:r>
            <w:rPr>
              <w:rFonts w:ascii="黑体" w:eastAsia="黑体" w:hAnsi="黑体" w:cs="黑体" w:hint="eastAsia"/>
              <w:lang w:val="en-US"/>
            </w:rPr>
            <w:t xml:space="preserve">  </w:t>
          </w:r>
          <w:r>
            <w:rPr>
              <w:rFonts w:ascii="黑体" w:eastAsia="黑体" w:hAnsi="黑体" w:cs="黑体" w:hint="eastAsia"/>
            </w:rPr>
            <w:t>录</w:t>
          </w:r>
        </w:p>
        <w:bookmarkStart w:id="1" w:name="OLE_LINK16"/>
        <w:p w14:paraId="2C3F76AD" w14:textId="6D05FDA2" w:rsidR="007C0CF3" w:rsidRDefault="00000000">
          <w:pPr>
            <w:pStyle w:val="TOC2"/>
            <w:rPr>
              <w:rFonts w:eastAsiaTheme="minorEastAsia" w:hAnsiTheme="minorHAnsi" w:cstheme="minorBidi"/>
              <w:smallCaps w:val="0"/>
              <w:noProof/>
              <w:kern w:val="2"/>
              <w:sz w:val="22"/>
              <w:szCs w:val="24"/>
              <w:lang w:val="en-US"/>
              <w14:ligatures w14:val="standardContextual"/>
            </w:rPr>
          </w:pPr>
          <w:r>
            <w:rPr>
              <w:rFonts w:hint="eastAsia"/>
              <w:b/>
              <w:bCs/>
              <w:caps/>
              <w:sz w:val="24"/>
              <w:szCs w:val="24"/>
            </w:rPr>
            <w:fldChar w:fldCharType="begin"/>
          </w:r>
          <w:r>
            <w:rPr>
              <w:rFonts w:hint="eastAsia"/>
              <w:sz w:val="24"/>
              <w:szCs w:val="24"/>
            </w:rPr>
            <w:instrText xml:space="preserve">TOC \o "1-3" \h \u </w:instrText>
          </w:r>
          <w:r>
            <w:rPr>
              <w:rFonts w:hint="eastAsia"/>
              <w:b/>
              <w:bCs/>
              <w:caps/>
              <w:sz w:val="24"/>
              <w:szCs w:val="24"/>
            </w:rPr>
            <w:fldChar w:fldCharType="separate"/>
          </w:r>
          <w:hyperlink w:anchor="_Toc229245511" w:history="1">
            <w:r w:rsidR="007C0CF3" w:rsidRPr="00F2372E">
              <w:rPr>
                <w:rStyle w:val="aa"/>
                <w:noProof/>
              </w:rPr>
              <w:t>主要符号注释表</w:t>
            </w:r>
            <w:r w:rsidR="007C0CF3">
              <w:rPr>
                <w:noProof/>
              </w:rPr>
              <w:tab/>
            </w:r>
            <w:r w:rsidR="007C0CF3">
              <w:rPr>
                <w:noProof/>
              </w:rPr>
              <w:fldChar w:fldCharType="begin"/>
            </w:r>
            <w:r w:rsidR="007C0CF3">
              <w:rPr>
                <w:noProof/>
              </w:rPr>
              <w:instrText xml:space="preserve"> PAGEREF _Toc229245511 \h </w:instrText>
            </w:r>
            <w:r w:rsidR="007C0CF3">
              <w:rPr>
                <w:noProof/>
              </w:rPr>
            </w:r>
            <w:r w:rsidR="007C0CF3">
              <w:rPr>
                <w:noProof/>
              </w:rPr>
              <w:fldChar w:fldCharType="separate"/>
            </w:r>
            <w:r w:rsidR="007C0CF3">
              <w:rPr>
                <w:noProof/>
              </w:rPr>
              <w:t>6</w:t>
            </w:r>
            <w:r w:rsidR="007C0CF3">
              <w:rPr>
                <w:noProof/>
              </w:rPr>
              <w:fldChar w:fldCharType="end"/>
            </w:r>
          </w:hyperlink>
        </w:p>
        <w:p w14:paraId="19B8A5BD" w14:textId="4505A445" w:rsidR="007C0CF3" w:rsidRDefault="007C0CF3">
          <w:pPr>
            <w:pStyle w:val="TOC3"/>
            <w:tabs>
              <w:tab w:val="right" w:leader="dot" w:pos="8948"/>
            </w:tabs>
            <w:rPr>
              <w:rFonts w:eastAsiaTheme="minorEastAsia" w:hAnsiTheme="minorHAnsi" w:cstheme="minorBidi"/>
              <w:i w:val="0"/>
              <w:iCs w:val="0"/>
              <w:noProof/>
              <w:kern w:val="2"/>
              <w:sz w:val="22"/>
              <w:szCs w:val="24"/>
              <w:lang w:val="en-US"/>
              <w14:ligatures w14:val="standardContextual"/>
            </w:rPr>
          </w:pPr>
          <w:hyperlink w:anchor="_Toc229245512" w:history="1">
            <w:r w:rsidRPr="00F2372E">
              <w:rPr>
                <w:rStyle w:val="aa"/>
                <w:noProof/>
              </w:rPr>
              <w:t>符号或缩略词</w:t>
            </w:r>
            <w:r>
              <w:rPr>
                <w:noProof/>
              </w:rPr>
              <w:tab/>
            </w:r>
            <w:r>
              <w:rPr>
                <w:noProof/>
              </w:rPr>
              <w:fldChar w:fldCharType="begin"/>
            </w:r>
            <w:r>
              <w:rPr>
                <w:noProof/>
              </w:rPr>
              <w:instrText xml:space="preserve"> PAGEREF _Toc229245512 \h </w:instrText>
            </w:r>
            <w:r>
              <w:rPr>
                <w:noProof/>
              </w:rPr>
            </w:r>
            <w:r>
              <w:rPr>
                <w:noProof/>
              </w:rPr>
              <w:fldChar w:fldCharType="separate"/>
            </w:r>
            <w:r>
              <w:rPr>
                <w:noProof/>
              </w:rPr>
              <w:t>6</w:t>
            </w:r>
            <w:r>
              <w:rPr>
                <w:noProof/>
              </w:rPr>
              <w:fldChar w:fldCharType="end"/>
            </w:r>
          </w:hyperlink>
        </w:p>
        <w:p w14:paraId="5BBB03CC" w14:textId="1DF28ACA" w:rsidR="007C0CF3" w:rsidRDefault="007C0CF3">
          <w:pPr>
            <w:pStyle w:val="TOC3"/>
            <w:tabs>
              <w:tab w:val="right" w:leader="dot" w:pos="8948"/>
            </w:tabs>
            <w:rPr>
              <w:rFonts w:eastAsiaTheme="minorEastAsia" w:hAnsiTheme="minorHAnsi" w:cstheme="minorBidi"/>
              <w:i w:val="0"/>
              <w:iCs w:val="0"/>
              <w:noProof/>
              <w:kern w:val="2"/>
              <w:sz w:val="22"/>
              <w:szCs w:val="24"/>
              <w:lang w:val="en-US"/>
              <w14:ligatures w14:val="standardContextual"/>
            </w:rPr>
          </w:pPr>
          <w:hyperlink w:anchor="_Toc229245513" w:history="1">
            <w:r w:rsidRPr="00F2372E">
              <w:rPr>
                <w:rStyle w:val="aa"/>
                <w:noProof/>
              </w:rPr>
              <w:t>含义</w:t>
            </w:r>
            <w:r>
              <w:rPr>
                <w:noProof/>
              </w:rPr>
              <w:tab/>
            </w:r>
            <w:r>
              <w:rPr>
                <w:noProof/>
              </w:rPr>
              <w:fldChar w:fldCharType="begin"/>
            </w:r>
            <w:r>
              <w:rPr>
                <w:noProof/>
              </w:rPr>
              <w:instrText xml:space="preserve"> PAGEREF _Toc229245513 \h </w:instrText>
            </w:r>
            <w:r>
              <w:rPr>
                <w:noProof/>
              </w:rPr>
            </w:r>
            <w:r>
              <w:rPr>
                <w:noProof/>
              </w:rPr>
              <w:fldChar w:fldCharType="separate"/>
            </w:r>
            <w:r>
              <w:rPr>
                <w:noProof/>
              </w:rPr>
              <w:t>6</w:t>
            </w:r>
            <w:r>
              <w:rPr>
                <w:noProof/>
              </w:rPr>
              <w:fldChar w:fldCharType="end"/>
            </w:r>
          </w:hyperlink>
        </w:p>
        <w:p w14:paraId="308D9588" w14:textId="647CD4FF" w:rsidR="007C0CF3" w:rsidRDefault="007C0CF3">
          <w:pPr>
            <w:pStyle w:val="TOC3"/>
            <w:tabs>
              <w:tab w:val="right" w:leader="dot" w:pos="8948"/>
            </w:tabs>
            <w:rPr>
              <w:rFonts w:eastAsiaTheme="minorEastAsia" w:hAnsiTheme="minorHAnsi" w:cstheme="minorBidi"/>
              <w:i w:val="0"/>
              <w:iCs w:val="0"/>
              <w:noProof/>
              <w:kern w:val="2"/>
              <w:sz w:val="22"/>
              <w:szCs w:val="24"/>
              <w:lang w:val="en-US"/>
              <w14:ligatures w14:val="standardContextual"/>
            </w:rPr>
          </w:pPr>
          <w:hyperlink w:anchor="_Toc229245514" w:history="1">
            <w:r w:rsidRPr="00F2372E">
              <w:rPr>
                <w:rStyle w:val="aa"/>
                <w:noProof/>
              </w:rPr>
              <w:t>单位或说明</w:t>
            </w:r>
            <w:r>
              <w:rPr>
                <w:noProof/>
              </w:rPr>
              <w:tab/>
            </w:r>
            <w:r>
              <w:rPr>
                <w:noProof/>
              </w:rPr>
              <w:fldChar w:fldCharType="begin"/>
            </w:r>
            <w:r>
              <w:rPr>
                <w:noProof/>
              </w:rPr>
              <w:instrText xml:space="preserve"> PAGEREF _Toc229245514 \h </w:instrText>
            </w:r>
            <w:r>
              <w:rPr>
                <w:noProof/>
              </w:rPr>
            </w:r>
            <w:r>
              <w:rPr>
                <w:noProof/>
              </w:rPr>
              <w:fldChar w:fldCharType="separate"/>
            </w:r>
            <w:r>
              <w:rPr>
                <w:noProof/>
              </w:rPr>
              <w:t>6</w:t>
            </w:r>
            <w:r>
              <w:rPr>
                <w:noProof/>
              </w:rPr>
              <w:fldChar w:fldCharType="end"/>
            </w:r>
          </w:hyperlink>
        </w:p>
        <w:p w14:paraId="42AE55E0" w14:textId="4E837C1C"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15" w:history="1">
            <w:r w:rsidRPr="00F2372E">
              <w:rPr>
                <w:rStyle w:val="aa"/>
                <w:noProof/>
              </w:rPr>
              <w:t>术语表</w:t>
            </w:r>
            <w:r>
              <w:rPr>
                <w:noProof/>
              </w:rPr>
              <w:tab/>
            </w:r>
            <w:r>
              <w:rPr>
                <w:noProof/>
              </w:rPr>
              <w:fldChar w:fldCharType="begin"/>
            </w:r>
            <w:r>
              <w:rPr>
                <w:noProof/>
              </w:rPr>
              <w:instrText xml:space="preserve"> PAGEREF _Toc229245515 \h </w:instrText>
            </w:r>
            <w:r>
              <w:rPr>
                <w:noProof/>
              </w:rPr>
            </w:r>
            <w:r>
              <w:rPr>
                <w:noProof/>
              </w:rPr>
              <w:fldChar w:fldCharType="separate"/>
            </w:r>
            <w:r>
              <w:rPr>
                <w:noProof/>
              </w:rPr>
              <w:t>7</w:t>
            </w:r>
            <w:r>
              <w:rPr>
                <w:noProof/>
              </w:rPr>
              <w:fldChar w:fldCharType="end"/>
            </w:r>
          </w:hyperlink>
        </w:p>
        <w:p w14:paraId="3521598D" w14:textId="32E9071C"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16" w:history="1">
            <w:r w:rsidRPr="00F2372E">
              <w:rPr>
                <w:rStyle w:val="aa"/>
                <w:noProof/>
              </w:rPr>
              <w:t>第一章 绪论</w:t>
            </w:r>
            <w:r>
              <w:rPr>
                <w:noProof/>
              </w:rPr>
              <w:tab/>
            </w:r>
            <w:r>
              <w:rPr>
                <w:noProof/>
              </w:rPr>
              <w:fldChar w:fldCharType="begin"/>
            </w:r>
            <w:r>
              <w:rPr>
                <w:noProof/>
              </w:rPr>
              <w:instrText xml:space="preserve"> PAGEREF _Toc229245516 \h </w:instrText>
            </w:r>
            <w:r>
              <w:rPr>
                <w:noProof/>
              </w:rPr>
            </w:r>
            <w:r>
              <w:rPr>
                <w:noProof/>
              </w:rPr>
              <w:fldChar w:fldCharType="separate"/>
            </w:r>
            <w:r>
              <w:rPr>
                <w:noProof/>
              </w:rPr>
              <w:t>8</w:t>
            </w:r>
            <w:r>
              <w:rPr>
                <w:noProof/>
              </w:rPr>
              <w:fldChar w:fldCharType="end"/>
            </w:r>
          </w:hyperlink>
        </w:p>
        <w:p w14:paraId="5B7554A2" w14:textId="31C0FB70"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17" w:history="1">
            <w:r w:rsidRPr="00F2372E">
              <w:rPr>
                <w:rStyle w:val="aa"/>
                <w:noProof/>
              </w:rPr>
              <w:t>1.1 N</w:t>
            </w:r>
            <w:r w:rsidRPr="00F2372E">
              <w:rPr>
                <w:rStyle w:val="aa"/>
                <w:rFonts w:ascii="Cambria Math" w:hAnsi="Cambria Math" w:cs="Cambria Math"/>
                <w:noProof/>
              </w:rPr>
              <w:t>₂</w:t>
            </w:r>
            <w:r w:rsidRPr="00F2372E">
              <w:rPr>
                <w:rStyle w:val="aa"/>
                <w:noProof/>
              </w:rPr>
              <w:t>O的环境效应与全球排放现状</w:t>
            </w:r>
            <w:r>
              <w:rPr>
                <w:noProof/>
              </w:rPr>
              <w:tab/>
            </w:r>
            <w:r>
              <w:rPr>
                <w:noProof/>
              </w:rPr>
              <w:fldChar w:fldCharType="begin"/>
            </w:r>
            <w:r>
              <w:rPr>
                <w:noProof/>
              </w:rPr>
              <w:instrText xml:space="preserve"> PAGEREF _Toc229245517 \h </w:instrText>
            </w:r>
            <w:r>
              <w:rPr>
                <w:noProof/>
              </w:rPr>
            </w:r>
            <w:r>
              <w:rPr>
                <w:noProof/>
              </w:rPr>
              <w:fldChar w:fldCharType="separate"/>
            </w:r>
            <w:r>
              <w:rPr>
                <w:noProof/>
              </w:rPr>
              <w:t>8</w:t>
            </w:r>
            <w:r>
              <w:rPr>
                <w:noProof/>
              </w:rPr>
              <w:fldChar w:fldCharType="end"/>
            </w:r>
          </w:hyperlink>
        </w:p>
        <w:p w14:paraId="3F3C9F99" w14:textId="29A27B45"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18" w:history="1">
            <w:r w:rsidRPr="00F2372E">
              <w:rPr>
                <w:rStyle w:val="aa"/>
                <w:noProof/>
              </w:rPr>
              <w:t>1.2 农业土壤N</w:t>
            </w:r>
            <w:r w:rsidRPr="00F2372E">
              <w:rPr>
                <w:rStyle w:val="aa"/>
                <w:rFonts w:ascii="Cambria Math" w:hAnsi="Cambria Math" w:cs="Cambria Math"/>
                <w:noProof/>
              </w:rPr>
              <w:t>₂</w:t>
            </w:r>
            <w:r w:rsidRPr="00F2372E">
              <w:rPr>
                <w:rStyle w:val="aa"/>
                <w:noProof/>
              </w:rPr>
              <w:t>O的产生机制与影响因素</w:t>
            </w:r>
            <w:r>
              <w:rPr>
                <w:noProof/>
              </w:rPr>
              <w:tab/>
            </w:r>
            <w:r>
              <w:rPr>
                <w:noProof/>
              </w:rPr>
              <w:fldChar w:fldCharType="begin"/>
            </w:r>
            <w:r>
              <w:rPr>
                <w:noProof/>
              </w:rPr>
              <w:instrText xml:space="preserve"> PAGEREF _Toc229245518 \h </w:instrText>
            </w:r>
            <w:r>
              <w:rPr>
                <w:noProof/>
              </w:rPr>
            </w:r>
            <w:r>
              <w:rPr>
                <w:noProof/>
              </w:rPr>
              <w:fldChar w:fldCharType="separate"/>
            </w:r>
            <w:r>
              <w:rPr>
                <w:noProof/>
              </w:rPr>
              <w:t>8</w:t>
            </w:r>
            <w:r>
              <w:rPr>
                <w:noProof/>
              </w:rPr>
              <w:fldChar w:fldCharType="end"/>
            </w:r>
          </w:hyperlink>
        </w:p>
        <w:p w14:paraId="13C374C5" w14:textId="49F608CE"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19" w:history="1">
            <w:r w:rsidRPr="00F2372E">
              <w:rPr>
                <w:rStyle w:val="aa"/>
                <w:noProof/>
              </w:rPr>
              <w:t>1.3 黄土高原旱作农业特征与土地利用变化</w:t>
            </w:r>
            <w:r>
              <w:rPr>
                <w:noProof/>
              </w:rPr>
              <w:tab/>
            </w:r>
            <w:r>
              <w:rPr>
                <w:noProof/>
              </w:rPr>
              <w:fldChar w:fldCharType="begin"/>
            </w:r>
            <w:r>
              <w:rPr>
                <w:noProof/>
              </w:rPr>
              <w:instrText xml:space="preserve"> PAGEREF _Toc229245519 \h </w:instrText>
            </w:r>
            <w:r>
              <w:rPr>
                <w:noProof/>
              </w:rPr>
            </w:r>
            <w:r>
              <w:rPr>
                <w:noProof/>
              </w:rPr>
              <w:fldChar w:fldCharType="separate"/>
            </w:r>
            <w:r>
              <w:rPr>
                <w:noProof/>
              </w:rPr>
              <w:t>9</w:t>
            </w:r>
            <w:r>
              <w:rPr>
                <w:noProof/>
              </w:rPr>
              <w:fldChar w:fldCharType="end"/>
            </w:r>
          </w:hyperlink>
        </w:p>
        <w:p w14:paraId="4C636848" w14:textId="23E5F01C"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0" w:history="1">
            <w:r w:rsidRPr="00F2372E">
              <w:rPr>
                <w:rStyle w:val="aa"/>
                <w:noProof/>
              </w:rPr>
              <w:t>1.4 Meta分析方法在N</w:t>
            </w:r>
            <w:r w:rsidRPr="00F2372E">
              <w:rPr>
                <w:rStyle w:val="aa"/>
                <w:rFonts w:ascii="Cambria Math" w:hAnsi="Cambria Math" w:cs="Cambria Math"/>
                <w:noProof/>
              </w:rPr>
              <w:t>₂</w:t>
            </w:r>
            <w:r w:rsidRPr="00F2372E">
              <w:rPr>
                <w:rStyle w:val="aa"/>
                <w:noProof/>
              </w:rPr>
              <w:t>O排放研究中的应用</w:t>
            </w:r>
            <w:r>
              <w:rPr>
                <w:noProof/>
              </w:rPr>
              <w:tab/>
            </w:r>
            <w:r>
              <w:rPr>
                <w:noProof/>
              </w:rPr>
              <w:fldChar w:fldCharType="begin"/>
            </w:r>
            <w:r>
              <w:rPr>
                <w:noProof/>
              </w:rPr>
              <w:instrText xml:space="preserve"> PAGEREF _Toc229245520 \h </w:instrText>
            </w:r>
            <w:r>
              <w:rPr>
                <w:noProof/>
              </w:rPr>
            </w:r>
            <w:r>
              <w:rPr>
                <w:noProof/>
              </w:rPr>
              <w:fldChar w:fldCharType="separate"/>
            </w:r>
            <w:r>
              <w:rPr>
                <w:noProof/>
              </w:rPr>
              <w:t>10</w:t>
            </w:r>
            <w:r>
              <w:rPr>
                <w:noProof/>
              </w:rPr>
              <w:fldChar w:fldCharType="end"/>
            </w:r>
          </w:hyperlink>
        </w:p>
        <w:p w14:paraId="1CA46D46" w14:textId="776FEB66"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1" w:history="1">
            <w:r w:rsidRPr="00F2372E">
              <w:rPr>
                <w:rStyle w:val="aa"/>
                <w:noProof/>
              </w:rPr>
              <w:t>1.5 研究目的与意义</w:t>
            </w:r>
            <w:r>
              <w:rPr>
                <w:noProof/>
              </w:rPr>
              <w:tab/>
            </w:r>
            <w:r>
              <w:rPr>
                <w:noProof/>
              </w:rPr>
              <w:fldChar w:fldCharType="begin"/>
            </w:r>
            <w:r>
              <w:rPr>
                <w:noProof/>
              </w:rPr>
              <w:instrText xml:space="preserve"> PAGEREF _Toc229245521 \h </w:instrText>
            </w:r>
            <w:r>
              <w:rPr>
                <w:noProof/>
              </w:rPr>
            </w:r>
            <w:r>
              <w:rPr>
                <w:noProof/>
              </w:rPr>
              <w:fldChar w:fldCharType="separate"/>
            </w:r>
            <w:r>
              <w:rPr>
                <w:noProof/>
              </w:rPr>
              <w:t>11</w:t>
            </w:r>
            <w:r>
              <w:rPr>
                <w:noProof/>
              </w:rPr>
              <w:fldChar w:fldCharType="end"/>
            </w:r>
          </w:hyperlink>
        </w:p>
        <w:p w14:paraId="6B00C51C" w14:textId="643E35F6"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2" w:history="1">
            <w:r w:rsidRPr="00F2372E">
              <w:rPr>
                <w:rStyle w:val="aa"/>
                <w:noProof/>
              </w:rPr>
              <w:t>第二章 材料与方法</w:t>
            </w:r>
            <w:r>
              <w:rPr>
                <w:noProof/>
              </w:rPr>
              <w:tab/>
            </w:r>
            <w:r>
              <w:rPr>
                <w:noProof/>
              </w:rPr>
              <w:fldChar w:fldCharType="begin"/>
            </w:r>
            <w:r>
              <w:rPr>
                <w:noProof/>
              </w:rPr>
              <w:instrText xml:space="preserve"> PAGEREF _Toc229245522 \h </w:instrText>
            </w:r>
            <w:r>
              <w:rPr>
                <w:noProof/>
              </w:rPr>
            </w:r>
            <w:r>
              <w:rPr>
                <w:noProof/>
              </w:rPr>
              <w:fldChar w:fldCharType="separate"/>
            </w:r>
            <w:r>
              <w:rPr>
                <w:noProof/>
              </w:rPr>
              <w:t>13</w:t>
            </w:r>
            <w:r>
              <w:rPr>
                <w:noProof/>
              </w:rPr>
              <w:fldChar w:fldCharType="end"/>
            </w:r>
          </w:hyperlink>
        </w:p>
        <w:p w14:paraId="1796A33C" w14:textId="0E714AF3"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3" w:history="1">
            <w:r w:rsidRPr="00F2372E">
              <w:rPr>
                <w:rStyle w:val="aa"/>
                <w:noProof/>
              </w:rPr>
              <w:t>2.1 数据收集与文献筛选标准</w:t>
            </w:r>
            <w:r>
              <w:rPr>
                <w:noProof/>
              </w:rPr>
              <w:tab/>
            </w:r>
            <w:r>
              <w:rPr>
                <w:noProof/>
              </w:rPr>
              <w:fldChar w:fldCharType="begin"/>
            </w:r>
            <w:r>
              <w:rPr>
                <w:noProof/>
              </w:rPr>
              <w:instrText xml:space="preserve"> PAGEREF _Toc229245523 \h </w:instrText>
            </w:r>
            <w:r>
              <w:rPr>
                <w:noProof/>
              </w:rPr>
            </w:r>
            <w:r>
              <w:rPr>
                <w:noProof/>
              </w:rPr>
              <w:fldChar w:fldCharType="separate"/>
            </w:r>
            <w:r>
              <w:rPr>
                <w:noProof/>
              </w:rPr>
              <w:t>13</w:t>
            </w:r>
            <w:r>
              <w:rPr>
                <w:noProof/>
              </w:rPr>
              <w:fldChar w:fldCharType="end"/>
            </w:r>
          </w:hyperlink>
        </w:p>
        <w:p w14:paraId="0900E308" w14:textId="77AAB7DC"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4" w:history="1">
            <w:r w:rsidRPr="00F2372E">
              <w:rPr>
                <w:rStyle w:val="aa"/>
                <w:noProof/>
              </w:rPr>
              <w:t>2.2 数据处理与指标计算</w:t>
            </w:r>
            <w:r>
              <w:rPr>
                <w:noProof/>
              </w:rPr>
              <w:tab/>
            </w:r>
            <w:r>
              <w:rPr>
                <w:noProof/>
              </w:rPr>
              <w:fldChar w:fldCharType="begin"/>
            </w:r>
            <w:r>
              <w:rPr>
                <w:noProof/>
              </w:rPr>
              <w:instrText xml:space="preserve"> PAGEREF _Toc229245524 \h </w:instrText>
            </w:r>
            <w:r>
              <w:rPr>
                <w:noProof/>
              </w:rPr>
            </w:r>
            <w:r>
              <w:rPr>
                <w:noProof/>
              </w:rPr>
              <w:fldChar w:fldCharType="separate"/>
            </w:r>
            <w:r>
              <w:rPr>
                <w:noProof/>
              </w:rPr>
              <w:t>14</w:t>
            </w:r>
            <w:r>
              <w:rPr>
                <w:noProof/>
              </w:rPr>
              <w:fldChar w:fldCharType="end"/>
            </w:r>
          </w:hyperlink>
        </w:p>
        <w:p w14:paraId="02126029" w14:textId="5249A05C"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5" w:history="1">
            <w:r w:rsidRPr="00F2372E">
              <w:rPr>
                <w:rStyle w:val="aa"/>
                <w:noProof/>
              </w:rPr>
              <w:t>2.3 统计分析方法</w:t>
            </w:r>
            <w:r>
              <w:rPr>
                <w:noProof/>
              </w:rPr>
              <w:tab/>
            </w:r>
            <w:r>
              <w:rPr>
                <w:noProof/>
              </w:rPr>
              <w:fldChar w:fldCharType="begin"/>
            </w:r>
            <w:r>
              <w:rPr>
                <w:noProof/>
              </w:rPr>
              <w:instrText xml:space="preserve"> PAGEREF _Toc229245525 \h </w:instrText>
            </w:r>
            <w:r>
              <w:rPr>
                <w:noProof/>
              </w:rPr>
            </w:r>
            <w:r>
              <w:rPr>
                <w:noProof/>
              </w:rPr>
              <w:fldChar w:fldCharType="separate"/>
            </w:r>
            <w:r>
              <w:rPr>
                <w:noProof/>
              </w:rPr>
              <w:t>15</w:t>
            </w:r>
            <w:r>
              <w:rPr>
                <w:noProof/>
              </w:rPr>
              <w:fldChar w:fldCharType="end"/>
            </w:r>
          </w:hyperlink>
        </w:p>
        <w:p w14:paraId="15FFA57E" w14:textId="409F5F19"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6" w:history="1">
            <w:r w:rsidRPr="00F2372E">
              <w:rPr>
                <w:rStyle w:val="aa"/>
                <w:noProof/>
              </w:rPr>
              <w:t>2.4 Meta分析方法</w:t>
            </w:r>
            <w:r>
              <w:rPr>
                <w:noProof/>
              </w:rPr>
              <w:tab/>
            </w:r>
            <w:r>
              <w:rPr>
                <w:noProof/>
              </w:rPr>
              <w:fldChar w:fldCharType="begin"/>
            </w:r>
            <w:r>
              <w:rPr>
                <w:noProof/>
              </w:rPr>
              <w:instrText xml:space="preserve"> PAGEREF _Toc229245526 \h </w:instrText>
            </w:r>
            <w:r>
              <w:rPr>
                <w:noProof/>
              </w:rPr>
            </w:r>
            <w:r>
              <w:rPr>
                <w:noProof/>
              </w:rPr>
              <w:fldChar w:fldCharType="separate"/>
            </w:r>
            <w:r>
              <w:rPr>
                <w:noProof/>
              </w:rPr>
              <w:t>17</w:t>
            </w:r>
            <w:r>
              <w:rPr>
                <w:noProof/>
              </w:rPr>
              <w:fldChar w:fldCharType="end"/>
            </w:r>
          </w:hyperlink>
        </w:p>
        <w:p w14:paraId="0B7C86C8" w14:textId="2ADBA323"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7" w:history="1">
            <w:r w:rsidRPr="00F2372E">
              <w:rPr>
                <w:rStyle w:val="aa"/>
                <w:noProof/>
              </w:rPr>
              <w:t>3 结果</w:t>
            </w:r>
            <w:r>
              <w:rPr>
                <w:noProof/>
              </w:rPr>
              <w:tab/>
            </w:r>
            <w:r>
              <w:rPr>
                <w:noProof/>
              </w:rPr>
              <w:fldChar w:fldCharType="begin"/>
            </w:r>
            <w:r>
              <w:rPr>
                <w:noProof/>
              </w:rPr>
              <w:instrText xml:space="preserve"> PAGEREF _Toc229245527 \h </w:instrText>
            </w:r>
            <w:r>
              <w:rPr>
                <w:noProof/>
              </w:rPr>
            </w:r>
            <w:r>
              <w:rPr>
                <w:noProof/>
              </w:rPr>
              <w:fldChar w:fldCharType="separate"/>
            </w:r>
            <w:r>
              <w:rPr>
                <w:noProof/>
              </w:rPr>
              <w:t>19</w:t>
            </w:r>
            <w:r>
              <w:rPr>
                <w:noProof/>
              </w:rPr>
              <w:fldChar w:fldCharType="end"/>
            </w:r>
          </w:hyperlink>
        </w:p>
        <w:p w14:paraId="434B4D05" w14:textId="08292DA1"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8" w:history="1">
            <w:r w:rsidRPr="00F2372E">
              <w:rPr>
                <w:rStyle w:val="aa"/>
                <w:noProof/>
              </w:rPr>
              <w:t>3.1 作物产量</w:t>
            </w:r>
            <w:r>
              <w:rPr>
                <w:noProof/>
              </w:rPr>
              <w:tab/>
            </w:r>
            <w:r>
              <w:rPr>
                <w:noProof/>
              </w:rPr>
              <w:fldChar w:fldCharType="begin"/>
            </w:r>
            <w:r>
              <w:rPr>
                <w:noProof/>
              </w:rPr>
              <w:instrText xml:space="preserve"> PAGEREF _Toc229245528 \h </w:instrText>
            </w:r>
            <w:r>
              <w:rPr>
                <w:noProof/>
              </w:rPr>
            </w:r>
            <w:r>
              <w:rPr>
                <w:noProof/>
              </w:rPr>
              <w:fldChar w:fldCharType="separate"/>
            </w:r>
            <w:r>
              <w:rPr>
                <w:noProof/>
              </w:rPr>
              <w:t>19</w:t>
            </w:r>
            <w:r>
              <w:rPr>
                <w:noProof/>
              </w:rPr>
              <w:fldChar w:fldCharType="end"/>
            </w:r>
          </w:hyperlink>
        </w:p>
        <w:p w14:paraId="3AD692A8" w14:textId="4EBCE50F"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29" w:history="1">
            <w:r w:rsidRPr="00F2372E">
              <w:rPr>
                <w:rStyle w:val="aa"/>
                <w:noProof/>
              </w:rPr>
              <w:t>3.2 N</w:t>
            </w:r>
            <w:r w:rsidRPr="00F2372E">
              <w:rPr>
                <w:rStyle w:val="aa"/>
                <w:rFonts w:ascii="Cambria Math" w:hAnsi="Cambria Math" w:cs="Cambria Math"/>
                <w:noProof/>
              </w:rPr>
              <w:t>₂</w:t>
            </w:r>
            <w:r w:rsidRPr="00F2372E">
              <w:rPr>
                <w:rStyle w:val="aa"/>
                <w:noProof/>
              </w:rPr>
              <w:t>O排放特征、直接排放因子与产量尺度排放</w:t>
            </w:r>
            <w:r>
              <w:rPr>
                <w:noProof/>
              </w:rPr>
              <w:tab/>
            </w:r>
            <w:r>
              <w:rPr>
                <w:noProof/>
              </w:rPr>
              <w:fldChar w:fldCharType="begin"/>
            </w:r>
            <w:r>
              <w:rPr>
                <w:noProof/>
              </w:rPr>
              <w:instrText xml:space="preserve"> PAGEREF _Toc229245529 \h </w:instrText>
            </w:r>
            <w:r>
              <w:rPr>
                <w:noProof/>
              </w:rPr>
            </w:r>
            <w:r>
              <w:rPr>
                <w:noProof/>
              </w:rPr>
              <w:fldChar w:fldCharType="separate"/>
            </w:r>
            <w:r>
              <w:rPr>
                <w:noProof/>
              </w:rPr>
              <w:t>20</w:t>
            </w:r>
            <w:r>
              <w:rPr>
                <w:noProof/>
              </w:rPr>
              <w:fldChar w:fldCharType="end"/>
            </w:r>
          </w:hyperlink>
        </w:p>
        <w:p w14:paraId="54C508B4" w14:textId="517C759A"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30" w:history="1">
            <w:r w:rsidRPr="00F2372E">
              <w:rPr>
                <w:rStyle w:val="aa"/>
                <w:noProof/>
              </w:rPr>
              <w:t>3.3 农作管理措施Meta分析结果</w:t>
            </w:r>
            <w:r>
              <w:rPr>
                <w:noProof/>
              </w:rPr>
              <w:tab/>
            </w:r>
            <w:r>
              <w:rPr>
                <w:noProof/>
              </w:rPr>
              <w:fldChar w:fldCharType="begin"/>
            </w:r>
            <w:r>
              <w:rPr>
                <w:noProof/>
              </w:rPr>
              <w:instrText xml:space="preserve"> PAGEREF _Toc229245530 \h </w:instrText>
            </w:r>
            <w:r>
              <w:rPr>
                <w:noProof/>
              </w:rPr>
            </w:r>
            <w:r>
              <w:rPr>
                <w:noProof/>
              </w:rPr>
              <w:fldChar w:fldCharType="separate"/>
            </w:r>
            <w:r>
              <w:rPr>
                <w:noProof/>
              </w:rPr>
              <w:t>22</w:t>
            </w:r>
            <w:r>
              <w:rPr>
                <w:noProof/>
              </w:rPr>
              <w:fldChar w:fldCharType="end"/>
            </w:r>
          </w:hyperlink>
        </w:p>
        <w:p w14:paraId="25EBBAC8" w14:textId="77DD3FE4"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31" w:history="1">
            <w:r w:rsidRPr="00F2372E">
              <w:rPr>
                <w:rStyle w:val="aa"/>
                <w:noProof/>
              </w:rPr>
              <w:t>第四章 讨论</w:t>
            </w:r>
            <w:r>
              <w:rPr>
                <w:noProof/>
              </w:rPr>
              <w:tab/>
            </w:r>
            <w:r>
              <w:rPr>
                <w:noProof/>
              </w:rPr>
              <w:fldChar w:fldCharType="begin"/>
            </w:r>
            <w:r>
              <w:rPr>
                <w:noProof/>
              </w:rPr>
              <w:instrText xml:space="preserve"> PAGEREF _Toc229245531 \h </w:instrText>
            </w:r>
            <w:r>
              <w:rPr>
                <w:noProof/>
              </w:rPr>
            </w:r>
            <w:r>
              <w:rPr>
                <w:noProof/>
              </w:rPr>
              <w:fldChar w:fldCharType="separate"/>
            </w:r>
            <w:r>
              <w:rPr>
                <w:noProof/>
              </w:rPr>
              <w:t>25</w:t>
            </w:r>
            <w:r>
              <w:rPr>
                <w:noProof/>
              </w:rPr>
              <w:fldChar w:fldCharType="end"/>
            </w:r>
          </w:hyperlink>
        </w:p>
        <w:p w14:paraId="5F6958E1" w14:textId="6F6D6A6E"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32" w:history="1">
            <w:r w:rsidRPr="00F2372E">
              <w:rPr>
                <w:rStyle w:val="aa"/>
                <w:noProof/>
              </w:rPr>
              <w:t>4.1 黄土高原区域N</w:t>
            </w:r>
            <w:r w:rsidRPr="00F2372E">
              <w:rPr>
                <w:rStyle w:val="aa"/>
                <w:rFonts w:ascii="Cambria Math" w:hAnsi="Cambria Math" w:cs="Cambria Math"/>
                <w:noProof/>
              </w:rPr>
              <w:t>₂</w:t>
            </w:r>
            <w:r w:rsidRPr="00F2372E">
              <w:rPr>
                <w:rStyle w:val="aa"/>
                <w:noProof/>
              </w:rPr>
              <w:t>O排放特征与全球尺度对比</w:t>
            </w:r>
            <w:r>
              <w:rPr>
                <w:noProof/>
              </w:rPr>
              <w:tab/>
            </w:r>
            <w:r>
              <w:rPr>
                <w:noProof/>
              </w:rPr>
              <w:fldChar w:fldCharType="begin"/>
            </w:r>
            <w:r>
              <w:rPr>
                <w:noProof/>
              </w:rPr>
              <w:instrText xml:space="preserve"> PAGEREF _Toc229245532 \h </w:instrText>
            </w:r>
            <w:r>
              <w:rPr>
                <w:noProof/>
              </w:rPr>
            </w:r>
            <w:r>
              <w:rPr>
                <w:noProof/>
              </w:rPr>
              <w:fldChar w:fldCharType="separate"/>
            </w:r>
            <w:r>
              <w:rPr>
                <w:noProof/>
              </w:rPr>
              <w:t>25</w:t>
            </w:r>
            <w:r>
              <w:rPr>
                <w:noProof/>
              </w:rPr>
              <w:fldChar w:fldCharType="end"/>
            </w:r>
          </w:hyperlink>
        </w:p>
        <w:p w14:paraId="6783A1DA" w14:textId="2B33D2DB"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33" w:history="1">
            <w:r w:rsidRPr="00F2372E">
              <w:rPr>
                <w:rStyle w:val="aa"/>
                <w:noProof/>
              </w:rPr>
              <w:t>4.2 农作管理措施的减排效果评价</w:t>
            </w:r>
            <w:r>
              <w:rPr>
                <w:noProof/>
              </w:rPr>
              <w:tab/>
            </w:r>
            <w:r>
              <w:rPr>
                <w:noProof/>
              </w:rPr>
              <w:fldChar w:fldCharType="begin"/>
            </w:r>
            <w:r>
              <w:rPr>
                <w:noProof/>
              </w:rPr>
              <w:instrText xml:space="preserve"> PAGEREF _Toc229245533 \h </w:instrText>
            </w:r>
            <w:r>
              <w:rPr>
                <w:noProof/>
              </w:rPr>
            </w:r>
            <w:r>
              <w:rPr>
                <w:noProof/>
              </w:rPr>
              <w:fldChar w:fldCharType="separate"/>
            </w:r>
            <w:r>
              <w:rPr>
                <w:noProof/>
              </w:rPr>
              <w:t>26</w:t>
            </w:r>
            <w:r>
              <w:rPr>
                <w:noProof/>
              </w:rPr>
              <w:fldChar w:fldCharType="end"/>
            </w:r>
          </w:hyperlink>
        </w:p>
        <w:p w14:paraId="3FE51A89" w14:textId="1D53814A"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34" w:history="1">
            <w:r w:rsidRPr="00F2372E">
              <w:rPr>
                <w:rStyle w:val="aa"/>
                <w:noProof/>
              </w:rPr>
              <w:t>4.3 研究的实践意义</w:t>
            </w:r>
            <w:r>
              <w:rPr>
                <w:noProof/>
              </w:rPr>
              <w:tab/>
            </w:r>
            <w:r>
              <w:rPr>
                <w:noProof/>
              </w:rPr>
              <w:fldChar w:fldCharType="begin"/>
            </w:r>
            <w:r>
              <w:rPr>
                <w:noProof/>
              </w:rPr>
              <w:instrText xml:space="preserve"> PAGEREF _Toc229245534 \h </w:instrText>
            </w:r>
            <w:r>
              <w:rPr>
                <w:noProof/>
              </w:rPr>
            </w:r>
            <w:r>
              <w:rPr>
                <w:noProof/>
              </w:rPr>
              <w:fldChar w:fldCharType="separate"/>
            </w:r>
            <w:r>
              <w:rPr>
                <w:noProof/>
              </w:rPr>
              <w:t>27</w:t>
            </w:r>
            <w:r>
              <w:rPr>
                <w:noProof/>
              </w:rPr>
              <w:fldChar w:fldCharType="end"/>
            </w:r>
          </w:hyperlink>
        </w:p>
        <w:p w14:paraId="5337DAA7" w14:textId="6A091DBE"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35" w:history="1">
            <w:r w:rsidRPr="00F2372E">
              <w:rPr>
                <w:rStyle w:val="aa"/>
                <w:noProof/>
              </w:rPr>
              <w:t>第五章 结论与展望</w:t>
            </w:r>
            <w:r>
              <w:rPr>
                <w:noProof/>
              </w:rPr>
              <w:tab/>
            </w:r>
            <w:r>
              <w:rPr>
                <w:noProof/>
              </w:rPr>
              <w:fldChar w:fldCharType="begin"/>
            </w:r>
            <w:r>
              <w:rPr>
                <w:noProof/>
              </w:rPr>
              <w:instrText xml:space="preserve"> PAGEREF _Toc229245535 \h </w:instrText>
            </w:r>
            <w:r>
              <w:rPr>
                <w:noProof/>
              </w:rPr>
            </w:r>
            <w:r>
              <w:rPr>
                <w:noProof/>
              </w:rPr>
              <w:fldChar w:fldCharType="separate"/>
            </w:r>
            <w:r>
              <w:rPr>
                <w:noProof/>
              </w:rPr>
              <w:t>29</w:t>
            </w:r>
            <w:r>
              <w:rPr>
                <w:noProof/>
              </w:rPr>
              <w:fldChar w:fldCharType="end"/>
            </w:r>
          </w:hyperlink>
        </w:p>
        <w:p w14:paraId="20CC0D30" w14:textId="3CA51FA9"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36" w:history="1">
            <w:r w:rsidRPr="00F2372E">
              <w:rPr>
                <w:rStyle w:val="aa"/>
                <w:noProof/>
              </w:rPr>
              <w:t>5.1 主要结论</w:t>
            </w:r>
            <w:r>
              <w:rPr>
                <w:noProof/>
              </w:rPr>
              <w:tab/>
            </w:r>
            <w:r>
              <w:rPr>
                <w:noProof/>
              </w:rPr>
              <w:fldChar w:fldCharType="begin"/>
            </w:r>
            <w:r>
              <w:rPr>
                <w:noProof/>
              </w:rPr>
              <w:instrText xml:space="preserve"> PAGEREF _Toc229245536 \h </w:instrText>
            </w:r>
            <w:r>
              <w:rPr>
                <w:noProof/>
              </w:rPr>
            </w:r>
            <w:r>
              <w:rPr>
                <w:noProof/>
              </w:rPr>
              <w:fldChar w:fldCharType="separate"/>
            </w:r>
            <w:r>
              <w:rPr>
                <w:noProof/>
              </w:rPr>
              <w:t>29</w:t>
            </w:r>
            <w:r>
              <w:rPr>
                <w:noProof/>
              </w:rPr>
              <w:fldChar w:fldCharType="end"/>
            </w:r>
          </w:hyperlink>
        </w:p>
        <w:p w14:paraId="4F22C014" w14:textId="491EFFFC" w:rsidR="007C0CF3" w:rsidRDefault="007C0CF3">
          <w:pPr>
            <w:pStyle w:val="TOC2"/>
            <w:rPr>
              <w:rFonts w:eastAsiaTheme="minorEastAsia" w:hAnsiTheme="minorHAnsi" w:cstheme="minorBidi"/>
              <w:smallCaps w:val="0"/>
              <w:noProof/>
              <w:kern w:val="2"/>
              <w:sz w:val="22"/>
              <w:szCs w:val="24"/>
              <w:lang w:val="en-US"/>
              <w14:ligatures w14:val="standardContextual"/>
            </w:rPr>
          </w:pPr>
          <w:hyperlink w:anchor="_Toc229245537" w:history="1">
            <w:r w:rsidRPr="00F2372E">
              <w:rPr>
                <w:rStyle w:val="aa"/>
                <w:noProof/>
              </w:rPr>
              <w:t>5.2 研究局限与展望</w:t>
            </w:r>
            <w:r>
              <w:rPr>
                <w:noProof/>
              </w:rPr>
              <w:tab/>
            </w:r>
            <w:r>
              <w:rPr>
                <w:noProof/>
              </w:rPr>
              <w:fldChar w:fldCharType="begin"/>
            </w:r>
            <w:r>
              <w:rPr>
                <w:noProof/>
              </w:rPr>
              <w:instrText xml:space="preserve"> PAGEREF _Toc229245537 \h </w:instrText>
            </w:r>
            <w:r>
              <w:rPr>
                <w:noProof/>
              </w:rPr>
            </w:r>
            <w:r>
              <w:rPr>
                <w:noProof/>
              </w:rPr>
              <w:fldChar w:fldCharType="separate"/>
            </w:r>
            <w:r>
              <w:rPr>
                <w:noProof/>
              </w:rPr>
              <w:t>29</w:t>
            </w:r>
            <w:r>
              <w:rPr>
                <w:noProof/>
              </w:rPr>
              <w:fldChar w:fldCharType="end"/>
            </w:r>
          </w:hyperlink>
        </w:p>
        <w:p w14:paraId="524FCDC0" w14:textId="032FB0B6" w:rsidR="00606DE5" w:rsidRDefault="00000000">
          <w:pPr>
            <w:pStyle w:val="ab"/>
            <w:spacing w:beforeLines="0" w:before="0"/>
          </w:pPr>
          <w:r>
            <w:rPr>
              <w:rFonts w:hint="eastAsia"/>
            </w:rPr>
            <w:fldChar w:fldCharType="end"/>
          </w:r>
        </w:p>
      </w:sdtContent>
    </w:sdt>
    <w:bookmarkEnd w:id="1"/>
    <w:p w14:paraId="5A951B96" w14:textId="77777777" w:rsidR="00606DE5" w:rsidRDefault="00000000">
      <w:r>
        <w:br w:type="page"/>
      </w:r>
    </w:p>
    <w:p w14:paraId="2550255B" w14:textId="77777777" w:rsidR="00606DE5" w:rsidRDefault="00000000" w:rsidP="003E5E4A">
      <w:pPr>
        <w:pStyle w:val="af5"/>
        <w:spacing w:before="480" w:after="240"/>
      </w:pPr>
      <w:bookmarkStart w:id="2" w:name="_Toc229245511"/>
      <w:r>
        <w:lastRenderedPageBreak/>
        <w:t>主要符号注释表</w:t>
      </w:r>
      <w:bookmarkEnd w:id="2"/>
    </w:p>
    <w:tbl>
      <w:tblPr>
        <w:tblW w:w="8393" w:type="dxa"/>
        <w:jc w:val="center"/>
        <w:tblCellSpacing w:w="15" w:type="dxa"/>
        <w:tblCellMar>
          <w:top w:w="15" w:type="dxa"/>
          <w:left w:w="15" w:type="dxa"/>
          <w:bottom w:w="15" w:type="dxa"/>
          <w:right w:w="15" w:type="dxa"/>
        </w:tblCellMar>
        <w:tblLook w:val="04A0" w:firstRow="1" w:lastRow="0" w:firstColumn="1" w:lastColumn="0" w:noHBand="0" w:noVBand="1"/>
      </w:tblPr>
      <w:tblGrid>
        <w:gridCol w:w="2145"/>
        <w:gridCol w:w="2551"/>
        <w:gridCol w:w="3697"/>
      </w:tblGrid>
      <w:tr w:rsidR="00606DE5" w14:paraId="150F1122" w14:textId="77777777">
        <w:trPr>
          <w:trHeight w:val="674"/>
          <w:tblHeader/>
          <w:tblCellSpacing w:w="15" w:type="dxa"/>
          <w:jc w:val="center"/>
        </w:trPr>
        <w:tc>
          <w:tcPr>
            <w:tcW w:w="0" w:type="auto"/>
            <w:tcBorders>
              <w:top w:val="single" w:sz="12" w:space="0" w:color="auto"/>
              <w:bottom w:val="single" w:sz="4" w:space="0" w:color="auto"/>
            </w:tcBorders>
            <w:vAlign w:val="center"/>
          </w:tcPr>
          <w:p w14:paraId="0EB5E210" w14:textId="77777777" w:rsidR="00606DE5" w:rsidRPr="007C0CF3" w:rsidRDefault="00000000" w:rsidP="007C0CF3">
            <w:pPr>
              <w:pStyle w:val="ac"/>
              <w:ind w:firstLine="480"/>
              <w:jc w:val="center"/>
            </w:pPr>
            <w:bookmarkStart w:id="3" w:name="_Toc229245512"/>
            <w:r w:rsidRPr="007C0CF3">
              <w:t>符号或缩略词</w:t>
            </w:r>
            <w:bookmarkEnd w:id="3"/>
          </w:p>
        </w:tc>
        <w:tc>
          <w:tcPr>
            <w:tcW w:w="0" w:type="auto"/>
            <w:tcBorders>
              <w:top w:val="single" w:sz="12" w:space="0" w:color="auto"/>
              <w:bottom w:val="single" w:sz="4" w:space="0" w:color="auto"/>
            </w:tcBorders>
            <w:vAlign w:val="center"/>
          </w:tcPr>
          <w:p w14:paraId="72AE36A8" w14:textId="77777777" w:rsidR="00606DE5" w:rsidRPr="007C0CF3" w:rsidRDefault="00000000" w:rsidP="007C0CF3">
            <w:pPr>
              <w:pStyle w:val="ac"/>
              <w:ind w:firstLine="480"/>
              <w:jc w:val="center"/>
            </w:pPr>
            <w:bookmarkStart w:id="4" w:name="_Toc229245513"/>
            <w:r w:rsidRPr="007C0CF3">
              <w:t>含义</w:t>
            </w:r>
            <w:bookmarkEnd w:id="4"/>
          </w:p>
        </w:tc>
        <w:tc>
          <w:tcPr>
            <w:tcW w:w="0" w:type="auto"/>
            <w:tcBorders>
              <w:top w:val="single" w:sz="12" w:space="0" w:color="auto"/>
              <w:bottom w:val="single" w:sz="8" w:space="0" w:color="auto"/>
            </w:tcBorders>
            <w:vAlign w:val="center"/>
          </w:tcPr>
          <w:p w14:paraId="2073C9BD" w14:textId="77777777" w:rsidR="00606DE5" w:rsidRPr="007C0CF3" w:rsidRDefault="00000000" w:rsidP="007C0CF3">
            <w:pPr>
              <w:pStyle w:val="ac"/>
              <w:ind w:firstLine="480"/>
              <w:jc w:val="center"/>
            </w:pPr>
            <w:bookmarkStart w:id="5" w:name="_Toc229245514"/>
            <w:r w:rsidRPr="007C0CF3">
              <w:t>单位或说明</w:t>
            </w:r>
            <w:bookmarkEnd w:id="5"/>
          </w:p>
        </w:tc>
      </w:tr>
      <w:tr w:rsidR="00606DE5" w14:paraId="2F3DA8BD" w14:textId="77777777">
        <w:trPr>
          <w:trHeight w:val="449"/>
          <w:tblCellSpacing w:w="15" w:type="dxa"/>
          <w:jc w:val="center"/>
        </w:trPr>
        <w:tc>
          <w:tcPr>
            <w:tcW w:w="0" w:type="auto"/>
            <w:vAlign w:val="center"/>
          </w:tcPr>
          <w:p w14:paraId="7E11050A" w14:textId="77777777" w:rsidR="00606DE5" w:rsidRDefault="00000000">
            <w:pPr>
              <w:pStyle w:val="ac"/>
              <w:ind w:firstLineChars="0" w:firstLine="0"/>
              <w:jc w:val="center"/>
              <w:rPr>
                <w:sz w:val="21"/>
                <w:szCs w:val="21"/>
              </w:rPr>
            </w:pPr>
            <w:bookmarkStart w:id="6" w:name="OLE_LINK17"/>
            <w:r>
              <w:rPr>
                <w:sz w:val="21"/>
                <w:szCs w:val="21"/>
              </w:rPr>
              <w:t>N₂O</w:t>
            </w:r>
          </w:p>
        </w:tc>
        <w:tc>
          <w:tcPr>
            <w:tcW w:w="0" w:type="auto"/>
            <w:vAlign w:val="center"/>
          </w:tcPr>
          <w:p w14:paraId="6DFB399B" w14:textId="77777777" w:rsidR="00606DE5" w:rsidRDefault="00000000">
            <w:pPr>
              <w:pStyle w:val="ac"/>
              <w:ind w:firstLineChars="0" w:firstLine="0"/>
              <w:jc w:val="center"/>
              <w:rPr>
                <w:sz w:val="21"/>
                <w:szCs w:val="21"/>
              </w:rPr>
            </w:pPr>
            <w:r>
              <w:rPr>
                <w:sz w:val="21"/>
                <w:szCs w:val="21"/>
              </w:rPr>
              <w:t>氧化亚氮</w:t>
            </w:r>
          </w:p>
        </w:tc>
        <w:tc>
          <w:tcPr>
            <w:tcW w:w="0" w:type="auto"/>
            <w:vAlign w:val="center"/>
          </w:tcPr>
          <w:p w14:paraId="59DDDB94" w14:textId="77777777" w:rsidR="00606DE5" w:rsidRDefault="00000000">
            <w:pPr>
              <w:pStyle w:val="ac"/>
              <w:ind w:firstLine="420"/>
              <w:jc w:val="center"/>
              <w:rPr>
                <w:sz w:val="21"/>
                <w:szCs w:val="21"/>
              </w:rPr>
            </w:pPr>
            <w:r>
              <w:rPr>
                <w:sz w:val="21"/>
                <w:szCs w:val="21"/>
              </w:rPr>
              <w:t>重要温室气体和臭氧层消耗物质</w:t>
            </w:r>
          </w:p>
        </w:tc>
      </w:tr>
      <w:tr w:rsidR="00606DE5" w14:paraId="66231768" w14:textId="77777777">
        <w:trPr>
          <w:trHeight w:val="449"/>
          <w:tblCellSpacing w:w="15" w:type="dxa"/>
          <w:jc w:val="center"/>
        </w:trPr>
        <w:tc>
          <w:tcPr>
            <w:tcW w:w="0" w:type="auto"/>
            <w:vAlign w:val="center"/>
          </w:tcPr>
          <w:p w14:paraId="6B7F2AAE" w14:textId="77777777" w:rsidR="00606DE5" w:rsidRDefault="00000000">
            <w:pPr>
              <w:pStyle w:val="ac"/>
              <w:ind w:firstLineChars="0" w:firstLine="0"/>
              <w:jc w:val="center"/>
              <w:rPr>
                <w:sz w:val="21"/>
                <w:szCs w:val="21"/>
              </w:rPr>
            </w:pPr>
            <w:r>
              <w:rPr>
                <w:sz w:val="21"/>
                <w:szCs w:val="21"/>
              </w:rPr>
              <w:t>N₂O-N</w:t>
            </w:r>
          </w:p>
        </w:tc>
        <w:tc>
          <w:tcPr>
            <w:tcW w:w="0" w:type="auto"/>
            <w:vAlign w:val="center"/>
          </w:tcPr>
          <w:p w14:paraId="0895551E" w14:textId="77777777" w:rsidR="00606DE5" w:rsidRDefault="00000000">
            <w:pPr>
              <w:pStyle w:val="ac"/>
              <w:ind w:firstLineChars="0" w:firstLine="0"/>
              <w:jc w:val="center"/>
              <w:rPr>
                <w:sz w:val="21"/>
                <w:szCs w:val="21"/>
              </w:rPr>
            </w:pPr>
            <w:r>
              <w:rPr>
                <w:sz w:val="21"/>
                <w:szCs w:val="21"/>
              </w:rPr>
              <w:t>以氮计的氧化亚氮排放量</w:t>
            </w:r>
          </w:p>
        </w:tc>
        <w:tc>
          <w:tcPr>
            <w:tcW w:w="0" w:type="auto"/>
            <w:vAlign w:val="center"/>
          </w:tcPr>
          <w:p w14:paraId="63EF15C5" w14:textId="77777777" w:rsidR="00606DE5" w:rsidRDefault="00000000">
            <w:pPr>
              <w:pStyle w:val="ac"/>
              <w:ind w:firstLine="420"/>
              <w:jc w:val="center"/>
              <w:rPr>
                <w:sz w:val="21"/>
                <w:szCs w:val="21"/>
              </w:rPr>
            </w:pPr>
            <w:r>
              <w:rPr>
                <w:sz w:val="21"/>
                <w:szCs w:val="21"/>
              </w:rPr>
              <w:t>kg N ha⁻¹</w:t>
            </w:r>
          </w:p>
        </w:tc>
      </w:tr>
      <w:tr w:rsidR="00606DE5" w14:paraId="0BF3C1F7" w14:textId="77777777">
        <w:trPr>
          <w:trHeight w:val="449"/>
          <w:tblCellSpacing w:w="15" w:type="dxa"/>
          <w:jc w:val="center"/>
        </w:trPr>
        <w:tc>
          <w:tcPr>
            <w:tcW w:w="0" w:type="auto"/>
            <w:vAlign w:val="center"/>
          </w:tcPr>
          <w:p w14:paraId="6B45DFBF" w14:textId="77777777" w:rsidR="00606DE5" w:rsidRDefault="00000000">
            <w:pPr>
              <w:pStyle w:val="ac"/>
              <w:ind w:firstLineChars="0" w:firstLine="0"/>
              <w:jc w:val="center"/>
              <w:rPr>
                <w:sz w:val="21"/>
                <w:szCs w:val="21"/>
              </w:rPr>
            </w:pPr>
            <w:r>
              <w:rPr>
                <w:sz w:val="21"/>
                <w:szCs w:val="21"/>
              </w:rPr>
              <w:t>N</w:t>
            </w:r>
          </w:p>
        </w:tc>
        <w:tc>
          <w:tcPr>
            <w:tcW w:w="0" w:type="auto"/>
            <w:vAlign w:val="center"/>
          </w:tcPr>
          <w:p w14:paraId="72A5A2F6" w14:textId="77777777" w:rsidR="00606DE5" w:rsidRDefault="00000000">
            <w:pPr>
              <w:pStyle w:val="ac"/>
              <w:ind w:firstLineChars="0" w:firstLine="0"/>
              <w:jc w:val="center"/>
              <w:rPr>
                <w:sz w:val="21"/>
                <w:szCs w:val="21"/>
              </w:rPr>
            </w:pPr>
            <w:r>
              <w:rPr>
                <w:sz w:val="21"/>
                <w:szCs w:val="21"/>
              </w:rPr>
              <w:t>施氮量</w:t>
            </w:r>
          </w:p>
        </w:tc>
        <w:tc>
          <w:tcPr>
            <w:tcW w:w="0" w:type="auto"/>
            <w:vAlign w:val="center"/>
          </w:tcPr>
          <w:p w14:paraId="5769ABE1" w14:textId="77777777" w:rsidR="00606DE5" w:rsidRDefault="00000000">
            <w:pPr>
              <w:pStyle w:val="ac"/>
              <w:ind w:firstLine="420"/>
              <w:jc w:val="center"/>
              <w:rPr>
                <w:sz w:val="21"/>
                <w:szCs w:val="21"/>
              </w:rPr>
            </w:pPr>
            <w:r>
              <w:rPr>
                <w:sz w:val="21"/>
                <w:szCs w:val="21"/>
              </w:rPr>
              <w:t>kg N ha⁻¹</w:t>
            </w:r>
          </w:p>
        </w:tc>
      </w:tr>
      <w:tr w:rsidR="00606DE5" w14:paraId="2C963122" w14:textId="77777777">
        <w:trPr>
          <w:trHeight w:val="449"/>
          <w:tblCellSpacing w:w="15" w:type="dxa"/>
          <w:jc w:val="center"/>
        </w:trPr>
        <w:tc>
          <w:tcPr>
            <w:tcW w:w="0" w:type="auto"/>
            <w:vAlign w:val="center"/>
          </w:tcPr>
          <w:p w14:paraId="2164D170" w14:textId="77777777" w:rsidR="00606DE5" w:rsidRDefault="00000000">
            <w:pPr>
              <w:pStyle w:val="ac"/>
              <w:ind w:firstLineChars="0" w:firstLine="0"/>
              <w:jc w:val="center"/>
              <w:rPr>
                <w:sz w:val="21"/>
                <w:szCs w:val="21"/>
              </w:rPr>
            </w:pPr>
            <w:r>
              <w:rPr>
                <w:sz w:val="21"/>
                <w:szCs w:val="21"/>
              </w:rPr>
              <w:t>E</w:t>
            </w:r>
          </w:p>
        </w:tc>
        <w:tc>
          <w:tcPr>
            <w:tcW w:w="0" w:type="auto"/>
            <w:vAlign w:val="center"/>
          </w:tcPr>
          <w:p w14:paraId="33C36BB6" w14:textId="77777777" w:rsidR="00606DE5" w:rsidRDefault="00000000">
            <w:pPr>
              <w:pStyle w:val="ac"/>
              <w:ind w:firstLineChars="0" w:firstLine="0"/>
              <w:jc w:val="center"/>
              <w:rPr>
                <w:sz w:val="21"/>
                <w:szCs w:val="21"/>
              </w:rPr>
            </w:pPr>
            <w:r>
              <w:rPr>
                <w:sz w:val="21"/>
                <w:szCs w:val="21"/>
              </w:rPr>
              <w:t>累积</w:t>
            </w:r>
            <w:r>
              <w:rPr>
                <w:sz w:val="21"/>
                <w:szCs w:val="21"/>
              </w:rPr>
              <w:t>N₂O</w:t>
            </w:r>
            <w:r>
              <w:rPr>
                <w:sz w:val="21"/>
                <w:szCs w:val="21"/>
              </w:rPr>
              <w:t>排放量</w:t>
            </w:r>
          </w:p>
        </w:tc>
        <w:tc>
          <w:tcPr>
            <w:tcW w:w="0" w:type="auto"/>
            <w:vAlign w:val="center"/>
          </w:tcPr>
          <w:p w14:paraId="6B07FD88" w14:textId="77777777" w:rsidR="00606DE5" w:rsidRDefault="00000000">
            <w:pPr>
              <w:pStyle w:val="ac"/>
              <w:ind w:firstLine="420"/>
              <w:jc w:val="center"/>
              <w:rPr>
                <w:sz w:val="21"/>
                <w:szCs w:val="21"/>
              </w:rPr>
            </w:pPr>
            <w:r>
              <w:rPr>
                <w:sz w:val="21"/>
                <w:szCs w:val="21"/>
              </w:rPr>
              <w:t>kg N ha⁻¹</w:t>
            </w:r>
          </w:p>
        </w:tc>
      </w:tr>
      <w:tr w:rsidR="00606DE5" w14:paraId="763A42CC" w14:textId="77777777">
        <w:trPr>
          <w:trHeight w:val="449"/>
          <w:tblCellSpacing w:w="15" w:type="dxa"/>
          <w:jc w:val="center"/>
        </w:trPr>
        <w:tc>
          <w:tcPr>
            <w:tcW w:w="0" w:type="auto"/>
            <w:vAlign w:val="center"/>
          </w:tcPr>
          <w:p w14:paraId="18E7C064" w14:textId="77777777" w:rsidR="00606DE5" w:rsidRDefault="00000000">
            <w:pPr>
              <w:pStyle w:val="ac"/>
              <w:ind w:firstLineChars="0" w:firstLine="0"/>
              <w:jc w:val="center"/>
              <w:rPr>
                <w:sz w:val="21"/>
                <w:szCs w:val="21"/>
              </w:rPr>
            </w:pPr>
            <w:r>
              <w:rPr>
                <w:sz w:val="21"/>
                <w:szCs w:val="21"/>
              </w:rPr>
              <w:t>E</w:t>
            </w:r>
            <w:r>
              <w:rPr>
                <w:sz w:val="21"/>
                <w:szCs w:val="21"/>
                <w:vertAlign w:val="subscript"/>
              </w:rPr>
              <w:t>N</w:t>
            </w:r>
          </w:p>
        </w:tc>
        <w:tc>
          <w:tcPr>
            <w:tcW w:w="0" w:type="auto"/>
            <w:vAlign w:val="center"/>
          </w:tcPr>
          <w:p w14:paraId="0DCC8A68" w14:textId="77777777" w:rsidR="00606DE5" w:rsidRDefault="00000000">
            <w:pPr>
              <w:pStyle w:val="ac"/>
              <w:ind w:firstLineChars="0" w:firstLine="0"/>
              <w:jc w:val="center"/>
              <w:rPr>
                <w:sz w:val="21"/>
                <w:szCs w:val="21"/>
              </w:rPr>
            </w:pPr>
            <w:r>
              <w:rPr>
                <w:sz w:val="21"/>
                <w:szCs w:val="21"/>
              </w:rPr>
              <w:t>施氮处理</w:t>
            </w:r>
            <w:r>
              <w:rPr>
                <w:sz w:val="21"/>
                <w:szCs w:val="21"/>
              </w:rPr>
              <w:t>N₂O</w:t>
            </w:r>
            <w:r>
              <w:rPr>
                <w:sz w:val="21"/>
                <w:szCs w:val="21"/>
              </w:rPr>
              <w:t>排放量</w:t>
            </w:r>
          </w:p>
        </w:tc>
        <w:tc>
          <w:tcPr>
            <w:tcW w:w="0" w:type="auto"/>
            <w:vAlign w:val="center"/>
          </w:tcPr>
          <w:p w14:paraId="7AE67598" w14:textId="77777777" w:rsidR="00606DE5" w:rsidRDefault="00000000">
            <w:pPr>
              <w:pStyle w:val="ac"/>
              <w:ind w:firstLine="420"/>
              <w:jc w:val="center"/>
              <w:rPr>
                <w:sz w:val="21"/>
                <w:szCs w:val="21"/>
              </w:rPr>
            </w:pPr>
            <w:r>
              <w:rPr>
                <w:sz w:val="21"/>
                <w:szCs w:val="21"/>
              </w:rPr>
              <w:t>kg N ha⁻¹</w:t>
            </w:r>
          </w:p>
        </w:tc>
      </w:tr>
      <w:tr w:rsidR="00606DE5" w14:paraId="79B43415" w14:textId="77777777">
        <w:trPr>
          <w:trHeight w:val="449"/>
          <w:tblCellSpacing w:w="15" w:type="dxa"/>
          <w:jc w:val="center"/>
        </w:trPr>
        <w:tc>
          <w:tcPr>
            <w:tcW w:w="0" w:type="auto"/>
            <w:vAlign w:val="center"/>
          </w:tcPr>
          <w:p w14:paraId="3421929B" w14:textId="77777777" w:rsidR="00606DE5" w:rsidRDefault="00000000">
            <w:pPr>
              <w:pStyle w:val="ac"/>
              <w:ind w:firstLineChars="0" w:firstLine="0"/>
              <w:jc w:val="center"/>
              <w:rPr>
                <w:sz w:val="21"/>
                <w:szCs w:val="21"/>
              </w:rPr>
            </w:pPr>
            <w:r>
              <w:rPr>
                <w:sz w:val="21"/>
                <w:szCs w:val="21"/>
              </w:rPr>
              <w:t>E</w:t>
            </w:r>
            <w:r>
              <w:rPr>
                <w:sz w:val="21"/>
                <w:szCs w:val="21"/>
                <w:vertAlign w:val="subscript"/>
              </w:rPr>
              <w:t>0</w:t>
            </w:r>
          </w:p>
        </w:tc>
        <w:tc>
          <w:tcPr>
            <w:tcW w:w="0" w:type="auto"/>
            <w:vAlign w:val="center"/>
          </w:tcPr>
          <w:p w14:paraId="07021FF3" w14:textId="77777777" w:rsidR="00606DE5" w:rsidRDefault="00000000">
            <w:pPr>
              <w:pStyle w:val="ac"/>
              <w:ind w:firstLineChars="0" w:firstLine="0"/>
              <w:jc w:val="center"/>
              <w:rPr>
                <w:sz w:val="21"/>
                <w:szCs w:val="21"/>
              </w:rPr>
            </w:pPr>
            <w:r>
              <w:rPr>
                <w:sz w:val="21"/>
                <w:szCs w:val="21"/>
              </w:rPr>
              <w:t>不施氮对照</w:t>
            </w:r>
            <w:r>
              <w:rPr>
                <w:sz w:val="21"/>
                <w:szCs w:val="21"/>
              </w:rPr>
              <w:t>N₂O</w:t>
            </w:r>
            <w:r>
              <w:rPr>
                <w:sz w:val="21"/>
                <w:szCs w:val="21"/>
              </w:rPr>
              <w:t>排放量</w:t>
            </w:r>
          </w:p>
        </w:tc>
        <w:tc>
          <w:tcPr>
            <w:tcW w:w="0" w:type="auto"/>
            <w:vAlign w:val="center"/>
          </w:tcPr>
          <w:p w14:paraId="7790665F" w14:textId="77777777" w:rsidR="00606DE5" w:rsidRDefault="00000000">
            <w:pPr>
              <w:pStyle w:val="ac"/>
              <w:ind w:firstLine="420"/>
              <w:jc w:val="center"/>
              <w:rPr>
                <w:sz w:val="21"/>
                <w:szCs w:val="21"/>
              </w:rPr>
            </w:pPr>
            <w:r>
              <w:rPr>
                <w:sz w:val="21"/>
                <w:szCs w:val="21"/>
              </w:rPr>
              <w:t>kg N ha⁻¹</w:t>
            </w:r>
          </w:p>
        </w:tc>
      </w:tr>
      <w:tr w:rsidR="00606DE5" w14:paraId="00C997C3" w14:textId="77777777">
        <w:trPr>
          <w:trHeight w:val="449"/>
          <w:tblCellSpacing w:w="15" w:type="dxa"/>
          <w:jc w:val="center"/>
        </w:trPr>
        <w:tc>
          <w:tcPr>
            <w:tcW w:w="0" w:type="auto"/>
            <w:vAlign w:val="center"/>
          </w:tcPr>
          <w:p w14:paraId="113F0749" w14:textId="77777777" w:rsidR="00606DE5" w:rsidRDefault="00000000">
            <w:pPr>
              <w:pStyle w:val="ac"/>
              <w:ind w:firstLineChars="0" w:firstLine="0"/>
              <w:jc w:val="center"/>
              <w:rPr>
                <w:sz w:val="21"/>
                <w:szCs w:val="21"/>
              </w:rPr>
            </w:pPr>
            <w:r>
              <w:rPr>
                <w:sz w:val="21"/>
                <w:szCs w:val="21"/>
              </w:rPr>
              <w:t>F</w:t>
            </w:r>
            <w:r>
              <w:rPr>
                <w:sz w:val="21"/>
                <w:szCs w:val="21"/>
                <w:vertAlign w:val="subscript"/>
              </w:rPr>
              <w:t>N</w:t>
            </w:r>
          </w:p>
        </w:tc>
        <w:tc>
          <w:tcPr>
            <w:tcW w:w="0" w:type="auto"/>
            <w:vAlign w:val="center"/>
          </w:tcPr>
          <w:p w14:paraId="3A074686" w14:textId="77777777" w:rsidR="00606DE5" w:rsidRDefault="00000000">
            <w:pPr>
              <w:pStyle w:val="ac"/>
              <w:ind w:firstLineChars="0" w:firstLine="0"/>
              <w:jc w:val="center"/>
              <w:rPr>
                <w:sz w:val="21"/>
                <w:szCs w:val="21"/>
              </w:rPr>
            </w:pPr>
            <w:r>
              <w:rPr>
                <w:sz w:val="21"/>
                <w:szCs w:val="21"/>
              </w:rPr>
              <w:t>氮肥投入量</w:t>
            </w:r>
          </w:p>
        </w:tc>
        <w:tc>
          <w:tcPr>
            <w:tcW w:w="0" w:type="auto"/>
            <w:vAlign w:val="center"/>
          </w:tcPr>
          <w:p w14:paraId="442955B3" w14:textId="77777777" w:rsidR="00606DE5" w:rsidRDefault="00000000">
            <w:pPr>
              <w:pStyle w:val="ac"/>
              <w:ind w:firstLine="420"/>
              <w:jc w:val="center"/>
              <w:rPr>
                <w:sz w:val="21"/>
                <w:szCs w:val="21"/>
              </w:rPr>
            </w:pPr>
            <w:r>
              <w:rPr>
                <w:sz w:val="21"/>
                <w:szCs w:val="21"/>
              </w:rPr>
              <w:t>kg N ha⁻¹</w:t>
            </w:r>
          </w:p>
        </w:tc>
      </w:tr>
      <w:tr w:rsidR="00606DE5" w14:paraId="445C4BDC" w14:textId="77777777">
        <w:trPr>
          <w:trHeight w:val="449"/>
          <w:tblCellSpacing w:w="15" w:type="dxa"/>
          <w:jc w:val="center"/>
        </w:trPr>
        <w:tc>
          <w:tcPr>
            <w:tcW w:w="0" w:type="auto"/>
            <w:vAlign w:val="center"/>
          </w:tcPr>
          <w:p w14:paraId="50CFBE40" w14:textId="77777777" w:rsidR="00606DE5" w:rsidRDefault="00000000">
            <w:pPr>
              <w:pStyle w:val="ac"/>
              <w:ind w:firstLineChars="0" w:firstLine="0"/>
              <w:jc w:val="center"/>
              <w:rPr>
                <w:sz w:val="21"/>
                <w:szCs w:val="21"/>
              </w:rPr>
            </w:pPr>
            <w:r>
              <w:rPr>
                <w:sz w:val="21"/>
                <w:szCs w:val="21"/>
              </w:rPr>
              <w:t>Y</w:t>
            </w:r>
            <w:r>
              <w:rPr>
                <w:sz w:val="21"/>
                <w:szCs w:val="21"/>
                <w:vertAlign w:val="subscript"/>
              </w:rPr>
              <w:t>N</w:t>
            </w:r>
          </w:p>
        </w:tc>
        <w:tc>
          <w:tcPr>
            <w:tcW w:w="0" w:type="auto"/>
            <w:vAlign w:val="center"/>
          </w:tcPr>
          <w:p w14:paraId="4CC26FBF" w14:textId="77777777" w:rsidR="00606DE5" w:rsidRDefault="00000000">
            <w:pPr>
              <w:pStyle w:val="ac"/>
              <w:ind w:firstLineChars="0" w:firstLine="0"/>
              <w:jc w:val="center"/>
              <w:rPr>
                <w:sz w:val="21"/>
                <w:szCs w:val="21"/>
              </w:rPr>
            </w:pPr>
            <w:r>
              <w:rPr>
                <w:sz w:val="21"/>
                <w:szCs w:val="21"/>
              </w:rPr>
              <w:t>施氮处理作物产量</w:t>
            </w:r>
          </w:p>
        </w:tc>
        <w:tc>
          <w:tcPr>
            <w:tcW w:w="0" w:type="auto"/>
            <w:vAlign w:val="center"/>
          </w:tcPr>
          <w:p w14:paraId="5A45D72A" w14:textId="77777777" w:rsidR="00606DE5" w:rsidRDefault="00000000">
            <w:pPr>
              <w:pStyle w:val="ac"/>
              <w:ind w:firstLine="420"/>
              <w:jc w:val="center"/>
              <w:rPr>
                <w:sz w:val="21"/>
                <w:szCs w:val="21"/>
              </w:rPr>
            </w:pPr>
            <w:r>
              <w:rPr>
                <w:sz w:val="21"/>
                <w:szCs w:val="21"/>
              </w:rPr>
              <w:t>t ha⁻¹</w:t>
            </w:r>
          </w:p>
        </w:tc>
      </w:tr>
      <w:tr w:rsidR="00606DE5" w14:paraId="05B2C70B" w14:textId="77777777">
        <w:trPr>
          <w:trHeight w:val="449"/>
          <w:tblCellSpacing w:w="15" w:type="dxa"/>
          <w:jc w:val="center"/>
        </w:trPr>
        <w:tc>
          <w:tcPr>
            <w:tcW w:w="0" w:type="auto"/>
            <w:vAlign w:val="center"/>
          </w:tcPr>
          <w:p w14:paraId="23D71C74" w14:textId="77777777" w:rsidR="00606DE5" w:rsidRDefault="00000000">
            <w:pPr>
              <w:pStyle w:val="ac"/>
              <w:ind w:firstLineChars="0" w:firstLine="0"/>
              <w:jc w:val="center"/>
              <w:rPr>
                <w:sz w:val="21"/>
                <w:szCs w:val="21"/>
              </w:rPr>
            </w:pPr>
            <w:r>
              <w:rPr>
                <w:sz w:val="21"/>
                <w:szCs w:val="21"/>
              </w:rPr>
              <w:t>EF</w:t>
            </w:r>
          </w:p>
        </w:tc>
        <w:tc>
          <w:tcPr>
            <w:tcW w:w="0" w:type="auto"/>
            <w:vAlign w:val="center"/>
          </w:tcPr>
          <w:p w14:paraId="0E6B4657" w14:textId="77777777" w:rsidR="00606DE5" w:rsidRDefault="00000000">
            <w:pPr>
              <w:pStyle w:val="ac"/>
              <w:ind w:firstLineChars="0" w:firstLine="0"/>
              <w:jc w:val="center"/>
              <w:rPr>
                <w:sz w:val="21"/>
                <w:szCs w:val="21"/>
              </w:rPr>
            </w:pPr>
            <w:r>
              <w:rPr>
                <w:sz w:val="21"/>
                <w:szCs w:val="21"/>
              </w:rPr>
              <w:t>直接排放因子</w:t>
            </w:r>
          </w:p>
        </w:tc>
        <w:tc>
          <w:tcPr>
            <w:tcW w:w="0" w:type="auto"/>
            <w:vAlign w:val="center"/>
          </w:tcPr>
          <w:p w14:paraId="447633EC" w14:textId="77777777" w:rsidR="00606DE5" w:rsidRDefault="00000000">
            <w:pPr>
              <w:pStyle w:val="ac"/>
              <w:ind w:firstLine="420"/>
              <w:jc w:val="center"/>
              <w:rPr>
                <w:sz w:val="21"/>
                <w:szCs w:val="21"/>
              </w:rPr>
            </w:pPr>
            <w:r>
              <w:rPr>
                <w:sz w:val="21"/>
                <w:szCs w:val="21"/>
              </w:rPr>
              <w:t>%</w:t>
            </w:r>
          </w:p>
        </w:tc>
      </w:tr>
      <w:tr w:rsidR="00606DE5" w14:paraId="02CE1A69" w14:textId="77777777">
        <w:trPr>
          <w:trHeight w:val="449"/>
          <w:tblCellSpacing w:w="15" w:type="dxa"/>
          <w:jc w:val="center"/>
        </w:trPr>
        <w:tc>
          <w:tcPr>
            <w:tcW w:w="0" w:type="auto"/>
            <w:vAlign w:val="center"/>
          </w:tcPr>
          <w:p w14:paraId="368AB076" w14:textId="77777777" w:rsidR="00606DE5" w:rsidRDefault="00000000">
            <w:pPr>
              <w:pStyle w:val="ac"/>
              <w:ind w:firstLineChars="0" w:firstLine="0"/>
              <w:jc w:val="center"/>
              <w:rPr>
                <w:sz w:val="21"/>
                <w:szCs w:val="21"/>
              </w:rPr>
            </w:pPr>
            <w:r>
              <w:rPr>
                <w:sz w:val="21"/>
                <w:szCs w:val="21"/>
              </w:rPr>
              <w:t>YSE</w:t>
            </w:r>
          </w:p>
        </w:tc>
        <w:tc>
          <w:tcPr>
            <w:tcW w:w="0" w:type="auto"/>
            <w:vAlign w:val="center"/>
          </w:tcPr>
          <w:p w14:paraId="01A072F1" w14:textId="77777777" w:rsidR="00606DE5" w:rsidRDefault="00000000">
            <w:pPr>
              <w:pStyle w:val="ac"/>
              <w:ind w:firstLineChars="0" w:firstLine="0"/>
              <w:jc w:val="center"/>
              <w:rPr>
                <w:sz w:val="21"/>
                <w:szCs w:val="21"/>
              </w:rPr>
            </w:pPr>
            <w:r>
              <w:rPr>
                <w:sz w:val="21"/>
                <w:szCs w:val="21"/>
              </w:rPr>
              <w:t>产量尺度排放</w:t>
            </w:r>
          </w:p>
        </w:tc>
        <w:tc>
          <w:tcPr>
            <w:tcW w:w="0" w:type="auto"/>
            <w:vAlign w:val="center"/>
          </w:tcPr>
          <w:p w14:paraId="03663363" w14:textId="77777777" w:rsidR="00606DE5" w:rsidRDefault="00000000">
            <w:pPr>
              <w:pStyle w:val="ac"/>
              <w:ind w:firstLine="420"/>
              <w:jc w:val="center"/>
              <w:rPr>
                <w:sz w:val="21"/>
                <w:szCs w:val="21"/>
              </w:rPr>
            </w:pPr>
            <w:r>
              <w:rPr>
                <w:sz w:val="21"/>
                <w:szCs w:val="21"/>
              </w:rPr>
              <w:t>kg N t⁻¹</w:t>
            </w:r>
          </w:p>
        </w:tc>
      </w:tr>
      <w:tr w:rsidR="00606DE5" w14:paraId="61103596" w14:textId="77777777">
        <w:trPr>
          <w:trHeight w:val="449"/>
          <w:tblCellSpacing w:w="15" w:type="dxa"/>
          <w:jc w:val="center"/>
        </w:trPr>
        <w:tc>
          <w:tcPr>
            <w:tcW w:w="0" w:type="auto"/>
            <w:vAlign w:val="center"/>
          </w:tcPr>
          <w:p w14:paraId="37D7EB06" w14:textId="77777777" w:rsidR="00606DE5" w:rsidRDefault="00000000">
            <w:pPr>
              <w:pStyle w:val="ac"/>
              <w:ind w:firstLineChars="0" w:firstLine="0"/>
              <w:jc w:val="center"/>
              <w:rPr>
                <w:sz w:val="21"/>
                <w:szCs w:val="21"/>
              </w:rPr>
            </w:pPr>
            <w:r>
              <w:rPr>
                <w:sz w:val="21"/>
                <w:szCs w:val="21"/>
              </w:rPr>
              <w:t>SE</w:t>
            </w:r>
          </w:p>
        </w:tc>
        <w:tc>
          <w:tcPr>
            <w:tcW w:w="0" w:type="auto"/>
            <w:vAlign w:val="center"/>
          </w:tcPr>
          <w:p w14:paraId="71602234" w14:textId="77777777" w:rsidR="00606DE5" w:rsidRDefault="00000000">
            <w:pPr>
              <w:pStyle w:val="ac"/>
              <w:ind w:firstLineChars="0" w:firstLine="0"/>
              <w:jc w:val="center"/>
              <w:rPr>
                <w:sz w:val="21"/>
                <w:szCs w:val="21"/>
              </w:rPr>
            </w:pPr>
            <w:r>
              <w:rPr>
                <w:sz w:val="21"/>
                <w:szCs w:val="21"/>
              </w:rPr>
              <w:t>标准误</w:t>
            </w:r>
          </w:p>
        </w:tc>
        <w:tc>
          <w:tcPr>
            <w:tcW w:w="0" w:type="auto"/>
            <w:vAlign w:val="center"/>
          </w:tcPr>
          <w:p w14:paraId="100D15F6" w14:textId="77777777" w:rsidR="00606DE5" w:rsidRDefault="00000000">
            <w:pPr>
              <w:pStyle w:val="ac"/>
              <w:ind w:firstLine="420"/>
              <w:jc w:val="center"/>
              <w:rPr>
                <w:sz w:val="21"/>
                <w:szCs w:val="21"/>
              </w:rPr>
            </w:pPr>
            <w:r>
              <w:rPr>
                <w:sz w:val="21"/>
                <w:szCs w:val="21"/>
              </w:rPr>
              <w:t>standard error</w:t>
            </w:r>
          </w:p>
        </w:tc>
      </w:tr>
      <w:tr w:rsidR="00606DE5" w14:paraId="1504F87F" w14:textId="77777777">
        <w:trPr>
          <w:trHeight w:val="436"/>
          <w:tblCellSpacing w:w="15" w:type="dxa"/>
          <w:jc w:val="center"/>
        </w:trPr>
        <w:tc>
          <w:tcPr>
            <w:tcW w:w="0" w:type="auto"/>
            <w:vAlign w:val="center"/>
          </w:tcPr>
          <w:p w14:paraId="45E4B6AD" w14:textId="77777777" w:rsidR="00606DE5" w:rsidRDefault="00000000">
            <w:pPr>
              <w:pStyle w:val="ac"/>
              <w:ind w:firstLineChars="0" w:firstLine="0"/>
              <w:jc w:val="center"/>
              <w:rPr>
                <w:sz w:val="21"/>
                <w:szCs w:val="21"/>
              </w:rPr>
            </w:pPr>
            <w:r>
              <w:rPr>
                <w:sz w:val="21"/>
                <w:szCs w:val="21"/>
              </w:rPr>
              <w:t>SD</w:t>
            </w:r>
          </w:p>
        </w:tc>
        <w:tc>
          <w:tcPr>
            <w:tcW w:w="0" w:type="auto"/>
            <w:vAlign w:val="center"/>
          </w:tcPr>
          <w:p w14:paraId="7240D5FF" w14:textId="77777777" w:rsidR="00606DE5" w:rsidRDefault="00000000">
            <w:pPr>
              <w:pStyle w:val="ac"/>
              <w:ind w:firstLineChars="0" w:firstLine="0"/>
              <w:jc w:val="center"/>
              <w:rPr>
                <w:sz w:val="21"/>
                <w:szCs w:val="21"/>
              </w:rPr>
            </w:pPr>
            <w:r>
              <w:rPr>
                <w:sz w:val="21"/>
                <w:szCs w:val="21"/>
              </w:rPr>
              <w:t>标准差</w:t>
            </w:r>
          </w:p>
        </w:tc>
        <w:tc>
          <w:tcPr>
            <w:tcW w:w="0" w:type="auto"/>
            <w:vAlign w:val="center"/>
          </w:tcPr>
          <w:p w14:paraId="3C5E9EF5" w14:textId="77777777" w:rsidR="00606DE5" w:rsidRDefault="00000000">
            <w:pPr>
              <w:pStyle w:val="ac"/>
              <w:ind w:firstLine="420"/>
              <w:jc w:val="center"/>
              <w:rPr>
                <w:sz w:val="21"/>
                <w:szCs w:val="21"/>
              </w:rPr>
            </w:pPr>
            <w:r>
              <w:rPr>
                <w:sz w:val="21"/>
                <w:szCs w:val="21"/>
              </w:rPr>
              <w:t>standard deviation</w:t>
            </w:r>
          </w:p>
        </w:tc>
      </w:tr>
      <w:tr w:rsidR="00606DE5" w14:paraId="61881F07" w14:textId="77777777">
        <w:trPr>
          <w:trHeight w:val="449"/>
          <w:tblCellSpacing w:w="15" w:type="dxa"/>
          <w:jc w:val="center"/>
        </w:trPr>
        <w:tc>
          <w:tcPr>
            <w:tcW w:w="0" w:type="auto"/>
            <w:vAlign w:val="center"/>
          </w:tcPr>
          <w:p w14:paraId="7ABDCB4B" w14:textId="77777777" w:rsidR="00606DE5" w:rsidRDefault="00000000">
            <w:pPr>
              <w:pStyle w:val="ac"/>
              <w:ind w:firstLineChars="0" w:firstLine="0"/>
              <w:jc w:val="center"/>
              <w:rPr>
                <w:sz w:val="21"/>
                <w:szCs w:val="21"/>
              </w:rPr>
            </w:pPr>
            <w:r>
              <w:rPr>
                <w:sz w:val="21"/>
                <w:szCs w:val="21"/>
              </w:rPr>
              <w:t>CV</w:t>
            </w:r>
          </w:p>
        </w:tc>
        <w:tc>
          <w:tcPr>
            <w:tcW w:w="0" w:type="auto"/>
            <w:vAlign w:val="center"/>
          </w:tcPr>
          <w:p w14:paraId="5E2CEE10" w14:textId="77777777" w:rsidR="00606DE5" w:rsidRDefault="00000000">
            <w:pPr>
              <w:pStyle w:val="ac"/>
              <w:ind w:firstLineChars="0" w:firstLine="0"/>
              <w:jc w:val="center"/>
              <w:rPr>
                <w:sz w:val="21"/>
                <w:szCs w:val="21"/>
              </w:rPr>
            </w:pPr>
            <w:r>
              <w:rPr>
                <w:sz w:val="21"/>
                <w:szCs w:val="21"/>
              </w:rPr>
              <w:t>变异系数</w:t>
            </w:r>
          </w:p>
        </w:tc>
        <w:tc>
          <w:tcPr>
            <w:tcW w:w="0" w:type="auto"/>
            <w:vAlign w:val="center"/>
          </w:tcPr>
          <w:p w14:paraId="7CB5B25A" w14:textId="77777777" w:rsidR="00606DE5" w:rsidRDefault="00000000">
            <w:pPr>
              <w:pStyle w:val="ac"/>
              <w:ind w:firstLine="420"/>
              <w:jc w:val="center"/>
              <w:rPr>
                <w:sz w:val="21"/>
                <w:szCs w:val="21"/>
              </w:rPr>
            </w:pPr>
            <w:r>
              <w:rPr>
                <w:sz w:val="21"/>
                <w:szCs w:val="21"/>
              </w:rPr>
              <w:t>%</w:t>
            </w:r>
          </w:p>
        </w:tc>
      </w:tr>
      <w:tr w:rsidR="00606DE5" w14:paraId="2FEA44BA" w14:textId="77777777">
        <w:trPr>
          <w:trHeight w:val="449"/>
          <w:tblCellSpacing w:w="15" w:type="dxa"/>
          <w:jc w:val="center"/>
        </w:trPr>
        <w:tc>
          <w:tcPr>
            <w:tcW w:w="0" w:type="auto"/>
            <w:vAlign w:val="center"/>
          </w:tcPr>
          <w:p w14:paraId="3E1B44CE" w14:textId="77777777" w:rsidR="00606DE5" w:rsidRDefault="00000000">
            <w:pPr>
              <w:pStyle w:val="ac"/>
              <w:ind w:firstLineChars="0" w:firstLine="0"/>
              <w:jc w:val="center"/>
              <w:rPr>
                <w:sz w:val="21"/>
                <w:szCs w:val="21"/>
              </w:rPr>
            </w:pPr>
            <w:r>
              <w:rPr>
                <w:sz w:val="21"/>
                <w:szCs w:val="21"/>
              </w:rPr>
              <w:t>RR</w:t>
            </w:r>
          </w:p>
        </w:tc>
        <w:tc>
          <w:tcPr>
            <w:tcW w:w="0" w:type="auto"/>
            <w:vAlign w:val="center"/>
          </w:tcPr>
          <w:p w14:paraId="372B76F1" w14:textId="77777777" w:rsidR="00606DE5" w:rsidRDefault="00000000">
            <w:pPr>
              <w:pStyle w:val="ac"/>
              <w:ind w:firstLineChars="0" w:firstLine="0"/>
              <w:jc w:val="center"/>
              <w:rPr>
                <w:sz w:val="21"/>
                <w:szCs w:val="21"/>
              </w:rPr>
            </w:pPr>
            <w:r>
              <w:rPr>
                <w:sz w:val="21"/>
                <w:szCs w:val="21"/>
              </w:rPr>
              <w:t>响应比</w:t>
            </w:r>
          </w:p>
        </w:tc>
        <w:tc>
          <w:tcPr>
            <w:tcW w:w="0" w:type="auto"/>
            <w:vAlign w:val="center"/>
          </w:tcPr>
          <w:p w14:paraId="197EC8CE" w14:textId="77777777" w:rsidR="00606DE5" w:rsidRDefault="00000000">
            <w:pPr>
              <w:pStyle w:val="ac"/>
              <w:ind w:firstLine="420"/>
              <w:jc w:val="center"/>
              <w:rPr>
                <w:sz w:val="21"/>
                <w:szCs w:val="21"/>
              </w:rPr>
            </w:pPr>
            <w:r>
              <w:rPr>
                <w:sz w:val="21"/>
                <w:szCs w:val="21"/>
              </w:rPr>
              <w:t>response ratio</w:t>
            </w:r>
          </w:p>
        </w:tc>
      </w:tr>
      <w:tr w:rsidR="00606DE5" w14:paraId="07590A4E" w14:textId="77777777">
        <w:trPr>
          <w:trHeight w:val="449"/>
          <w:tblCellSpacing w:w="15" w:type="dxa"/>
          <w:jc w:val="center"/>
        </w:trPr>
        <w:tc>
          <w:tcPr>
            <w:tcW w:w="0" w:type="auto"/>
            <w:vAlign w:val="center"/>
          </w:tcPr>
          <w:p w14:paraId="495B6EC2" w14:textId="77777777" w:rsidR="00606DE5" w:rsidRDefault="00000000">
            <w:pPr>
              <w:pStyle w:val="ac"/>
              <w:ind w:firstLineChars="0" w:firstLine="0"/>
              <w:jc w:val="center"/>
              <w:rPr>
                <w:sz w:val="21"/>
                <w:szCs w:val="21"/>
              </w:rPr>
            </w:pPr>
            <w:proofErr w:type="spellStart"/>
            <w:r>
              <w:rPr>
                <w:sz w:val="21"/>
                <w:szCs w:val="21"/>
              </w:rPr>
              <w:t>lnRR</w:t>
            </w:r>
            <w:proofErr w:type="spellEnd"/>
          </w:p>
        </w:tc>
        <w:tc>
          <w:tcPr>
            <w:tcW w:w="0" w:type="auto"/>
            <w:vAlign w:val="center"/>
          </w:tcPr>
          <w:p w14:paraId="53B4E47D" w14:textId="77777777" w:rsidR="00606DE5" w:rsidRDefault="00000000">
            <w:pPr>
              <w:pStyle w:val="ac"/>
              <w:ind w:firstLineChars="0" w:firstLine="0"/>
              <w:jc w:val="center"/>
              <w:rPr>
                <w:sz w:val="21"/>
                <w:szCs w:val="21"/>
              </w:rPr>
            </w:pPr>
            <w:r>
              <w:rPr>
                <w:sz w:val="21"/>
                <w:szCs w:val="21"/>
              </w:rPr>
              <w:t>响应比自然对数</w:t>
            </w:r>
          </w:p>
        </w:tc>
        <w:tc>
          <w:tcPr>
            <w:tcW w:w="0" w:type="auto"/>
            <w:vAlign w:val="center"/>
          </w:tcPr>
          <w:p w14:paraId="5DAE6B58" w14:textId="77777777" w:rsidR="00606DE5" w:rsidRDefault="00000000">
            <w:pPr>
              <w:pStyle w:val="ac"/>
              <w:ind w:firstLine="420"/>
              <w:jc w:val="center"/>
              <w:rPr>
                <w:sz w:val="21"/>
                <w:szCs w:val="21"/>
              </w:rPr>
            </w:pPr>
            <w:r>
              <w:rPr>
                <w:sz w:val="21"/>
                <w:szCs w:val="21"/>
              </w:rPr>
              <w:t>log response ratio</w:t>
            </w:r>
          </w:p>
        </w:tc>
      </w:tr>
      <w:tr w:rsidR="00606DE5" w14:paraId="61CDB6A2" w14:textId="77777777">
        <w:trPr>
          <w:trHeight w:val="449"/>
          <w:tblCellSpacing w:w="15" w:type="dxa"/>
          <w:jc w:val="center"/>
        </w:trPr>
        <w:tc>
          <w:tcPr>
            <w:tcW w:w="0" w:type="auto"/>
            <w:vAlign w:val="center"/>
          </w:tcPr>
          <w:p w14:paraId="7DED050F" w14:textId="77777777" w:rsidR="00606DE5" w:rsidRDefault="00000000">
            <w:pPr>
              <w:pStyle w:val="ac"/>
              <w:ind w:firstLineChars="0" w:firstLine="0"/>
              <w:jc w:val="center"/>
              <w:rPr>
                <w:sz w:val="21"/>
                <w:szCs w:val="21"/>
              </w:rPr>
            </w:pPr>
            <w:r>
              <w:rPr>
                <w:sz w:val="21"/>
                <w:szCs w:val="21"/>
              </w:rPr>
              <w:t>CI</w:t>
            </w:r>
          </w:p>
        </w:tc>
        <w:tc>
          <w:tcPr>
            <w:tcW w:w="0" w:type="auto"/>
            <w:vAlign w:val="center"/>
          </w:tcPr>
          <w:p w14:paraId="08E80F88" w14:textId="77777777" w:rsidR="00606DE5" w:rsidRDefault="00000000">
            <w:pPr>
              <w:pStyle w:val="ac"/>
              <w:ind w:firstLineChars="0" w:firstLine="0"/>
              <w:jc w:val="center"/>
              <w:rPr>
                <w:sz w:val="21"/>
                <w:szCs w:val="21"/>
              </w:rPr>
            </w:pPr>
            <w:r>
              <w:rPr>
                <w:sz w:val="21"/>
                <w:szCs w:val="21"/>
              </w:rPr>
              <w:t>置信区间</w:t>
            </w:r>
          </w:p>
        </w:tc>
        <w:tc>
          <w:tcPr>
            <w:tcW w:w="0" w:type="auto"/>
            <w:vAlign w:val="center"/>
          </w:tcPr>
          <w:p w14:paraId="49A88A48" w14:textId="77777777" w:rsidR="00606DE5" w:rsidRDefault="00000000">
            <w:pPr>
              <w:pStyle w:val="ac"/>
              <w:ind w:firstLine="420"/>
              <w:jc w:val="center"/>
              <w:rPr>
                <w:sz w:val="21"/>
                <w:szCs w:val="21"/>
              </w:rPr>
            </w:pPr>
            <w:r>
              <w:rPr>
                <w:sz w:val="21"/>
                <w:szCs w:val="21"/>
              </w:rPr>
              <w:t>confidence interval</w:t>
            </w:r>
          </w:p>
        </w:tc>
      </w:tr>
      <w:tr w:rsidR="00606DE5" w14:paraId="1C901651" w14:textId="77777777">
        <w:trPr>
          <w:trHeight w:val="449"/>
          <w:tblCellSpacing w:w="15" w:type="dxa"/>
          <w:jc w:val="center"/>
        </w:trPr>
        <w:tc>
          <w:tcPr>
            <w:tcW w:w="0" w:type="auto"/>
            <w:vAlign w:val="center"/>
          </w:tcPr>
          <w:p w14:paraId="2BE453D2" w14:textId="77777777" w:rsidR="00606DE5" w:rsidRDefault="00000000">
            <w:pPr>
              <w:pStyle w:val="ac"/>
              <w:ind w:firstLineChars="0" w:firstLine="0"/>
              <w:jc w:val="center"/>
              <w:rPr>
                <w:sz w:val="21"/>
                <w:szCs w:val="21"/>
              </w:rPr>
            </w:pPr>
            <w:r>
              <w:rPr>
                <w:sz w:val="21"/>
                <w:szCs w:val="21"/>
              </w:rPr>
              <w:t>AONR</w:t>
            </w:r>
          </w:p>
        </w:tc>
        <w:tc>
          <w:tcPr>
            <w:tcW w:w="0" w:type="auto"/>
            <w:vAlign w:val="center"/>
          </w:tcPr>
          <w:p w14:paraId="71707980" w14:textId="77777777" w:rsidR="00606DE5" w:rsidRDefault="00000000">
            <w:pPr>
              <w:pStyle w:val="ac"/>
              <w:ind w:firstLineChars="0" w:firstLine="0"/>
              <w:jc w:val="center"/>
              <w:rPr>
                <w:sz w:val="21"/>
                <w:szCs w:val="21"/>
              </w:rPr>
            </w:pPr>
            <w:r>
              <w:rPr>
                <w:sz w:val="21"/>
                <w:szCs w:val="21"/>
              </w:rPr>
              <w:t>农学最优施氮量</w:t>
            </w:r>
          </w:p>
        </w:tc>
        <w:tc>
          <w:tcPr>
            <w:tcW w:w="0" w:type="auto"/>
            <w:vAlign w:val="center"/>
          </w:tcPr>
          <w:p w14:paraId="02F21804" w14:textId="77777777" w:rsidR="00606DE5" w:rsidRDefault="00000000">
            <w:pPr>
              <w:pStyle w:val="ac"/>
              <w:ind w:firstLine="420"/>
              <w:jc w:val="center"/>
              <w:rPr>
                <w:sz w:val="21"/>
                <w:szCs w:val="21"/>
              </w:rPr>
            </w:pPr>
            <w:r>
              <w:rPr>
                <w:sz w:val="21"/>
                <w:szCs w:val="21"/>
              </w:rPr>
              <w:t>kg N ha⁻¹</w:t>
            </w:r>
          </w:p>
        </w:tc>
      </w:tr>
      <w:tr w:rsidR="00606DE5" w14:paraId="08D8410C" w14:textId="77777777">
        <w:trPr>
          <w:trHeight w:val="449"/>
          <w:tblCellSpacing w:w="15" w:type="dxa"/>
          <w:jc w:val="center"/>
        </w:trPr>
        <w:tc>
          <w:tcPr>
            <w:tcW w:w="0" w:type="auto"/>
            <w:tcBorders>
              <w:bottom w:val="single" w:sz="12" w:space="0" w:color="auto"/>
            </w:tcBorders>
            <w:vAlign w:val="center"/>
          </w:tcPr>
          <w:p w14:paraId="5EB4D221" w14:textId="77777777" w:rsidR="00606DE5" w:rsidRDefault="00000000">
            <w:pPr>
              <w:pStyle w:val="ac"/>
              <w:ind w:firstLineChars="0" w:firstLine="0"/>
              <w:jc w:val="center"/>
              <w:rPr>
                <w:sz w:val="21"/>
                <w:szCs w:val="21"/>
              </w:rPr>
            </w:pPr>
            <w:r>
              <w:rPr>
                <w:sz w:val="21"/>
                <w:szCs w:val="21"/>
              </w:rPr>
              <w:t>EEFs</w:t>
            </w:r>
          </w:p>
        </w:tc>
        <w:tc>
          <w:tcPr>
            <w:tcW w:w="0" w:type="auto"/>
            <w:tcBorders>
              <w:bottom w:val="single" w:sz="12" w:space="0" w:color="auto"/>
            </w:tcBorders>
            <w:vAlign w:val="center"/>
          </w:tcPr>
          <w:p w14:paraId="59EE2F60" w14:textId="77777777" w:rsidR="00606DE5" w:rsidRDefault="00000000">
            <w:pPr>
              <w:pStyle w:val="ac"/>
              <w:ind w:firstLineChars="0" w:firstLine="0"/>
              <w:jc w:val="center"/>
              <w:rPr>
                <w:sz w:val="21"/>
                <w:szCs w:val="21"/>
              </w:rPr>
            </w:pPr>
            <w:r>
              <w:rPr>
                <w:sz w:val="21"/>
                <w:szCs w:val="21"/>
              </w:rPr>
              <w:t>增效肥料</w:t>
            </w:r>
          </w:p>
        </w:tc>
        <w:tc>
          <w:tcPr>
            <w:tcW w:w="0" w:type="auto"/>
            <w:tcBorders>
              <w:bottom w:val="single" w:sz="12" w:space="0" w:color="auto"/>
            </w:tcBorders>
            <w:vAlign w:val="center"/>
          </w:tcPr>
          <w:p w14:paraId="219C6B97" w14:textId="77777777" w:rsidR="00606DE5" w:rsidRDefault="00000000">
            <w:pPr>
              <w:pStyle w:val="ac"/>
              <w:ind w:firstLine="420"/>
              <w:jc w:val="center"/>
              <w:rPr>
                <w:sz w:val="21"/>
                <w:szCs w:val="21"/>
              </w:rPr>
            </w:pPr>
            <w:r>
              <w:rPr>
                <w:sz w:val="21"/>
                <w:szCs w:val="21"/>
              </w:rPr>
              <w:t>enhanced-efficiency fertilizers</w:t>
            </w:r>
          </w:p>
        </w:tc>
      </w:tr>
      <w:bookmarkEnd w:id="6"/>
    </w:tbl>
    <w:p w14:paraId="6B441DE2" w14:textId="77777777" w:rsidR="00606DE5" w:rsidRDefault="00606DE5">
      <w:pPr>
        <w:pStyle w:val="ac"/>
        <w:ind w:firstLineChars="0" w:firstLine="0"/>
      </w:pPr>
    </w:p>
    <w:p w14:paraId="2F3B4D9B" w14:textId="77777777" w:rsidR="00606DE5" w:rsidRDefault="00000000">
      <w:pPr>
        <w:rPr>
          <w:rFonts w:ascii="Times New Roman" w:hAnsi="Times New Roman" w:cstheme="minorBidi"/>
          <w:kern w:val="2"/>
          <w:lang w:val="en-US"/>
          <w14:ligatures w14:val="standardContextual"/>
        </w:rPr>
      </w:pPr>
      <w:r>
        <w:br w:type="page"/>
      </w:r>
    </w:p>
    <w:p w14:paraId="111CF95F" w14:textId="77777777" w:rsidR="00606DE5" w:rsidRDefault="00000000" w:rsidP="003E5E4A">
      <w:pPr>
        <w:pStyle w:val="af5"/>
        <w:spacing w:before="480" w:after="240"/>
      </w:pPr>
      <w:bookmarkStart w:id="7" w:name="_Toc229245515"/>
      <w:r>
        <w:lastRenderedPageBreak/>
        <w:t>术语表</w:t>
      </w:r>
      <w:bookmarkEnd w:id="7"/>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11"/>
        <w:gridCol w:w="2230"/>
        <w:gridCol w:w="5417"/>
      </w:tblGrid>
      <w:tr w:rsidR="00606DE5" w14:paraId="3B383B4F" w14:textId="77777777">
        <w:trPr>
          <w:tblHeader/>
          <w:tblCellSpacing w:w="15" w:type="dxa"/>
          <w:jc w:val="center"/>
        </w:trPr>
        <w:tc>
          <w:tcPr>
            <w:tcW w:w="0" w:type="auto"/>
            <w:tcBorders>
              <w:top w:val="single" w:sz="12" w:space="0" w:color="auto"/>
              <w:bottom w:val="single" w:sz="4" w:space="0" w:color="auto"/>
            </w:tcBorders>
            <w:vAlign w:val="center"/>
          </w:tcPr>
          <w:p w14:paraId="1F975E9F" w14:textId="77777777" w:rsidR="00606DE5" w:rsidRDefault="00000000">
            <w:pPr>
              <w:pStyle w:val="ac"/>
              <w:ind w:firstLineChars="0" w:firstLine="0"/>
              <w:jc w:val="center"/>
              <w:rPr>
                <w:rFonts w:ascii="黑体" w:eastAsia="黑体" w:hAnsi="黑体"/>
                <w:sz w:val="21"/>
                <w:szCs w:val="21"/>
              </w:rPr>
            </w:pPr>
            <w:r>
              <w:rPr>
                <w:rFonts w:ascii="黑体" w:eastAsia="黑体" w:hAnsi="黑体"/>
                <w:sz w:val="21"/>
                <w:szCs w:val="21"/>
              </w:rPr>
              <w:t>术语</w:t>
            </w:r>
          </w:p>
        </w:tc>
        <w:tc>
          <w:tcPr>
            <w:tcW w:w="0" w:type="auto"/>
            <w:tcBorders>
              <w:top w:val="single" w:sz="12" w:space="0" w:color="auto"/>
              <w:bottom w:val="single" w:sz="4" w:space="0" w:color="auto"/>
            </w:tcBorders>
            <w:vAlign w:val="center"/>
          </w:tcPr>
          <w:p w14:paraId="0D15BA94" w14:textId="77777777" w:rsidR="00606DE5" w:rsidRDefault="00000000">
            <w:pPr>
              <w:pStyle w:val="ac"/>
              <w:ind w:firstLineChars="0" w:firstLine="0"/>
              <w:jc w:val="center"/>
              <w:rPr>
                <w:rFonts w:ascii="黑体" w:eastAsia="黑体" w:hAnsi="黑体"/>
                <w:sz w:val="21"/>
                <w:szCs w:val="21"/>
              </w:rPr>
            </w:pPr>
            <w:r>
              <w:rPr>
                <w:rFonts w:ascii="黑体" w:eastAsia="黑体" w:hAnsi="黑体"/>
                <w:sz w:val="21"/>
                <w:szCs w:val="21"/>
              </w:rPr>
              <w:t>英文名称</w:t>
            </w:r>
          </w:p>
        </w:tc>
        <w:tc>
          <w:tcPr>
            <w:tcW w:w="0" w:type="auto"/>
            <w:tcBorders>
              <w:top w:val="single" w:sz="12" w:space="0" w:color="auto"/>
              <w:bottom w:val="single" w:sz="4" w:space="0" w:color="auto"/>
            </w:tcBorders>
            <w:vAlign w:val="center"/>
          </w:tcPr>
          <w:p w14:paraId="15A377D1" w14:textId="77777777" w:rsidR="00606DE5" w:rsidRDefault="00000000">
            <w:pPr>
              <w:pStyle w:val="ac"/>
              <w:ind w:firstLine="420"/>
              <w:jc w:val="center"/>
              <w:rPr>
                <w:rFonts w:ascii="黑体" w:eastAsia="黑体" w:hAnsi="黑体"/>
                <w:sz w:val="21"/>
                <w:szCs w:val="21"/>
              </w:rPr>
            </w:pPr>
            <w:r>
              <w:rPr>
                <w:rFonts w:ascii="黑体" w:eastAsia="黑体" w:hAnsi="黑体"/>
                <w:sz w:val="21"/>
                <w:szCs w:val="21"/>
              </w:rPr>
              <w:t>注释</w:t>
            </w:r>
          </w:p>
        </w:tc>
      </w:tr>
      <w:tr w:rsidR="00606DE5" w14:paraId="40D3FE91" w14:textId="77777777">
        <w:trPr>
          <w:tblCellSpacing w:w="15" w:type="dxa"/>
          <w:jc w:val="center"/>
        </w:trPr>
        <w:tc>
          <w:tcPr>
            <w:tcW w:w="0" w:type="auto"/>
            <w:vAlign w:val="center"/>
          </w:tcPr>
          <w:p w14:paraId="774809E2" w14:textId="77777777" w:rsidR="00606DE5" w:rsidRDefault="00000000">
            <w:pPr>
              <w:pStyle w:val="ac"/>
              <w:ind w:firstLineChars="0" w:firstLine="0"/>
              <w:jc w:val="center"/>
              <w:rPr>
                <w:sz w:val="21"/>
                <w:szCs w:val="21"/>
              </w:rPr>
            </w:pPr>
            <w:r>
              <w:rPr>
                <w:sz w:val="21"/>
                <w:szCs w:val="21"/>
              </w:rPr>
              <w:t xml:space="preserve">Meta </w:t>
            </w:r>
            <w:r>
              <w:rPr>
                <w:sz w:val="21"/>
                <w:szCs w:val="21"/>
              </w:rPr>
              <w:t>分析</w:t>
            </w:r>
          </w:p>
        </w:tc>
        <w:tc>
          <w:tcPr>
            <w:tcW w:w="0" w:type="auto"/>
            <w:vAlign w:val="center"/>
          </w:tcPr>
          <w:p w14:paraId="21B0082F" w14:textId="77777777" w:rsidR="00606DE5" w:rsidRDefault="00000000">
            <w:pPr>
              <w:pStyle w:val="ac"/>
              <w:ind w:firstLineChars="0" w:firstLine="0"/>
              <w:jc w:val="center"/>
              <w:rPr>
                <w:sz w:val="21"/>
                <w:szCs w:val="21"/>
              </w:rPr>
            </w:pPr>
            <w:r>
              <w:rPr>
                <w:sz w:val="21"/>
                <w:szCs w:val="21"/>
              </w:rPr>
              <w:t>meta-analysis</w:t>
            </w:r>
          </w:p>
        </w:tc>
        <w:tc>
          <w:tcPr>
            <w:tcW w:w="0" w:type="auto"/>
            <w:vAlign w:val="center"/>
          </w:tcPr>
          <w:p w14:paraId="7936A7E5" w14:textId="77777777" w:rsidR="00606DE5" w:rsidRDefault="00000000">
            <w:pPr>
              <w:pStyle w:val="ac"/>
              <w:ind w:firstLine="420"/>
              <w:jc w:val="center"/>
              <w:rPr>
                <w:sz w:val="21"/>
                <w:szCs w:val="21"/>
              </w:rPr>
            </w:pPr>
            <w:r>
              <w:rPr>
                <w:sz w:val="21"/>
                <w:szCs w:val="21"/>
              </w:rPr>
              <w:t>对多个独立研究结果进行系统整合和定量综合的统计方法。</w:t>
            </w:r>
          </w:p>
        </w:tc>
      </w:tr>
      <w:tr w:rsidR="00606DE5" w14:paraId="4F4A65DB" w14:textId="77777777">
        <w:trPr>
          <w:tblCellSpacing w:w="15" w:type="dxa"/>
          <w:jc w:val="center"/>
        </w:trPr>
        <w:tc>
          <w:tcPr>
            <w:tcW w:w="0" w:type="auto"/>
            <w:vAlign w:val="center"/>
          </w:tcPr>
          <w:p w14:paraId="1FD9DC9D" w14:textId="77777777" w:rsidR="00606DE5" w:rsidRDefault="00000000">
            <w:pPr>
              <w:pStyle w:val="ac"/>
              <w:ind w:firstLineChars="0" w:firstLine="0"/>
              <w:jc w:val="center"/>
              <w:rPr>
                <w:sz w:val="21"/>
                <w:szCs w:val="21"/>
              </w:rPr>
            </w:pPr>
            <w:r>
              <w:rPr>
                <w:sz w:val="21"/>
                <w:szCs w:val="21"/>
              </w:rPr>
              <w:t>直接排放因子</w:t>
            </w:r>
          </w:p>
        </w:tc>
        <w:tc>
          <w:tcPr>
            <w:tcW w:w="0" w:type="auto"/>
            <w:vAlign w:val="center"/>
          </w:tcPr>
          <w:p w14:paraId="03F14802" w14:textId="77777777" w:rsidR="00606DE5" w:rsidRDefault="00000000">
            <w:pPr>
              <w:pStyle w:val="ac"/>
              <w:ind w:firstLineChars="0" w:firstLine="0"/>
              <w:jc w:val="center"/>
              <w:rPr>
                <w:sz w:val="21"/>
                <w:szCs w:val="21"/>
              </w:rPr>
            </w:pPr>
            <w:r>
              <w:rPr>
                <w:sz w:val="21"/>
                <w:szCs w:val="21"/>
              </w:rPr>
              <w:t>direct emission factor</w:t>
            </w:r>
          </w:p>
        </w:tc>
        <w:tc>
          <w:tcPr>
            <w:tcW w:w="0" w:type="auto"/>
            <w:vAlign w:val="center"/>
          </w:tcPr>
          <w:p w14:paraId="5A642774" w14:textId="77777777" w:rsidR="00606DE5" w:rsidRDefault="00000000">
            <w:pPr>
              <w:pStyle w:val="ac"/>
              <w:ind w:firstLine="420"/>
              <w:jc w:val="center"/>
              <w:rPr>
                <w:sz w:val="21"/>
                <w:szCs w:val="21"/>
              </w:rPr>
            </w:pPr>
            <w:r>
              <w:rPr>
                <w:sz w:val="21"/>
                <w:szCs w:val="21"/>
              </w:rPr>
              <w:t>施氮处理相对于不施氮对照增加的</w:t>
            </w:r>
            <w:r>
              <w:rPr>
                <w:sz w:val="21"/>
                <w:szCs w:val="21"/>
              </w:rPr>
              <w:t xml:space="preserve"> N₂O-N </w:t>
            </w:r>
            <w:r>
              <w:rPr>
                <w:sz w:val="21"/>
                <w:szCs w:val="21"/>
              </w:rPr>
              <w:t>排放量占施氮量的比例。</w:t>
            </w:r>
          </w:p>
        </w:tc>
      </w:tr>
      <w:tr w:rsidR="00606DE5" w14:paraId="4CF4C015" w14:textId="77777777">
        <w:trPr>
          <w:tblCellSpacing w:w="15" w:type="dxa"/>
          <w:jc w:val="center"/>
        </w:trPr>
        <w:tc>
          <w:tcPr>
            <w:tcW w:w="0" w:type="auto"/>
            <w:vAlign w:val="center"/>
          </w:tcPr>
          <w:p w14:paraId="74325ECB" w14:textId="77777777" w:rsidR="00606DE5" w:rsidRDefault="00000000">
            <w:pPr>
              <w:pStyle w:val="ac"/>
              <w:ind w:firstLineChars="0" w:firstLine="0"/>
              <w:jc w:val="center"/>
              <w:rPr>
                <w:sz w:val="21"/>
                <w:szCs w:val="21"/>
              </w:rPr>
            </w:pPr>
            <w:r>
              <w:rPr>
                <w:sz w:val="21"/>
                <w:szCs w:val="21"/>
              </w:rPr>
              <w:t>产量尺度排放</w:t>
            </w:r>
          </w:p>
        </w:tc>
        <w:tc>
          <w:tcPr>
            <w:tcW w:w="0" w:type="auto"/>
            <w:vAlign w:val="center"/>
          </w:tcPr>
          <w:p w14:paraId="4B6B8296" w14:textId="77777777" w:rsidR="00606DE5" w:rsidRDefault="00000000">
            <w:pPr>
              <w:pStyle w:val="ac"/>
              <w:ind w:firstLineChars="0" w:firstLine="0"/>
              <w:jc w:val="center"/>
              <w:rPr>
                <w:sz w:val="21"/>
                <w:szCs w:val="21"/>
              </w:rPr>
            </w:pPr>
            <w:r>
              <w:rPr>
                <w:sz w:val="21"/>
                <w:szCs w:val="21"/>
              </w:rPr>
              <w:t>yield-scaled emission</w:t>
            </w:r>
          </w:p>
        </w:tc>
        <w:tc>
          <w:tcPr>
            <w:tcW w:w="0" w:type="auto"/>
            <w:vAlign w:val="center"/>
          </w:tcPr>
          <w:p w14:paraId="767DA375" w14:textId="77777777" w:rsidR="00606DE5" w:rsidRDefault="00000000">
            <w:pPr>
              <w:pStyle w:val="ac"/>
              <w:ind w:firstLine="420"/>
              <w:jc w:val="center"/>
              <w:rPr>
                <w:sz w:val="21"/>
                <w:szCs w:val="21"/>
              </w:rPr>
            </w:pPr>
            <w:r>
              <w:rPr>
                <w:sz w:val="21"/>
                <w:szCs w:val="21"/>
              </w:rPr>
              <w:t>单位作物产量对应的</w:t>
            </w:r>
            <w:r>
              <w:rPr>
                <w:sz w:val="21"/>
                <w:szCs w:val="21"/>
              </w:rPr>
              <w:t xml:space="preserve"> N₂O-N </w:t>
            </w:r>
            <w:r>
              <w:rPr>
                <w:sz w:val="21"/>
                <w:szCs w:val="21"/>
              </w:rPr>
              <w:t>排放量，用于同时评价排放强度和生产效益。</w:t>
            </w:r>
          </w:p>
        </w:tc>
      </w:tr>
      <w:tr w:rsidR="00606DE5" w14:paraId="578AD950" w14:textId="77777777">
        <w:trPr>
          <w:tblCellSpacing w:w="15" w:type="dxa"/>
          <w:jc w:val="center"/>
        </w:trPr>
        <w:tc>
          <w:tcPr>
            <w:tcW w:w="0" w:type="auto"/>
            <w:vAlign w:val="center"/>
          </w:tcPr>
          <w:p w14:paraId="6479B3C7" w14:textId="77777777" w:rsidR="00606DE5" w:rsidRDefault="00000000">
            <w:pPr>
              <w:pStyle w:val="ac"/>
              <w:ind w:firstLineChars="0" w:firstLine="0"/>
              <w:jc w:val="center"/>
              <w:rPr>
                <w:sz w:val="21"/>
                <w:szCs w:val="21"/>
              </w:rPr>
            </w:pPr>
            <w:r>
              <w:rPr>
                <w:sz w:val="21"/>
                <w:szCs w:val="21"/>
              </w:rPr>
              <w:t>响应比</w:t>
            </w:r>
          </w:p>
        </w:tc>
        <w:tc>
          <w:tcPr>
            <w:tcW w:w="0" w:type="auto"/>
            <w:vAlign w:val="center"/>
          </w:tcPr>
          <w:p w14:paraId="2BF2C471" w14:textId="77777777" w:rsidR="00606DE5" w:rsidRDefault="00000000">
            <w:pPr>
              <w:pStyle w:val="ac"/>
              <w:ind w:firstLineChars="0" w:firstLine="0"/>
              <w:jc w:val="center"/>
              <w:rPr>
                <w:sz w:val="21"/>
                <w:szCs w:val="21"/>
              </w:rPr>
            </w:pPr>
            <w:r>
              <w:rPr>
                <w:sz w:val="21"/>
                <w:szCs w:val="21"/>
              </w:rPr>
              <w:t>response ratio</w:t>
            </w:r>
          </w:p>
        </w:tc>
        <w:tc>
          <w:tcPr>
            <w:tcW w:w="0" w:type="auto"/>
            <w:vAlign w:val="center"/>
          </w:tcPr>
          <w:p w14:paraId="1B66F327" w14:textId="77777777" w:rsidR="00606DE5" w:rsidRDefault="00000000">
            <w:pPr>
              <w:pStyle w:val="ac"/>
              <w:ind w:firstLine="420"/>
              <w:jc w:val="center"/>
              <w:rPr>
                <w:sz w:val="21"/>
                <w:szCs w:val="21"/>
              </w:rPr>
            </w:pPr>
            <w:r>
              <w:rPr>
                <w:sz w:val="21"/>
                <w:szCs w:val="21"/>
              </w:rPr>
              <w:t>处理组均值与对照组均值之比，用于表示管理措施对响应变量的相对影响。</w:t>
            </w:r>
          </w:p>
        </w:tc>
      </w:tr>
      <w:tr w:rsidR="00606DE5" w14:paraId="60758A3E" w14:textId="77777777">
        <w:trPr>
          <w:tblCellSpacing w:w="15" w:type="dxa"/>
          <w:jc w:val="center"/>
        </w:trPr>
        <w:tc>
          <w:tcPr>
            <w:tcW w:w="0" w:type="auto"/>
            <w:vAlign w:val="center"/>
          </w:tcPr>
          <w:p w14:paraId="04BFAA1B" w14:textId="77777777" w:rsidR="00606DE5" w:rsidRDefault="00000000">
            <w:pPr>
              <w:pStyle w:val="ac"/>
              <w:ind w:firstLineChars="0" w:firstLine="0"/>
              <w:jc w:val="center"/>
              <w:rPr>
                <w:sz w:val="21"/>
                <w:szCs w:val="21"/>
              </w:rPr>
            </w:pPr>
            <w:r>
              <w:rPr>
                <w:sz w:val="21"/>
                <w:szCs w:val="21"/>
              </w:rPr>
              <w:t>Hedges’ d</w:t>
            </w:r>
          </w:p>
        </w:tc>
        <w:tc>
          <w:tcPr>
            <w:tcW w:w="0" w:type="auto"/>
            <w:vAlign w:val="center"/>
          </w:tcPr>
          <w:p w14:paraId="47ED91B2" w14:textId="77777777" w:rsidR="00606DE5" w:rsidRDefault="00000000">
            <w:pPr>
              <w:pStyle w:val="ac"/>
              <w:ind w:firstLineChars="0" w:firstLine="0"/>
              <w:jc w:val="center"/>
              <w:rPr>
                <w:sz w:val="21"/>
                <w:szCs w:val="21"/>
              </w:rPr>
            </w:pPr>
            <w:r>
              <w:rPr>
                <w:sz w:val="21"/>
                <w:szCs w:val="21"/>
              </w:rPr>
              <w:t>Hedges’ d</w:t>
            </w:r>
          </w:p>
        </w:tc>
        <w:tc>
          <w:tcPr>
            <w:tcW w:w="0" w:type="auto"/>
            <w:vAlign w:val="center"/>
          </w:tcPr>
          <w:p w14:paraId="7FFB22DE" w14:textId="77777777" w:rsidR="00606DE5" w:rsidRDefault="00000000">
            <w:pPr>
              <w:pStyle w:val="ac"/>
              <w:ind w:firstLine="420"/>
              <w:jc w:val="center"/>
              <w:rPr>
                <w:sz w:val="21"/>
                <w:szCs w:val="21"/>
              </w:rPr>
            </w:pPr>
            <w:r>
              <w:rPr>
                <w:sz w:val="21"/>
                <w:szCs w:val="21"/>
              </w:rPr>
              <w:t>标准化均值差效应值，适用于可能出现负值的指标，如</w:t>
            </w:r>
            <w:r>
              <w:rPr>
                <w:sz w:val="21"/>
                <w:szCs w:val="21"/>
              </w:rPr>
              <w:t xml:space="preserve"> EF</w:t>
            </w:r>
            <w:r>
              <w:rPr>
                <w:sz w:val="21"/>
                <w:szCs w:val="21"/>
              </w:rPr>
              <w:t>。</w:t>
            </w:r>
          </w:p>
        </w:tc>
      </w:tr>
      <w:tr w:rsidR="00606DE5" w14:paraId="4CBD5A33" w14:textId="77777777">
        <w:trPr>
          <w:tblCellSpacing w:w="15" w:type="dxa"/>
          <w:jc w:val="center"/>
        </w:trPr>
        <w:tc>
          <w:tcPr>
            <w:tcW w:w="0" w:type="auto"/>
            <w:vAlign w:val="center"/>
          </w:tcPr>
          <w:p w14:paraId="1845666F" w14:textId="77777777" w:rsidR="00606DE5" w:rsidRDefault="00000000">
            <w:pPr>
              <w:pStyle w:val="ac"/>
              <w:ind w:firstLineChars="0" w:firstLine="0"/>
              <w:jc w:val="center"/>
              <w:rPr>
                <w:sz w:val="21"/>
                <w:szCs w:val="21"/>
              </w:rPr>
            </w:pPr>
            <w:r>
              <w:rPr>
                <w:sz w:val="21"/>
                <w:szCs w:val="21"/>
              </w:rPr>
              <w:t>随机效应模型</w:t>
            </w:r>
          </w:p>
        </w:tc>
        <w:tc>
          <w:tcPr>
            <w:tcW w:w="0" w:type="auto"/>
            <w:vAlign w:val="center"/>
          </w:tcPr>
          <w:p w14:paraId="3977781B" w14:textId="77777777" w:rsidR="00606DE5" w:rsidRDefault="00000000">
            <w:pPr>
              <w:pStyle w:val="ac"/>
              <w:ind w:firstLineChars="0" w:firstLine="0"/>
              <w:jc w:val="center"/>
              <w:rPr>
                <w:sz w:val="21"/>
                <w:szCs w:val="21"/>
              </w:rPr>
            </w:pPr>
            <w:r>
              <w:rPr>
                <w:sz w:val="21"/>
                <w:szCs w:val="21"/>
              </w:rPr>
              <w:t>random-effects model</w:t>
            </w:r>
          </w:p>
        </w:tc>
        <w:tc>
          <w:tcPr>
            <w:tcW w:w="0" w:type="auto"/>
            <w:vAlign w:val="center"/>
          </w:tcPr>
          <w:p w14:paraId="37477E19" w14:textId="77777777" w:rsidR="00606DE5" w:rsidRDefault="00000000">
            <w:pPr>
              <w:pStyle w:val="ac"/>
              <w:ind w:firstLine="420"/>
              <w:jc w:val="center"/>
              <w:rPr>
                <w:sz w:val="21"/>
                <w:szCs w:val="21"/>
              </w:rPr>
            </w:pPr>
            <w:r>
              <w:rPr>
                <w:sz w:val="21"/>
                <w:szCs w:val="21"/>
              </w:rPr>
              <w:t>假定不同研究间存在真实效应差异的</w:t>
            </w:r>
            <w:r>
              <w:rPr>
                <w:sz w:val="21"/>
                <w:szCs w:val="21"/>
              </w:rPr>
              <w:t xml:space="preserve"> Meta </w:t>
            </w:r>
            <w:r>
              <w:rPr>
                <w:sz w:val="21"/>
                <w:szCs w:val="21"/>
              </w:rPr>
              <w:t>分析模型。</w:t>
            </w:r>
          </w:p>
        </w:tc>
      </w:tr>
      <w:tr w:rsidR="00606DE5" w14:paraId="4A0AC11F" w14:textId="77777777">
        <w:trPr>
          <w:tblCellSpacing w:w="15" w:type="dxa"/>
          <w:jc w:val="center"/>
        </w:trPr>
        <w:tc>
          <w:tcPr>
            <w:tcW w:w="0" w:type="auto"/>
            <w:vAlign w:val="center"/>
          </w:tcPr>
          <w:p w14:paraId="173A3D8E" w14:textId="77777777" w:rsidR="00606DE5" w:rsidRDefault="00000000">
            <w:pPr>
              <w:pStyle w:val="ac"/>
              <w:ind w:firstLineChars="0" w:firstLine="0"/>
              <w:jc w:val="center"/>
              <w:rPr>
                <w:sz w:val="21"/>
                <w:szCs w:val="21"/>
              </w:rPr>
            </w:pPr>
            <w:r>
              <w:rPr>
                <w:sz w:val="21"/>
                <w:szCs w:val="21"/>
              </w:rPr>
              <w:t>增效肥料</w:t>
            </w:r>
          </w:p>
        </w:tc>
        <w:tc>
          <w:tcPr>
            <w:tcW w:w="0" w:type="auto"/>
            <w:vAlign w:val="center"/>
          </w:tcPr>
          <w:p w14:paraId="3058410F" w14:textId="77777777" w:rsidR="00606DE5" w:rsidRDefault="00000000">
            <w:pPr>
              <w:pStyle w:val="ac"/>
              <w:ind w:firstLineChars="0" w:firstLine="0"/>
              <w:jc w:val="center"/>
              <w:rPr>
                <w:sz w:val="21"/>
                <w:szCs w:val="21"/>
              </w:rPr>
            </w:pPr>
            <w:r>
              <w:rPr>
                <w:sz w:val="21"/>
                <w:szCs w:val="21"/>
              </w:rPr>
              <w:t>enhanced-efficiency fertilizer</w:t>
            </w:r>
          </w:p>
        </w:tc>
        <w:tc>
          <w:tcPr>
            <w:tcW w:w="0" w:type="auto"/>
            <w:vAlign w:val="center"/>
          </w:tcPr>
          <w:p w14:paraId="44C4B96F" w14:textId="77777777" w:rsidR="00606DE5" w:rsidRDefault="00000000">
            <w:pPr>
              <w:pStyle w:val="ac"/>
              <w:ind w:firstLine="420"/>
              <w:jc w:val="center"/>
              <w:rPr>
                <w:sz w:val="21"/>
                <w:szCs w:val="21"/>
              </w:rPr>
            </w:pPr>
            <w:r>
              <w:rPr>
                <w:sz w:val="21"/>
                <w:szCs w:val="21"/>
              </w:rPr>
              <w:t>通过缓释、控释或抑制氮素转化过程提高氮肥利用效率的肥料。</w:t>
            </w:r>
          </w:p>
        </w:tc>
      </w:tr>
      <w:tr w:rsidR="00606DE5" w14:paraId="0E6A0996" w14:textId="77777777">
        <w:trPr>
          <w:tblCellSpacing w:w="15" w:type="dxa"/>
          <w:jc w:val="center"/>
        </w:trPr>
        <w:tc>
          <w:tcPr>
            <w:tcW w:w="0" w:type="auto"/>
            <w:tcBorders>
              <w:bottom w:val="single" w:sz="12" w:space="0" w:color="auto"/>
            </w:tcBorders>
            <w:vAlign w:val="center"/>
          </w:tcPr>
          <w:p w14:paraId="199FAE63" w14:textId="77777777" w:rsidR="00606DE5" w:rsidRDefault="00000000">
            <w:pPr>
              <w:pStyle w:val="ac"/>
              <w:ind w:firstLineChars="0" w:firstLine="0"/>
              <w:jc w:val="center"/>
              <w:rPr>
                <w:sz w:val="21"/>
                <w:szCs w:val="21"/>
              </w:rPr>
            </w:pPr>
            <w:r>
              <w:rPr>
                <w:sz w:val="21"/>
                <w:szCs w:val="21"/>
              </w:rPr>
              <w:t>农学最优施氮量</w:t>
            </w:r>
          </w:p>
        </w:tc>
        <w:tc>
          <w:tcPr>
            <w:tcW w:w="0" w:type="auto"/>
            <w:tcBorders>
              <w:bottom w:val="single" w:sz="12" w:space="0" w:color="auto"/>
            </w:tcBorders>
            <w:vAlign w:val="center"/>
          </w:tcPr>
          <w:p w14:paraId="1DF1C390" w14:textId="77777777" w:rsidR="00606DE5" w:rsidRDefault="00000000">
            <w:pPr>
              <w:pStyle w:val="ac"/>
              <w:ind w:firstLineChars="0" w:firstLine="0"/>
              <w:jc w:val="center"/>
              <w:rPr>
                <w:sz w:val="21"/>
                <w:szCs w:val="21"/>
              </w:rPr>
            </w:pPr>
            <w:r>
              <w:rPr>
                <w:sz w:val="21"/>
                <w:szCs w:val="21"/>
              </w:rPr>
              <w:t>agronomic optimal nitrogen rate</w:t>
            </w:r>
          </w:p>
        </w:tc>
        <w:tc>
          <w:tcPr>
            <w:tcW w:w="0" w:type="auto"/>
            <w:tcBorders>
              <w:bottom w:val="single" w:sz="12" w:space="0" w:color="auto"/>
            </w:tcBorders>
            <w:vAlign w:val="center"/>
          </w:tcPr>
          <w:p w14:paraId="5EE83C9C" w14:textId="77777777" w:rsidR="00606DE5" w:rsidRDefault="00000000">
            <w:pPr>
              <w:pStyle w:val="ac"/>
              <w:ind w:firstLine="420"/>
              <w:jc w:val="center"/>
              <w:rPr>
                <w:sz w:val="21"/>
                <w:szCs w:val="21"/>
              </w:rPr>
            </w:pPr>
            <w:r>
              <w:rPr>
                <w:sz w:val="21"/>
                <w:szCs w:val="21"/>
              </w:rPr>
              <w:t>基于产量</w:t>
            </w:r>
            <w:r>
              <w:rPr>
                <w:sz w:val="21"/>
                <w:szCs w:val="21"/>
              </w:rPr>
              <w:t>—</w:t>
            </w:r>
            <w:r>
              <w:rPr>
                <w:sz w:val="21"/>
                <w:szCs w:val="21"/>
              </w:rPr>
              <w:t>施氮量响应模型计算得到的理论最优施氮量。</w:t>
            </w:r>
          </w:p>
        </w:tc>
      </w:tr>
    </w:tbl>
    <w:p w14:paraId="14FE7BF6" w14:textId="77777777" w:rsidR="00606DE5" w:rsidRDefault="00606DE5">
      <w:pPr>
        <w:pStyle w:val="ac"/>
        <w:ind w:firstLineChars="0" w:firstLine="0"/>
      </w:pPr>
    </w:p>
    <w:p w14:paraId="01E65640" w14:textId="77777777" w:rsidR="00606DE5" w:rsidRDefault="00000000">
      <w:pPr>
        <w:rPr>
          <w:rFonts w:ascii="Times New Roman" w:hAnsi="Times New Roman" w:cstheme="minorBidi"/>
          <w:kern w:val="2"/>
          <w14:ligatures w14:val="standardContextual"/>
        </w:rPr>
      </w:pPr>
      <w:r>
        <w:br w:type="page"/>
      </w:r>
    </w:p>
    <w:p w14:paraId="7C878C78" w14:textId="4E66ABA4" w:rsidR="00606DE5" w:rsidRDefault="00695E08" w:rsidP="003E5E4A">
      <w:pPr>
        <w:pStyle w:val="af5"/>
        <w:spacing w:before="480" w:after="240"/>
      </w:pPr>
      <w:bookmarkStart w:id="8" w:name="_Toc229245516"/>
      <w:r>
        <w:rPr>
          <w:rFonts w:hint="eastAsia"/>
        </w:rPr>
        <w:lastRenderedPageBreak/>
        <w:t>第一章</w:t>
      </w:r>
      <w:r w:rsidR="00000000">
        <w:t xml:space="preserve"> </w:t>
      </w:r>
      <w:r w:rsidR="00000000">
        <w:t>绪论</w:t>
      </w:r>
      <w:bookmarkEnd w:id="0"/>
      <w:bookmarkEnd w:id="8"/>
    </w:p>
    <w:p w14:paraId="7724D2C6" w14:textId="77777777" w:rsidR="00606DE5" w:rsidRDefault="00000000" w:rsidP="003E5E4A">
      <w:pPr>
        <w:pStyle w:val="ad"/>
        <w:spacing w:before="240" w:after="120"/>
      </w:pPr>
      <w:bookmarkStart w:id="9" w:name="_Toc229090853"/>
      <w:bookmarkStart w:id="10" w:name="_Toc229245517"/>
      <w:r>
        <w:t>1.1 N₂O</w:t>
      </w:r>
      <w:r>
        <w:t>的环境效应与全球排放现状</w:t>
      </w:r>
      <w:bookmarkEnd w:id="9"/>
      <w:bookmarkEnd w:id="10"/>
    </w:p>
    <w:p w14:paraId="5AB6FE5F" w14:textId="77777777" w:rsidR="00606DE5" w:rsidRDefault="00000000">
      <w:pPr>
        <w:pStyle w:val="ac"/>
        <w:ind w:firstLine="480"/>
      </w:pPr>
      <w:r>
        <w:t>氧化亚氮（</w:t>
      </w:r>
      <w:r>
        <w:t>N₂O</w:t>
      </w:r>
      <w:r>
        <w:t>）是大气中浓度最低但环境效应最为复杂的温室气体之一。在辐射强迫方面，</w:t>
      </w:r>
      <w:r>
        <w:t>N₂O</w:t>
      </w:r>
      <w:r>
        <w:t>的百年尺度全球增温潜势（</w:t>
      </w:r>
      <w:r>
        <w:t>Global Warming Potential</w:t>
      </w:r>
      <w:r>
        <w:t>，</w:t>
      </w:r>
      <w:r>
        <w:t>GWP</w:t>
      </w:r>
      <w:r>
        <w:t>）高达二氧化碳的</w:t>
      </w:r>
      <w:r>
        <w:t>265</w:t>
      </w:r>
      <w:r>
        <w:t>至</w:t>
      </w:r>
      <w:r>
        <w:t>298</w:t>
      </w:r>
      <w:r>
        <w:t>倍，远超同等摩尔数的</w:t>
      </w:r>
      <w:r>
        <w:t>CH₄</w:t>
      </w:r>
      <w:r>
        <w:t>（</w:t>
      </w:r>
      <w:r>
        <w:t>US EPA, 2025</w:t>
      </w:r>
      <w:r>
        <w:t>）。与此同时，</w:t>
      </w:r>
      <w:r>
        <w:t>N₂O</w:t>
      </w:r>
      <w:r>
        <w:t>还是当前平流层臭氧耗损的主导物质（</w:t>
      </w:r>
      <w:proofErr w:type="spellStart"/>
      <w:r>
        <w:t>Ravishankara</w:t>
      </w:r>
      <w:proofErr w:type="spellEnd"/>
      <w:r>
        <w:t xml:space="preserve"> et al., 2009</w:t>
      </w:r>
      <w:r>
        <w:t>），其光化学分解产生的</w:t>
      </w:r>
      <w:r>
        <w:t>NO</w:t>
      </w:r>
      <w:r>
        <w:t>和</w:t>
      </w:r>
      <w:r>
        <w:t>NO₂</w:t>
      </w:r>
      <w:r>
        <w:t>能够催化性地破坏臭氧层，造成生物圈对紫外辐射防护能力的持续下降。因此，</w:t>
      </w:r>
      <w:r>
        <w:t>N₂O</w:t>
      </w:r>
      <w:r>
        <w:t>兼具气候变化驱动因子与臭氧层破坏物的双重角色，其减排工作的紧迫性远超单纯的温室气体控制范畴。</w:t>
      </w:r>
    </w:p>
    <w:p w14:paraId="394979E0" w14:textId="77777777" w:rsidR="00606DE5" w:rsidRDefault="00000000">
      <w:pPr>
        <w:pStyle w:val="ac"/>
        <w:ind w:firstLine="480"/>
      </w:pPr>
      <w:r>
        <w:t>自工业革命以来，全球大气</w:t>
      </w:r>
      <w:r>
        <w:t>N₂O</w:t>
      </w:r>
      <w:r>
        <w:t>丰度持续攀升。当前对流层</w:t>
      </w:r>
      <w:r>
        <w:t>N₂O</w:t>
      </w:r>
      <w:r>
        <w:t>浓度较工业化前水平已上升约</w:t>
      </w:r>
      <w:r>
        <w:t>23%</w:t>
      </w:r>
      <w:r>
        <w:t>，且仍以每年约</w:t>
      </w:r>
      <w:r>
        <w:t>0.2%</w:t>
      </w:r>
      <w:r>
        <w:t>至</w:t>
      </w:r>
      <w:r>
        <w:t>0.3%</w:t>
      </w:r>
      <w:r>
        <w:t>的速率持续增长（</w:t>
      </w:r>
      <w:r>
        <w:t>Davidson, 2009; Lu et al., 2022</w:t>
      </w:r>
      <w:r>
        <w:t>）。值得注意的是，与</w:t>
      </w:r>
      <w:r>
        <w:t>CO₂</w:t>
      </w:r>
      <w:r>
        <w:t>浓度增长的主要驱动力（化石燃料燃烧）有所不同，</w:t>
      </w:r>
      <w:r>
        <w:t>N₂O</w:t>
      </w:r>
      <w:r>
        <w:t>浓度的持续上升在很大程度上归因于农业生产活动的扩张。农业生态系统目前已被确认为人为</w:t>
      </w:r>
      <w:r>
        <w:t>N₂O</w:t>
      </w:r>
      <w:r>
        <w:t>排放最主要的单一来源，其贡献比例占全球人为排放总量的</w:t>
      </w:r>
      <w:r>
        <w:t>60%</w:t>
      </w:r>
      <w:r>
        <w:t>以上（</w:t>
      </w:r>
      <w:r>
        <w:t>Global Carbon Project, 2024</w:t>
      </w:r>
      <w:r>
        <w:t>）。这一格局的形成与现代农业对合成氮肥的高度依赖密切相关，氮肥投入量的急剧增加打破了土壤原有的氮素收支平衡，导致活性氮以</w:t>
      </w:r>
      <w:r>
        <w:t>N₂O</w:t>
      </w:r>
      <w:r>
        <w:t>形式的气态损失大幅增加（</w:t>
      </w:r>
      <w:r>
        <w:t>Davidson, 2009</w:t>
      </w:r>
      <w:r>
        <w:t>）。据估算，每年由化学氮肥和有机氮肥施入农田的氮素中，约有</w:t>
      </w:r>
      <w:r>
        <w:t>0.5%</w:t>
      </w:r>
      <w:r>
        <w:t>至</w:t>
      </w:r>
      <w:r>
        <w:t>2%</w:t>
      </w:r>
      <w:r>
        <w:t>以</w:t>
      </w:r>
      <w:r>
        <w:t>N₂O</w:t>
      </w:r>
      <w:r>
        <w:t>的形式排放至大气，这一比例虽看似微小，但鉴于全球年施氮量已超过</w:t>
      </w:r>
      <w:r>
        <w:t>1</w:t>
      </w:r>
      <w:r>
        <w:t>亿吨，其绝对排放量依然十分可观。</w:t>
      </w:r>
    </w:p>
    <w:p w14:paraId="52D54769" w14:textId="77777777" w:rsidR="00606DE5" w:rsidRDefault="00000000">
      <w:pPr>
        <w:pStyle w:val="ac"/>
        <w:ind w:firstLine="480"/>
      </w:pPr>
      <w:r>
        <w:t>面对全球气候变化加剧的宏观背景，如何在保障粮食安全的前提下有效削减农业土壤</w:t>
      </w:r>
      <w:r>
        <w:t>N₂O</w:t>
      </w:r>
      <w:r>
        <w:t>排放，已成为农业生态学与全球变化科学领域的核心挑战之一（</w:t>
      </w:r>
      <w:r>
        <w:t>Cui et al., 2021; Linquist et al., 2012</w:t>
      </w:r>
      <w:r>
        <w:t>）。这一挑战的症结在于，作物产量与</w:t>
      </w:r>
      <w:r>
        <w:t>N₂O</w:t>
      </w:r>
      <w:r>
        <w:t>排放之间存在内在的耦合关系：提高作物产量往往依赖于增加氮肥投入，而后者恰恰是驱动</w:t>
      </w:r>
      <w:r>
        <w:t>N₂O</w:t>
      </w:r>
      <w:r>
        <w:t>排放的近端因子。因此，打破</w:t>
      </w:r>
      <w:r>
        <w:t>"</w:t>
      </w:r>
      <w:r>
        <w:t>增产</w:t>
      </w:r>
      <w:r>
        <w:t>-</w:t>
      </w:r>
      <w:r>
        <w:t>增排</w:t>
      </w:r>
      <w:r>
        <w:t>"</w:t>
      </w:r>
      <w:r>
        <w:t>的锁定关系、寻找</w:t>
      </w:r>
      <w:r>
        <w:t>"</w:t>
      </w:r>
      <w:r>
        <w:t>增产</w:t>
      </w:r>
      <w:r>
        <w:t>-</w:t>
      </w:r>
      <w:r>
        <w:t>减排</w:t>
      </w:r>
      <w:r>
        <w:t>"</w:t>
      </w:r>
      <w:r>
        <w:t>的协同管理路径，是当前农业温室气体管理的核心科学问题。</w:t>
      </w:r>
    </w:p>
    <w:p w14:paraId="5B217A75" w14:textId="77777777" w:rsidR="00606DE5" w:rsidRPr="007C0CF3" w:rsidRDefault="00000000" w:rsidP="007C0CF3">
      <w:pPr>
        <w:pStyle w:val="ad"/>
        <w:spacing w:before="240" w:after="120"/>
      </w:pPr>
      <w:bookmarkStart w:id="11" w:name="_Toc229090854"/>
      <w:bookmarkStart w:id="12" w:name="OLE_LINK12"/>
      <w:bookmarkStart w:id="13" w:name="_Toc229245518"/>
      <w:r w:rsidRPr="007C0CF3">
        <w:t xml:space="preserve">1.2 </w:t>
      </w:r>
      <w:r w:rsidRPr="007C0CF3">
        <w:t>农业土壤</w:t>
      </w:r>
      <w:r w:rsidRPr="007C0CF3">
        <w:t>N₂O</w:t>
      </w:r>
      <w:r w:rsidRPr="007C0CF3">
        <w:t>的产生机制与影响因素</w:t>
      </w:r>
      <w:bookmarkEnd w:id="11"/>
      <w:bookmarkEnd w:id="13"/>
    </w:p>
    <w:bookmarkEnd w:id="12"/>
    <w:p w14:paraId="2E63C940" w14:textId="77777777" w:rsidR="00606DE5" w:rsidRDefault="00000000">
      <w:pPr>
        <w:pStyle w:val="ac"/>
        <w:ind w:firstLine="480"/>
      </w:pPr>
      <w:r>
        <w:t>土壤</w:t>
      </w:r>
      <w:r>
        <w:t>N₂O</w:t>
      </w:r>
      <w:r>
        <w:t>的生物产生过程极为复杂，涉及多条微生物驱动的生物地球化学反应途径。目前科学界公认的主要途径包括有氧条件下的自养硝化（</w:t>
      </w:r>
      <w:r>
        <w:t>autotrophic nitrification</w:t>
      </w:r>
      <w:r>
        <w:t>）、缺氧条件下的异养反硝化（</w:t>
      </w:r>
      <w:r>
        <w:t>heterotrophic denitrification</w:t>
      </w:r>
      <w:r>
        <w:t>）以及近年来逐渐受到重视的硝化细菌反硝化（</w:t>
      </w:r>
      <w:r>
        <w:t>nitrifier denitrification</w:t>
      </w:r>
      <w:r>
        <w:t>）和硝酸盐异化还原为铵（</w:t>
      </w:r>
      <w:r>
        <w:t>DNRA</w:t>
      </w:r>
      <w:r>
        <w:t>）等（</w:t>
      </w:r>
      <w:proofErr w:type="spellStart"/>
      <w:r>
        <w:t>Butterbach</w:t>
      </w:r>
      <w:proofErr w:type="spellEnd"/>
      <w:r>
        <w:t>-Bahl et al., 2013</w:t>
      </w:r>
      <w:r>
        <w:t>）。</w:t>
      </w:r>
    </w:p>
    <w:p w14:paraId="452C618F" w14:textId="77777777" w:rsidR="00606DE5" w:rsidRDefault="00000000">
      <w:pPr>
        <w:pStyle w:val="ac"/>
        <w:ind w:firstLine="480"/>
      </w:pPr>
      <w:r>
        <w:lastRenderedPageBreak/>
        <w:t>硝化过程由化能自养微生物（主要包括氨氧化细菌</w:t>
      </w:r>
      <w:r>
        <w:t>AOB</w:t>
      </w:r>
      <w:r>
        <w:t>和氨氧化古菌</w:t>
      </w:r>
      <w:r>
        <w:t>AOA</w:t>
      </w:r>
      <w:r>
        <w:t>）催化，将土壤中的</w:t>
      </w:r>
      <w:r>
        <w:t>NH₄⁺</w:t>
      </w:r>
      <w:r>
        <w:t>依次氧化为</w:t>
      </w:r>
      <w:r>
        <w:t>NH₂OH</w:t>
      </w:r>
      <w:r>
        <w:t>、</w:t>
      </w:r>
      <w:r>
        <w:t>NO₂⁻</w:t>
      </w:r>
      <w:r>
        <w:t>和</w:t>
      </w:r>
      <w:r>
        <w:t>NO₃⁻</w:t>
      </w:r>
      <w:r>
        <w:t>，</w:t>
      </w:r>
      <w:r>
        <w:t>N₂O</w:t>
      </w:r>
      <w:r>
        <w:t>作为中间产物或副产物在此过程中逸出。该过程在有氧、土壤含水量适中的条件下最为活跃，且受土壤铵态氮浓度和温度的强烈正向调控。反硝化过程则由兼性厌氧微生物在缺氧条件下将</w:t>
      </w:r>
      <w:r>
        <w:t>NO₃⁻</w:t>
      </w:r>
      <w:r>
        <w:t>或</w:t>
      </w:r>
      <w:r>
        <w:t>NO₂⁻</w:t>
      </w:r>
      <w:r>
        <w:t>还原为</w:t>
      </w:r>
      <w:r>
        <w:t>N₂</w:t>
      </w:r>
      <w:r>
        <w:t>的过程中产生</w:t>
      </w:r>
      <w:r>
        <w:t>N₂O</w:t>
      </w:r>
      <w:r>
        <w:t>，其活性主要受土壤水分饱和度（即充水孔隙度，</w:t>
      </w:r>
      <w:r>
        <w:t>WFPS</w:t>
      </w:r>
      <w:r>
        <w:t>）、可利用性有机碳、</w:t>
      </w:r>
      <w:r>
        <w:t>NO₃⁻</w:t>
      </w:r>
      <w:r>
        <w:t>浓度和温度的综合控制（</w:t>
      </w:r>
      <w:proofErr w:type="spellStart"/>
      <w:r>
        <w:t>Butterbach</w:t>
      </w:r>
      <w:proofErr w:type="spellEnd"/>
      <w:r>
        <w:t>-Bahl et al., 2013</w:t>
      </w:r>
      <w:r>
        <w:t>）。一般而言，当土壤</w:t>
      </w:r>
      <w:r>
        <w:t>WFPS</w:t>
      </w:r>
      <w:r>
        <w:t>超过</w:t>
      </w:r>
      <w:r>
        <w:t>60%</w:t>
      </w:r>
      <w:r>
        <w:t>时，反硝化过程开始占主导，</w:t>
      </w:r>
      <w:r>
        <w:t>N₂O</w:t>
      </w:r>
      <w:r>
        <w:t>排放通量随之急剧上升；而在</w:t>
      </w:r>
      <w:r>
        <w:t>WFPS</w:t>
      </w:r>
      <w:r>
        <w:t>介于</w:t>
      </w:r>
      <w:r>
        <w:t>30%</w:t>
      </w:r>
      <w:r>
        <w:t>至</w:t>
      </w:r>
      <w:r>
        <w:t>60%</w:t>
      </w:r>
      <w:r>
        <w:t>之间时，硝化与反硝化过程并行，</w:t>
      </w:r>
      <w:r>
        <w:t>N₂O</w:t>
      </w:r>
      <w:r>
        <w:t>释放速率相对平缓。</w:t>
      </w:r>
    </w:p>
    <w:p w14:paraId="52A78576" w14:textId="77777777" w:rsidR="00606DE5" w:rsidRDefault="00000000">
      <w:pPr>
        <w:pStyle w:val="ac"/>
        <w:ind w:firstLine="480"/>
      </w:pPr>
      <w:r>
        <w:t>从调控因子的层级来看，</w:t>
      </w:r>
      <w:proofErr w:type="spellStart"/>
      <w:r>
        <w:t>Butterbach</w:t>
      </w:r>
      <w:proofErr w:type="spellEnd"/>
      <w:r>
        <w:t>-Bahl et al.</w:t>
      </w:r>
      <w:r>
        <w:t>（</w:t>
      </w:r>
      <w:r>
        <w:t>2013</w:t>
      </w:r>
      <w:r>
        <w:t>）提出了</w:t>
      </w:r>
      <w:r>
        <w:t>"</w:t>
      </w:r>
      <w:r>
        <w:t>近端因子</w:t>
      </w:r>
      <w:r>
        <w:t>"</w:t>
      </w:r>
      <w:r>
        <w:t>与</w:t>
      </w:r>
      <w:r>
        <w:t>"</w:t>
      </w:r>
      <w:r>
        <w:t>远端因子</w:t>
      </w:r>
      <w:r>
        <w:t>"</w:t>
      </w:r>
      <w:r>
        <w:t>的分析框架，为理解</w:t>
      </w:r>
      <w:r>
        <w:t>N₂O</w:t>
      </w:r>
      <w:r>
        <w:t>排放的多尺度调控机制提供了重要视角。近端因子（</w:t>
      </w:r>
      <w:r>
        <w:t>proximal factors</w:t>
      </w:r>
      <w:r>
        <w:t>）是直接作用于微生物代谢过程的环境变量，主要包括：土壤无机氮底物浓度（</w:t>
      </w:r>
      <w:r>
        <w:t>NH₄⁺</w:t>
      </w:r>
      <w:r>
        <w:t>和</w:t>
      </w:r>
      <w:r>
        <w:t>NO₃⁻</w:t>
      </w:r>
      <w:r>
        <w:t>）、土壤水分状态（以</w:t>
      </w:r>
      <w:r>
        <w:t>WFPS</w:t>
      </w:r>
      <w:r>
        <w:t>表征）、可溶性有机碳含量（反映反硝化底物可利用性）及土壤温度（通过影响微生物酶促反应速率发挥作用）。远端因子（</w:t>
      </w:r>
      <w:r>
        <w:t>distal factors</w:t>
      </w:r>
      <w:r>
        <w:t>）则通过改变近端因子的状态间接调控</w:t>
      </w:r>
      <w:r>
        <w:t>N₂O</w:t>
      </w:r>
      <w:r>
        <w:t>排放，涵盖气候类型（降水格局和温度制度）、土壤质地（影响持水能力和通气性）、土壤</w:t>
      </w:r>
      <w:r>
        <w:t>pH</w:t>
      </w:r>
      <w:r>
        <w:t>（调控微生物群落组成与活性）以及各类农业管理措施（通过施肥、耕作、灌溉等改变土壤水分和氮素有效性）。由于上述因子在时间与空间尺度上的高度变异性，田间</w:t>
      </w:r>
      <w:r>
        <w:t>N₂O</w:t>
      </w:r>
      <w:r>
        <w:t>通量往往表现出极强的时空异质性，单次或短期观测数据难以代表季节乃至年际尺度的累积排放量，这为排放量的精确估算带来了相当大的不确定性（</w:t>
      </w:r>
      <w:r>
        <w:t>Gu et al., 2017, 2013</w:t>
      </w:r>
      <w:r>
        <w:t>）。</w:t>
      </w:r>
    </w:p>
    <w:p w14:paraId="7FB7E9E3" w14:textId="77777777" w:rsidR="00606DE5" w:rsidRDefault="00000000">
      <w:pPr>
        <w:pStyle w:val="ac"/>
        <w:ind w:firstLine="480"/>
      </w:pPr>
      <w:r>
        <w:t>除累积排放量外，直接排放因子（</w:t>
      </w:r>
      <w:r>
        <w:t>emission factor</w:t>
      </w:r>
      <w:r>
        <w:t>，</w:t>
      </w:r>
      <w:r>
        <w:t>EF</w:t>
      </w:r>
      <w:r>
        <w:t>）和产量尺度排放（</w:t>
      </w:r>
      <w:r>
        <w:t>yield-scaled emission</w:t>
      </w:r>
      <w:r>
        <w:t>）是评估农业生态系统</w:t>
      </w:r>
      <w:r>
        <w:t>N₂O</w:t>
      </w:r>
      <w:r>
        <w:t>排放强度及减排潜力的两个关键指标（</w:t>
      </w:r>
      <w:r>
        <w:t>Cui et al., 2021; Linquist et al., 2012</w:t>
      </w:r>
      <w:r>
        <w:t>）。</w:t>
      </w:r>
      <w:r>
        <w:t>IPCC</w:t>
      </w:r>
      <w:r>
        <w:t>采用的默认</w:t>
      </w:r>
      <w:r>
        <w:t>EF</w:t>
      </w:r>
      <w:r>
        <w:t>值为</w:t>
      </w:r>
      <w:r>
        <w:t>1%</w:t>
      </w:r>
      <w:r>
        <w:t>，即单位施氮量中约</w:t>
      </w:r>
      <w:r>
        <w:t>1%</w:t>
      </w:r>
      <w:r>
        <w:t>以</w:t>
      </w:r>
      <w:r>
        <w:t>N₂O-N</w:t>
      </w:r>
      <w:r>
        <w:t>形式排放，但大量实测数据表明该值在不同生态区和管理制度下存在数倍乃至数十倍的变异，其区域特异性</w:t>
      </w:r>
      <w:r>
        <w:t>EF</w:t>
      </w:r>
      <w:r>
        <w:t>的准确厘定具有重要的温室气体清单编制意义（</w:t>
      </w:r>
      <w:r>
        <w:t>Cui et al., 2021</w:t>
      </w:r>
      <w:r>
        <w:t>）。产量尺度排放则从生产效率的角度审视</w:t>
      </w:r>
      <w:r>
        <w:t>N₂O</w:t>
      </w:r>
      <w:r>
        <w:t>排放，将单位作物产量的</w:t>
      </w:r>
      <w:r>
        <w:t>N₂O</w:t>
      </w:r>
      <w:r>
        <w:t>损失量作为衡量</w:t>
      </w:r>
      <w:r>
        <w:t>"</w:t>
      </w:r>
      <w:r>
        <w:t>氮素损失效率</w:t>
      </w:r>
      <w:r>
        <w:t>"</w:t>
      </w:r>
      <w:r>
        <w:t>的综合指标，更直接地反映了特定农业系统实现</w:t>
      </w:r>
      <w:r>
        <w:t>"</w:t>
      </w:r>
      <w:r>
        <w:t>粮食安全</w:t>
      </w:r>
      <w:r>
        <w:t>"</w:t>
      </w:r>
      <w:r>
        <w:t>与</w:t>
      </w:r>
      <w:r>
        <w:t>"</w:t>
      </w:r>
      <w:r>
        <w:t>气候安全</w:t>
      </w:r>
      <w:r>
        <w:t>"</w:t>
      </w:r>
      <w:r>
        <w:t>双重目标之间的权衡关系。</w:t>
      </w:r>
    </w:p>
    <w:p w14:paraId="4D94AA7E" w14:textId="77777777" w:rsidR="00606DE5" w:rsidRDefault="00000000" w:rsidP="007C0CF3">
      <w:pPr>
        <w:pStyle w:val="ad"/>
        <w:spacing w:before="240" w:after="120"/>
      </w:pPr>
      <w:bookmarkStart w:id="14" w:name="_Toc229090855"/>
      <w:bookmarkStart w:id="15" w:name="_Toc229245519"/>
      <w:r>
        <w:t xml:space="preserve">1.3 </w:t>
      </w:r>
      <w:r>
        <w:t>黄土高原旱作农业特征与土地利用变化</w:t>
      </w:r>
      <w:bookmarkEnd w:id="14"/>
      <w:bookmarkEnd w:id="15"/>
    </w:p>
    <w:p w14:paraId="5B5D755E" w14:textId="77777777" w:rsidR="00606DE5" w:rsidRDefault="00000000">
      <w:pPr>
        <w:pStyle w:val="ac"/>
        <w:ind w:firstLine="480"/>
      </w:pPr>
      <w:r>
        <w:t>黄土高原位于中国中北部，地跨陕西、甘肃、宁夏、山西和内蒙古等省区，总面积约</w:t>
      </w:r>
      <w:r>
        <w:t>64</w:t>
      </w:r>
      <w:r>
        <w:t>万平方千米，是世界上黄土覆盖最为深厚、面积最广的地区（</w:t>
      </w:r>
      <w:r>
        <w:t>Liu, 1999</w:t>
      </w:r>
      <w:r>
        <w:t>）。该区域土壤母质以风积黄土为主，形成了以黄绵土、塿土为代表的土壤类型，其共同特征为质地疏松、大孔隙发育、侵蚀敏感性强，但有机质含量普遍偏低，土壤结构稳定性差（</w:t>
      </w:r>
      <w:r>
        <w:t xml:space="preserve">Liu, </w:t>
      </w:r>
      <w:r>
        <w:lastRenderedPageBreak/>
        <w:t>1999</w:t>
      </w:r>
      <w:r>
        <w:t>）。在气候格局上，黄土高原属典型的半湿润至半干旱大陆性季风气候，年降水量约</w:t>
      </w:r>
      <w:r>
        <w:t>300</w:t>
      </w:r>
      <w:r>
        <w:t>至</w:t>
      </w:r>
      <w:r>
        <w:t>650</w:t>
      </w:r>
      <w:r>
        <w:t>毫米，且降水高度集中于夏季（</w:t>
      </w:r>
      <w:r>
        <w:t>6—9</w:t>
      </w:r>
      <w:r>
        <w:t>月），季节分配极不均匀；年均蒸发量远超降水量，干燥指数整体偏高，水资源短缺是制约区域农业可持续发展的首要瓶颈（</w:t>
      </w:r>
      <w:r>
        <w:t>An et al., 2014</w:t>
      </w:r>
      <w:r>
        <w:t>）。</w:t>
      </w:r>
    </w:p>
    <w:p w14:paraId="2B6C8FEF" w14:textId="77777777" w:rsidR="00606DE5" w:rsidRDefault="00000000">
      <w:pPr>
        <w:pStyle w:val="ac"/>
        <w:ind w:firstLine="480"/>
      </w:pPr>
      <w:r>
        <w:t>历史上，黄土高原是中国北方重要的旱作粮食产区，以春玉米、冬小麦和春小麦为主要粮食作物，形成了一套因地制宜的旱作农业技术体系，包括地膜覆盖保墒、集雨补灌、有机无机肥配施等（</w:t>
      </w:r>
      <w:r>
        <w:t>An et al., 2014</w:t>
      </w:r>
      <w:r>
        <w:t>）。然而，长期高强度的坡地农耕加速了水土流失进程，土壤退化和耕地生产力下降的矛盾日趋突出（</w:t>
      </w:r>
      <w:r>
        <w:t>Liu, 1999</w:t>
      </w:r>
      <w:r>
        <w:t>）。严峻的生态压力推动了政策层面的重大调整</w:t>
      </w:r>
      <w:r>
        <w:t>——1999</w:t>
      </w:r>
      <w:r>
        <w:t>年国家启动</w:t>
      </w:r>
      <w:r>
        <w:t>"</w:t>
      </w:r>
      <w:r>
        <w:t>退耕还林（草）</w:t>
      </w:r>
      <w:r>
        <w:t>"</w:t>
      </w:r>
      <w:r>
        <w:t>工程（又称</w:t>
      </w:r>
      <w:r>
        <w:t>"Grain for Green"</w:t>
      </w:r>
      <w:r>
        <w:t>），要求将坡度超过</w:t>
      </w:r>
      <w:r>
        <w:t>25°</w:t>
      </w:r>
      <w:r>
        <w:t>的陡坡耕地有计划地退出粮食生产，恢复植被覆盖。</w:t>
      </w:r>
    </w:p>
    <w:p w14:paraId="7EDA962B" w14:textId="77777777" w:rsidR="00606DE5" w:rsidRDefault="00000000">
      <w:pPr>
        <w:pStyle w:val="ac"/>
        <w:ind w:firstLine="480"/>
      </w:pPr>
      <w:r>
        <w:t>与此同时，在市场经济利益驱动与政策激励的双重作用下，黄土高原的土地利用方式发生了深刻的结构性变革。大量原本种植粮食作物的平原和缓坡农田被转换为苹果等经济果园，黄土高原随之发展成为全球最重要的苹果优生区之一，截至</w:t>
      </w:r>
      <w:r>
        <w:t>2010</w:t>
      </w:r>
      <w:r>
        <w:t>年代初期，苹果种植面积和产量均居全球首位（</w:t>
      </w:r>
      <w:proofErr w:type="spellStart"/>
      <w:r>
        <w:t>Lv</w:t>
      </w:r>
      <w:proofErr w:type="spellEnd"/>
      <w:r>
        <w:t xml:space="preserve"> et al., 2014</w:t>
      </w:r>
      <w:r>
        <w:t>）。这一大规模</w:t>
      </w:r>
      <w:r>
        <w:t>"</w:t>
      </w:r>
      <w:r>
        <w:t>粮改果</w:t>
      </w:r>
      <w:r>
        <w:t>"</w:t>
      </w:r>
      <w:r>
        <w:t>的土地利用转变，不仅深刻改变了区域土地覆被格局，还引发了生态系统氮素循环方式的根本性转变。果园生态系统为维持高产和优质果品，氮肥投入量通常显著高于粮食作物，且采用集约化的灌溉施肥管理，土壤氮素盈余量大（</w:t>
      </w:r>
      <w:r>
        <w:t>Gu et al., 2019</w:t>
      </w:r>
      <w:r>
        <w:t>）。研究表明，果园生态系统可能是</w:t>
      </w:r>
      <w:r>
        <w:t>N₂O</w:t>
      </w:r>
      <w:r>
        <w:t>排放的</w:t>
      </w:r>
      <w:r>
        <w:t>"</w:t>
      </w:r>
      <w:r>
        <w:t>热点源</w:t>
      </w:r>
      <w:r>
        <w:t>"</w:t>
      </w:r>
      <w:r>
        <w:t>，其单位面积排放量明显高于谷物农田（</w:t>
      </w:r>
      <w:r>
        <w:t>Gu et al., 2019</w:t>
      </w:r>
      <w:r>
        <w:t>）。然而，目前针对黄土高原果园与传统粮田</w:t>
      </w:r>
      <w:r>
        <w:t>N₂O</w:t>
      </w:r>
      <w:r>
        <w:t>排放强度的系统定量对比仍相当匮乏，大规模土地利用转变对区域</w:t>
      </w:r>
      <w:r>
        <w:t>N₂O</w:t>
      </w:r>
      <w:r>
        <w:t>排放格局的净影响尚缺乏实证支撑。</w:t>
      </w:r>
    </w:p>
    <w:p w14:paraId="22BFE15D" w14:textId="55CA1FBD" w:rsidR="00606DE5" w:rsidRDefault="00000000">
      <w:pPr>
        <w:pStyle w:val="ac"/>
        <w:ind w:firstLine="480"/>
      </w:pPr>
      <w:r>
        <w:t>值得关注的是，黄土高原独特的土壤</w:t>
      </w:r>
      <w:r>
        <w:t>-</w:t>
      </w:r>
      <w:r>
        <w:t>气候组合</w:t>
      </w:r>
      <w:r w:rsidR="000C54CA">
        <w:rPr>
          <w:rFonts w:hint="eastAsia"/>
        </w:rPr>
        <w:t>：</w:t>
      </w:r>
      <w:r>
        <w:t>高</w:t>
      </w:r>
      <w:r>
        <w:t>pH</w:t>
      </w:r>
      <w:r>
        <w:t>值（通常</w:t>
      </w:r>
      <w:r>
        <w:t xml:space="preserve"> &gt; 7.5</w:t>
      </w:r>
      <w:r>
        <w:t>）、深厚黄土剖面、降雨脉冲式分布</w:t>
      </w:r>
      <w:r w:rsidR="000C54CA">
        <w:rPr>
          <w:rFonts w:hint="eastAsia"/>
        </w:rPr>
        <w:t>，</w:t>
      </w:r>
      <w:r>
        <w:t>可能使该区域的</w:t>
      </w:r>
      <w:r>
        <w:t>N₂O</w:t>
      </w:r>
      <w:r>
        <w:t>排放过程及其对管理措施的响应模式与全球其他主要农区存在显著差异。例如，强碱性土壤条件可能抑制反硝化末端</w:t>
      </w:r>
      <w:r>
        <w:t>N₂O</w:t>
      </w:r>
      <w:r>
        <w:t>还原酶（</w:t>
      </w:r>
      <w:proofErr w:type="spellStart"/>
      <w:r>
        <w:t>nosZ</w:t>
      </w:r>
      <w:proofErr w:type="spellEnd"/>
      <w:r>
        <w:t>）的活性，改变</w:t>
      </w:r>
      <w:r>
        <w:t>N₂O/N₂</w:t>
      </w:r>
      <w:r>
        <w:t>的产物比；降水的脉冲式特征可能导致</w:t>
      </w:r>
      <w:r w:rsidR="00373D39">
        <w:rPr>
          <w:rFonts w:hint="eastAsia"/>
        </w:rPr>
        <w:t>“</w:t>
      </w:r>
      <w:r>
        <w:t>干湿交替</w:t>
      </w:r>
      <w:r w:rsidR="00373D39">
        <w:rPr>
          <w:rFonts w:hint="eastAsia"/>
        </w:rPr>
        <w:t>”</w:t>
      </w:r>
      <w:r>
        <w:t>激发效应，在降雨后短时间内产生极高的</w:t>
      </w:r>
      <w:r>
        <w:t>N₂O</w:t>
      </w:r>
      <w:r>
        <w:t>排放峰值。这些区域特异性的机制特征，使得将全球尺度研究结论直接套用于黄土高原的做法存在较大的不确定性，迫切需要开展区域针对性的综合分析。</w:t>
      </w:r>
    </w:p>
    <w:p w14:paraId="36357C49" w14:textId="77777777" w:rsidR="00606DE5" w:rsidRPr="007C0CF3" w:rsidRDefault="00000000" w:rsidP="007C0CF3">
      <w:pPr>
        <w:pStyle w:val="ad"/>
        <w:spacing w:before="240" w:after="120"/>
      </w:pPr>
      <w:bookmarkStart w:id="16" w:name="_Toc229090856"/>
      <w:bookmarkStart w:id="17" w:name="_Toc229245520"/>
      <w:r w:rsidRPr="007C0CF3">
        <w:t>1.4 Meta</w:t>
      </w:r>
      <w:r w:rsidRPr="007C0CF3">
        <w:t>分析方法在</w:t>
      </w:r>
      <w:r w:rsidRPr="007C0CF3">
        <w:t>N₂O</w:t>
      </w:r>
      <w:r w:rsidRPr="007C0CF3">
        <w:t>排放研究中的应用</w:t>
      </w:r>
      <w:bookmarkEnd w:id="16"/>
      <w:bookmarkEnd w:id="17"/>
    </w:p>
    <w:p w14:paraId="3CEDCBA5" w14:textId="77777777" w:rsidR="00606DE5" w:rsidRDefault="00000000">
      <w:pPr>
        <w:pStyle w:val="ac"/>
        <w:ind w:firstLine="480"/>
      </w:pPr>
      <w:r>
        <w:t>面对大量分散于各地、结果相互矛盾的田间观测研究，</w:t>
      </w:r>
      <w:r>
        <w:t>Meta</w:t>
      </w:r>
      <w:r>
        <w:t>分析（荟萃分析）作为一种对具有共同研究目标的多个独立研究进行系统整合和定量综合的统计学方法，已成为评估农业管理措施对</w:t>
      </w:r>
      <w:r>
        <w:rPr>
          <w:rFonts w:cs="Times New Roman"/>
        </w:rPr>
        <w:t>N</w:t>
      </w:r>
      <w:r>
        <w:rPr>
          <w:rFonts w:eastAsia="Cambria Math" w:cs="Times New Roman"/>
        </w:rPr>
        <w:t>₂</w:t>
      </w:r>
      <w:r>
        <w:rPr>
          <w:rFonts w:cs="Times New Roman"/>
        </w:rPr>
        <w:t>O</w:t>
      </w:r>
      <w:r>
        <w:t>排放综合效应的有力工具。</w:t>
      </w:r>
      <w:r>
        <w:t>Meta</w:t>
      </w:r>
      <w:r>
        <w:t>分析通过计算统一化的效应值（</w:t>
      </w:r>
      <w:r>
        <w:t>effect size</w:t>
      </w:r>
      <w:r>
        <w:t>），如对数响应比（</w:t>
      </w:r>
      <w:r>
        <w:t>log response ratio</w:t>
      </w:r>
      <w:r>
        <w:t>，</w:t>
      </w:r>
      <w:proofErr w:type="spellStart"/>
      <w:r>
        <w:t>lnRR</w:t>
      </w:r>
      <w:proofErr w:type="spellEnd"/>
      <w:r>
        <w:t>）或标准化均值差（</w:t>
      </w:r>
      <w:proofErr w:type="spellStart"/>
      <w:r>
        <w:t>Hedges’d</w:t>
      </w:r>
      <w:proofErr w:type="spellEnd"/>
      <w:r>
        <w:t>），并依据各研究的样本量和方差对其加权汇总，从而在最大化利用已有证</w:t>
      </w:r>
      <w:r>
        <w:lastRenderedPageBreak/>
        <w:t>据的基础上，给出统计效力更高、结论更为可靠的整合性估计（</w:t>
      </w:r>
      <w:r>
        <w:t>Rosenberg, 2024</w:t>
      </w:r>
      <w:r>
        <w:t>）。与传统叙述性综述相比，</w:t>
      </w:r>
      <w:r>
        <w:t>Meta</w:t>
      </w:r>
      <w:r>
        <w:t>分析的核心优势体现在三个层面：其一，通过量化综合克服了不同研究结果之间定性比较的主观性；其二，随机效应模型能够明确区分研究内的抽样误差与研究间的真实异质性，对后者的量化有助于识别影响效应值稳定性的潜在调节变量；其三，通过亚组分析和元回归，可以系统检验作物类型、土壤性质、气候条件等调节因子对综合效应的修饰作用，为区域适用性评价提供定量依据。</w:t>
      </w:r>
    </w:p>
    <w:p w14:paraId="09AA4B97" w14:textId="77777777" w:rsidR="00606DE5" w:rsidRDefault="00000000">
      <w:pPr>
        <w:pStyle w:val="ac"/>
        <w:ind w:firstLine="480"/>
      </w:pPr>
      <w:r>
        <w:t>近十余年来，关于农业</w:t>
      </w:r>
      <w:r>
        <w:t>N</w:t>
      </w:r>
      <w:r>
        <w:rPr>
          <w:rFonts w:ascii="Cambria Math" w:eastAsia="Cambria Math" w:hAnsi="Cambria Math" w:cs="Cambria Math"/>
        </w:rPr>
        <w:t>₂</w:t>
      </w:r>
      <w:r>
        <w:t>O</w:t>
      </w:r>
      <w:r>
        <w:t>排放的全球</w:t>
      </w:r>
      <w:r>
        <w:t>Meta</w:t>
      </w:r>
      <w:r>
        <w:t>分析成果丰硕，构成了理解农业温室气体排放规律的重要认知基础。</w:t>
      </w:r>
      <w:r>
        <w:t>Linquist et al.</w:t>
      </w:r>
      <w:r>
        <w:t>（</w:t>
      </w:r>
      <w:r>
        <w:t>2012</w:t>
      </w:r>
      <w:r>
        <w:t>）率先对全球主要谷物作物（水稻、小麦、玉米）的温室气体排放和产量尺度排放进行了系统综合评估，量化了不同作物体系的排放基准。</w:t>
      </w:r>
      <w:r>
        <w:t>Cui et al.</w:t>
      </w:r>
      <w:r>
        <w:t>（</w:t>
      </w:r>
      <w:r>
        <w:t>2021</w:t>
      </w:r>
      <w:r>
        <w:t>）进一步整合地理空间数据，绘制了精细化的全球作物特异性</w:t>
      </w:r>
      <w:r>
        <w:t>N</w:t>
      </w:r>
      <w:r>
        <w:rPr>
          <w:rFonts w:ascii="Cambria Math" w:eastAsia="Cambria Math" w:hAnsi="Cambria Math" w:cs="Cambria Math"/>
        </w:rPr>
        <w:t>₂</w:t>
      </w:r>
      <w:r>
        <w:t>O</w:t>
      </w:r>
      <w:r>
        <w:t>排放因子图谱，精准识别了</w:t>
      </w:r>
      <w:r>
        <w:t>N</w:t>
      </w:r>
      <w:r>
        <w:rPr>
          <w:rFonts w:ascii="Cambria Math" w:eastAsia="Cambria Math" w:hAnsi="Cambria Math" w:cs="Cambria Math"/>
        </w:rPr>
        <w:t>₂</w:t>
      </w:r>
      <w:r>
        <w:t>O</w:t>
      </w:r>
      <w:r>
        <w:t>减排的地理热点。</w:t>
      </w:r>
      <w:r>
        <w:t>Yao et al.</w:t>
      </w:r>
      <w:r>
        <w:t>（</w:t>
      </w:r>
      <w:r>
        <w:t>2024</w:t>
      </w:r>
      <w:r>
        <w:t>）则从产量尺度排放的视角，系统评估了主要谷物作物实现</w:t>
      </w:r>
      <w:r>
        <w:t>"</w:t>
      </w:r>
      <w:r>
        <w:t>增产减排</w:t>
      </w:r>
      <w:r>
        <w:t>"</w:t>
      </w:r>
      <w:r>
        <w:t>协同目标的管理策略。然而，上述全球尺度的综合分析在提升普适性的同时，不可避免地牺牲了区域特异性，难以为特定生态区的减排决策提供精准的量化依据（</w:t>
      </w:r>
      <w:r>
        <w:t>Xu et al., 2017</w:t>
      </w:r>
      <w:r>
        <w:t>）。</w:t>
      </w:r>
    </w:p>
    <w:p w14:paraId="6522A0BE" w14:textId="77777777" w:rsidR="00606DE5" w:rsidRDefault="00000000">
      <w:pPr>
        <w:pStyle w:val="ac"/>
        <w:ind w:firstLine="480"/>
      </w:pPr>
      <w:r>
        <w:t>随着</w:t>
      </w:r>
      <w:r>
        <w:t xml:space="preserve"> </w:t>
      </w:r>
      <w:proofErr w:type="spellStart"/>
      <w:r>
        <w:t>MetaWin</w:t>
      </w:r>
      <w:proofErr w:type="spellEnd"/>
      <w:r>
        <w:t xml:space="preserve"> 3.0 </w:t>
      </w:r>
      <w:r>
        <w:t>和</w:t>
      </w:r>
      <w:r>
        <w:t xml:space="preserve"> R </w:t>
      </w:r>
      <w:r>
        <w:t>语言相关统计包的发展，</w:t>
      </w:r>
      <w:r>
        <w:t xml:space="preserve">Meta </w:t>
      </w:r>
      <w:r>
        <w:t>分析的实施过程逐渐从单一软件操作转向更加透明和可复现的计算流程。</w:t>
      </w:r>
      <w:proofErr w:type="spellStart"/>
      <w:r>
        <w:t>MetaWin</w:t>
      </w:r>
      <w:proofErr w:type="spellEnd"/>
      <w:r>
        <w:t xml:space="preserve"> 3.0 </w:t>
      </w:r>
      <w:r>
        <w:t>可用于效应值计算、随机效应模型拟合、异质性检验和</w:t>
      </w:r>
      <w:r>
        <w:t xml:space="preserve"> Bootstrap </w:t>
      </w:r>
      <w:r>
        <w:t>置信区间估计（</w:t>
      </w:r>
      <w:r>
        <w:t>Rosenberg, 2024</w:t>
      </w:r>
      <w:r>
        <w:t>）；</w:t>
      </w:r>
      <w:r>
        <w:t xml:space="preserve">R </w:t>
      </w:r>
      <w:r>
        <w:t>语言则在数据整理、描述统计、回归分析、效应值预处理、结果核对和图形绘制方面具有更强的灵活性。本研究采用</w:t>
      </w:r>
      <w:r>
        <w:t xml:space="preserve"> </w:t>
      </w:r>
      <w:proofErr w:type="spellStart"/>
      <w:r>
        <w:t>MetaWin</w:t>
      </w:r>
      <w:proofErr w:type="spellEnd"/>
      <w:r>
        <w:t xml:space="preserve"> 3.0 </w:t>
      </w:r>
      <w:r>
        <w:t>与</w:t>
      </w:r>
      <w:r>
        <w:t>R</w:t>
      </w:r>
      <w:r>
        <w:t>语言（版本</w:t>
      </w:r>
      <w:r>
        <w:t xml:space="preserve"> 4.5.1</w:t>
      </w:r>
      <w:r>
        <w:t>）相结合的分析框架：其中描述统计、分布检验、回归分析和图形整理主要在</w:t>
      </w:r>
      <w:r>
        <w:t xml:space="preserve"> R </w:t>
      </w:r>
      <w:r>
        <w:t>中完成，管理措施效应的</w:t>
      </w:r>
      <w:r>
        <w:t xml:space="preserve"> Meta </w:t>
      </w:r>
      <w:r>
        <w:t>分析结果以</w:t>
      </w:r>
      <w:r>
        <w:t xml:space="preserve"> </w:t>
      </w:r>
      <w:proofErr w:type="spellStart"/>
      <w:r>
        <w:t>MetaWin</w:t>
      </w:r>
      <w:proofErr w:type="spellEnd"/>
      <w:r>
        <w:t xml:space="preserve"> 3.0 </w:t>
      </w:r>
      <w:r>
        <w:t>为基础，并通过</w:t>
      </w:r>
      <w:r>
        <w:t xml:space="preserve"> R </w:t>
      </w:r>
      <w:r>
        <w:t>对数据处理和关键结果进行交叉核对，从而提高分析过程的可追溯性和结果解释的可靠性。</w:t>
      </w:r>
    </w:p>
    <w:p w14:paraId="7C7D7E66" w14:textId="77777777" w:rsidR="00606DE5" w:rsidRDefault="00000000" w:rsidP="007C0CF3">
      <w:pPr>
        <w:pStyle w:val="ad"/>
        <w:spacing w:before="240" w:after="120"/>
      </w:pPr>
      <w:bookmarkStart w:id="18" w:name="_Toc229090857"/>
      <w:bookmarkStart w:id="19" w:name="_Toc229245521"/>
      <w:r>
        <w:t xml:space="preserve">1.5 </w:t>
      </w:r>
      <w:r>
        <w:t>研究目的与意义</w:t>
      </w:r>
      <w:bookmarkEnd w:id="18"/>
      <w:bookmarkEnd w:id="19"/>
    </w:p>
    <w:p w14:paraId="7567060A" w14:textId="77777777" w:rsidR="00606DE5" w:rsidRDefault="00000000">
      <w:pPr>
        <w:pStyle w:val="ac"/>
        <w:ind w:firstLine="480"/>
      </w:pPr>
      <w:r>
        <w:t>综上所述，尽管全球尺度的</w:t>
      </w:r>
      <w:r>
        <w:t>Meta</w:t>
      </w:r>
      <w:r>
        <w:t>分析已为农业</w:t>
      </w:r>
      <w:r>
        <w:t>N</w:t>
      </w:r>
      <w:r>
        <w:rPr>
          <w:rFonts w:ascii="Cambria Math" w:eastAsia="Cambria Math" w:hAnsi="Cambria Math" w:cs="Cambria Math"/>
        </w:rPr>
        <w:t>₂</w:t>
      </w:r>
      <w:r>
        <w:t>O</w:t>
      </w:r>
      <w:r>
        <w:t>排放的综合评估奠定了重要基础，但针对黄土高原这一兼具生态脆弱性、旱作农业代表性和土地利用快速变化特征的区域，系统性的</w:t>
      </w:r>
      <w:r>
        <w:t>N</w:t>
      </w:r>
      <w:r>
        <w:rPr>
          <w:rFonts w:ascii="Cambria Math" w:eastAsia="Cambria Math" w:hAnsi="Cambria Math" w:cs="Cambria Math"/>
        </w:rPr>
        <w:t>₂</w:t>
      </w:r>
      <w:r>
        <w:t>O</w:t>
      </w:r>
      <w:r>
        <w:t>排放定量综合研究仍付之阙如。已有的单点研究结果相互矛盾，各类管理措施对</w:t>
      </w:r>
      <w:r>
        <w:t>N</w:t>
      </w:r>
      <w:r>
        <w:rPr>
          <w:rFonts w:ascii="Cambria Math" w:eastAsia="Cambria Math" w:hAnsi="Cambria Math" w:cs="Cambria Math"/>
        </w:rPr>
        <w:t>₂</w:t>
      </w:r>
      <w:r>
        <w:t>O</w:t>
      </w:r>
      <w:r>
        <w:t>排放和作物产量的协同效应尚无可靠的区域性量化证据，</w:t>
      </w:r>
      <w:r>
        <w:t>"</w:t>
      </w:r>
      <w:r>
        <w:t>粮改果</w:t>
      </w:r>
      <w:r>
        <w:t>"</w:t>
      </w:r>
      <w:r>
        <w:t>土地利用转变对区域温室气体格局的净影响亦缺乏实证检验。这一系列知识缺口既制约了区域</w:t>
      </w:r>
      <w:r>
        <w:t>N</w:t>
      </w:r>
      <w:r>
        <w:rPr>
          <w:rFonts w:ascii="Cambria Math" w:eastAsia="Cambria Math" w:hAnsi="Cambria Math" w:cs="Cambria Math"/>
        </w:rPr>
        <w:t>₂</w:t>
      </w:r>
      <w:r>
        <w:t>O</w:t>
      </w:r>
      <w:r>
        <w:t>排放的准确评估，也阻碍了本地化最佳管理实践的科学筛选。</w:t>
      </w:r>
    </w:p>
    <w:p w14:paraId="0C5F988F" w14:textId="77777777" w:rsidR="00606DE5" w:rsidRDefault="00000000">
      <w:pPr>
        <w:pStyle w:val="ac"/>
        <w:ind w:firstLine="480"/>
      </w:pPr>
      <w:r>
        <w:t>鉴于此，本研究收集整理</w:t>
      </w:r>
      <w:r>
        <w:t>2006</w:t>
      </w:r>
      <w:r>
        <w:t>年至</w:t>
      </w:r>
      <w:r>
        <w:t>2025</w:t>
      </w:r>
      <w:r>
        <w:t>年间发表的</w:t>
      </w:r>
      <w:r>
        <w:t>38</w:t>
      </w:r>
      <w:r>
        <w:t>篇同行评议文献，构建包含</w:t>
      </w:r>
      <w:r>
        <w:t>366</w:t>
      </w:r>
      <w:r>
        <w:t>条</w:t>
      </w:r>
      <w:r>
        <w:t>N</w:t>
      </w:r>
      <w:r>
        <w:rPr>
          <w:rFonts w:ascii="Cambria Math" w:eastAsia="Cambria Math" w:hAnsi="Cambria Math" w:cs="Cambria Math"/>
        </w:rPr>
        <w:t>₂</w:t>
      </w:r>
      <w:r>
        <w:t>O</w:t>
      </w:r>
      <w:r>
        <w:t>排放记录和</w:t>
      </w:r>
      <w:r>
        <w:t>311</w:t>
      </w:r>
      <w:r>
        <w:t>条作物产量记录的区域性数据库，并采用成对比较</w:t>
      </w:r>
      <w:r>
        <w:t>Meta</w:t>
      </w:r>
      <w:r>
        <w:t>分析方法，拟实现以下两个核心研究目标：</w:t>
      </w:r>
    </w:p>
    <w:p w14:paraId="4A6C6138" w14:textId="77777777" w:rsidR="00606DE5" w:rsidRDefault="00000000">
      <w:pPr>
        <w:pStyle w:val="ac"/>
        <w:ind w:firstLine="480"/>
      </w:pPr>
      <w:r>
        <w:lastRenderedPageBreak/>
        <w:t>第一，定量评估黄土高原主要农业生态系统（春玉米、冬小麦、春小麦、苹果果园）的</w:t>
      </w:r>
      <w:r>
        <w:t>N</w:t>
      </w:r>
      <w:r>
        <w:rPr>
          <w:rFonts w:ascii="Cambria Math" w:eastAsia="Cambria Math" w:hAnsi="Cambria Math" w:cs="Cambria Math"/>
        </w:rPr>
        <w:t>₂</w:t>
      </w:r>
      <w:r>
        <w:t>O</w:t>
      </w:r>
      <w:r>
        <w:t>排放量、直接排放因子和产量尺度排放的分布特征与体系间差异，厘清土地利用方式对区域</w:t>
      </w:r>
      <w:r>
        <w:t>N</w:t>
      </w:r>
      <w:r>
        <w:rPr>
          <w:rFonts w:ascii="Cambria Math" w:eastAsia="Cambria Math" w:hAnsi="Cambria Math" w:cs="Cambria Math"/>
        </w:rPr>
        <w:t>₂</w:t>
      </w:r>
      <w:r>
        <w:t>O</w:t>
      </w:r>
      <w:r>
        <w:t>排放格局的贡献，并通过拟合</w:t>
      </w:r>
      <w:r>
        <w:t>N</w:t>
      </w:r>
      <w:r>
        <w:rPr>
          <w:rFonts w:ascii="Cambria Math" w:eastAsia="Cambria Math" w:hAnsi="Cambria Math" w:cs="Cambria Math"/>
        </w:rPr>
        <w:t>₂</w:t>
      </w:r>
      <w:r>
        <w:t>O</w:t>
      </w:r>
      <w:r>
        <w:t>排放与作物产量对施氮量的响应模型，确立区域背景排放量、施肥诱导排放系数和各作物的农学最优施氮量等关键参数。</w:t>
      </w:r>
    </w:p>
    <w:p w14:paraId="3ADA6ED2" w14:textId="77777777" w:rsidR="00606DE5" w:rsidRDefault="00000000">
      <w:pPr>
        <w:pStyle w:val="ac"/>
        <w:ind w:firstLine="480"/>
      </w:pPr>
      <w:r>
        <w:t>第二，综合评价有机物料投入（粪肥施用与秸秆还田）、覆盖措施（地膜覆盖与秸秆覆盖）、生物炭添加、增效肥料施用以及减量施氮等农作管理措施对</w:t>
      </w:r>
      <w:r>
        <w:t>N</w:t>
      </w:r>
      <w:r>
        <w:rPr>
          <w:rFonts w:ascii="Cambria Math" w:eastAsia="Cambria Math" w:hAnsi="Cambria Math" w:cs="Cambria Math"/>
        </w:rPr>
        <w:t>₂</w:t>
      </w:r>
      <w:r>
        <w:t>O</w:t>
      </w:r>
      <w:r>
        <w:t>排放、直接排放因子和产量尺度排放的净效应，在产量效益与减排代价之间寻求最优权衡，筛选出适合黄土高原区域推广的</w:t>
      </w:r>
      <w:r>
        <w:t>"</w:t>
      </w:r>
      <w:r>
        <w:t>增产减排</w:t>
      </w:r>
      <w:r>
        <w:t>"</w:t>
      </w:r>
      <w:r>
        <w:t>最佳管理实践（</w:t>
      </w:r>
      <w:r>
        <w:t>Best Management Practices</w:t>
      </w:r>
      <w:r>
        <w:t>，</w:t>
      </w:r>
      <w:r>
        <w:t>BMPs</w:t>
      </w:r>
      <w:r>
        <w:t>）。</w:t>
      </w:r>
    </w:p>
    <w:p w14:paraId="68DA4115" w14:textId="4CB3567F" w:rsidR="007C0CF3" w:rsidRDefault="00000000">
      <w:pPr>
        <w:pStyle w:val="ac"/>
        <w:ind w:firstLine="480"/>
      </w:pPr>
      <w:r>
        <w:t>本研究的科学价值体现于理论与实践两个维度。在理论层面，研究将系统揭示黄土高原高</w:t>
      </w:r>
      <w:r>
        <w:t>pH</w:t>
      </w:r>
      <w:r>
        <w:t>、深厚黄土剖面和降水脉冲分布等特有环境因子对</w:t>
      </w:r>
      <w:r>
        <w:t>N</w:t>
      </w:r>
      <w:r>
        <w:rPr>
          <w:rFonts w:ascii="Cambria Math" w:eastAsia="Cambria Math" w:hAnsi="Cambria Math" w:cs="Cambria Math"/>
        </w:rPr>
        <w:t>₂</w:t>
      </w:r>
      <w:r>
        <w:t>O</w:t>
      </w:r>
      <w:r>
        <w:t>排放机制的调控特征，丰富对半干旱区农田土壤生物地球化学循环的认知，并明确区分冬小麦与春小麦作为独立数据分析单元的必要性，为未来全球尺度</w:t>
      </w:r>
      <w:r>
        <w:t>Meta</w:t>
      </w:r>
      <w:r>
        <w:t>分析的方法设计提供参考。在实践层面，研究结果可为国家</w:t>
      </w:r>
      <w:r>
        <w:t>"</w:t>
      </w:r>
      <w:r>
        <w:t>双碳</w:t>
      </w:r>
      <w:r>
        <w:t>"</w:t>
      </w:r>
      <w:r>
        <w:t>战略框架下的区域温室气体清单编制提供精准的区域特异性排放因子，同时为黄土高原农业绿色转型提供具有可操作性的施肥优化方案和作物秸秆管理建议，并通过量化不同土地利用方式的温室气体外部性，为科学制定涉及</w:t>
      </w:r>
      <w:r>
        <w:t>"</w:t>
      </w:r>
      <w:r>
        <w:t>粮改果</w:t>
      </w:r>
      <w:r>
        <w:t>"</w:t>
      </w:r>
      <w:r>
        <w:t>的生态补偿政策和农业碳汇交易机制提供数据支撑，推动区域农业生产向资源高效、环境友好的可持续方向发展。</w:t>
      </w:r>
    </w:p>
    <w:p w14:paraId="7AC0ACD5" w14:textId="37057B85" w:rsidR="00606DE5" w:rsidRPr="007C0CF3" w:rsidRDefault="007C0CF3" w:rsidP="007C0CF3">
      <w:pPr>
        <w:rPr>
          <w:rFonts w:ascii="Times New Roman" w:hAnsi="Times New Roman" w:hint="eastAsia"/>
          <w:kern w:val="2"/>
          <w14:ligatures w14:val="standardContextual"/>
        </w:rPr>
      </w:pPr>
      <w:r>
        <w:br w:type="page"/>
      </w:r>
    </w:p>
    <w:p w14:paraId="17FFB7D2" w14:textId="25AA8C8F" w:rsidR="00606DE5" w:rsidRDefault="007C0CF3" w:rsidP="007C0CF3">
      <w:pPr>
        <w:pStyle w:val="af5"/>
        <w:spacing w:before="480" w:after="240"/>
      </w:pPr>
      <w:bookmarkStart w:id="20" w:name="_Toc229090858"/>
      <w:bookmarkStart w:id="21" w:name="_Toc229245522"/>
      <w:r>
        <w:rPr>
          <w:rFonts w:hint="eastAsia"/>
        </w:rPr>
        <w:lastRenderedPageBreak/>
        <w:t>第二章</w:t>
      </w:r>
      <w:r>
        <w:t xml:space="preserve"> </w:t>
      </w:r>
      <w:r>
        <w:t>材料与方法</w:t>
      </w:r>
      <w:bookmarkEnd w:id="20"/>
      <w:bookmarkEnd w:id="21"/>
    </w:p>
    <w:p w14:paraId="483BAA10" w14:textId="77777777" w:rsidR="00606DE5" w:rsidRDefault="00000000" w:rsidP="007C0CF3">
      <w:pPr>
        <w:pStyle w:val="ad"/>
        <w:spacing w:before="240" w:after="120"/>
      </w:pPr>
      <w:bookmarkStart w:id="22" w:name="_Toc229090859"/>
      <w:bookmarkStart w:id="23" w:name="_Toc229245523"/>
      <w:r>
        <w:t xml:space="preserve">2.1 </w:t>
      </w:r>
      <w:r>
        <w:t>数据收集与文献筛选标准</w:t>
      </w:r>
      <w:bookmarkEnd w:id="22"/>
      <w:bookmarkEnd w:id="23"/>
    </w:p>
    <w:p w14:paraId="33F7F930" w14:textId="0147DB2A" w:rsidR="00606DE5" w:rsidRDefault="00000000">
      <w:pPr>
        <w:pStyle w:val="ac"/>
        <w:ind w:firstLine="480"/>
      </w:pPr>
      <w:r>
        <w:t>本研究以黄土高原农田生态系统一氧化二氮</w:t>
      </w:r>
      <w:r w:rsidRPr="00373D39">
        <w:rPr>
          <w:rFonts w:cs="Times New Roman"/>
        </w:rPr>
        <w:t>（</w:t>
      </w:r>
      <w:r w:rsidRPr="00373D39">
        <w:rPr>
          <w:rFonts w:cs="Times New Roman"/>
        </w:rPr>
        <w:t>N</w:t>
      </w:r>
      <w:r w:rsidRPr="00373D39">
        <w:rPr>
          <w:rFonts w:eastAsia="Cambria Math" w:cs="Times New Roman"/>
        </w:rPr>
        <w:t>₂</w:t>
      </w:r>
      <w:r w:rsidRPr="00373D39">
        <w:rPr>
          <w:rFonts w:cs="Times New Roman"/>
        </w:rPr>
        <w:t>O</w:t>
      </w:r>
      <w:r w:rsidRPr="00373D39">
        <w:rPr>
          <w:rFonts w:cs="Times New Roman"/>
        </w:rPr>
        <w:t>）</w:t>
      </w:r>
      <w:r>
        <w:t>排放为研究对象，系统收集并整理已发表田间观测文献中的相关数据。文献检索主要在</w:t>
      </w:r>
      <w:r>
        <w:t xml:space="preserve"> Web of Science </w:t>
      </w:r>
      <w:r>
        <w:t>核心合集数据库中进行，采用</w:t>
      </w:r>
      <w:r>
        <w:t>”</w:t>
      </w:r>
      <w:r>
        <w:t>地理区域</w:t>
      </w:r>
      <w:r>
        <w:t xml:space="preserve"> + </w:t>
      </w:r>
      <w:r>
        <w:t>农业生态系统</w:t>
      </w:r>
      <w:r>
        <w:t xml:space="preserve"> + </w:t>
      </w:r>
      <w:r>
        <w:t>目标气体</w:t>
      </w:r>
      <w:r>
        <w:t>”</w:t>
      </w:r>
      <w:r>
        <w:t>的组合方式构建检索式。核心关键词包括</w:t>
      </w:r>
      <w:r w:rsidR="00373D39">
        <w:rPr>
          <w:rFonts w:hint="eastAsia"/>
        </w:rPr>
        <w:t>“</w:t>
      </w:r>
      <w:r>
        <w:t>Loess Plateau” “cropland” “cropping system” “agroecosystem”</w:t>
      </w:r>
      <w:r>
        <w:t>以及</w:t>
      </w:r>
      <w:r>
        <w:t>”nitrous oxide”“N</w:t>
      </w:r>
      <w:r w:rsidRPr="00373D39">
        <w:rPr>
          <w:vertAlign w:val="subscript"/>
        </w:rPr>
        <w:t>2</w:t>
      </w:r>
      <w:r>
        <w:t>O”“gaseous nitrogen” “greenhouse gas”</w:t>
      </w:r>
      <w:r>
        <w:t>等。通过题名、摘要和关键词进行初筛后，再结合全文内容进行二次甄别，以确保纳入研究的数据具有较高的针对性和可比性。</w:t>
      </w:r>
    </w:p>
    <w:p w14:paraId="4B1F63F4" w14:textId="77777777" w:rsidR="00606DE5" w:rsidRDefault="00000000">
      <w:pPr>
        <w:pStyle w:val="ac"/>
        <w:ind w:firstLine="480"/>
      </w:pPr>
      <w:r>
        <w:t>为保证数据库质量，本研究设定如下纳入标准：第一，研究必须为田间原位试验，不纳入盆栽试验、培养试验或纯模型模拟结果；第二，</w:t>
      </w:r>
      <w:r>
        <w:t>N</w:t>
      </w:r>
      <w:r>
        <w:rPr>
          <w:rFonts w:ascii="Cambria Math" w:eastAsia="Cambria Math" w:hAnsi="Cambria Math" w:cs="Cambria Math"/>
        </w:rPr>
        <w:t>₂</w:t>
      </w:r>
      <w:r>
        <w:t xml:space="preserve">O </w:t>
      </w:r>
      <w:r>
        <w:t>通量须采用人工静态箱法或与之等效的田间箱式方法进行测定，且每个处理至少包含</w:t>
      </w:r>
      <w:r>
        <w:t xml:space="preserve"> 3 </w:t>
      </w:r>
      <w:r>
        <w:t>个空间重复；第三，观测期至少覆盖一个完整作物生长季，以保证累积排放量具有代表性；第四，文献中需报告</w:t>
      </w:r>
      <w:r>
        <w:t xml:space="preserve"> N</w:t>
      </w:r>
      <w:r>
        <w:rPr>
          <w:rFonts w:ascii="Cambria Math" w:eastAsia="Cambria Math" w:hAnsi="Cambria Math" w:cs="Cambria Math"/>
        </w:rPr>
        <w:t>₂</w:t>
      </w:r>
      <w:r>
        <w:t xml:space="preserve">O </w:t>
      </w:r>
      <w:r>
        <w:t>累积排放量和作物产量的均值及其离散程度指标，如标准差（</w:t>
      </w:r>
      <w:r>
        <w:t>SD</w:t>
      </w:r>
      <w:r>
        <w:t>）或标准误（</w:t>
      </w:r>
      <w:r>
        <w:t>SE</w:t>
      </w:r>
      <w:r>
        <w:t>），若正文未直接给出，但可由图表读取或由原始信息换算，则仍可纳入。对仅以图形形式呈现的数据，使用</w:t>
      </w:r>
      <w:proofErr w:type="spellStart"/>
      <w:r>
        <w:t>GetData</w:t>
      </w:r>
      <w:proofErr w:type="spellEnd"/>
      <w:r>
        <w:t xml:space="preserve"> Graph Digitizer</w:t>
      </w:r>
      <w:r>
        <w:t>软件进行数字化提取。</w:t>
      </w:r>
    </w:p>
    <w:p w14:paraId="0E4A665A" w14:textId="77777777" w:rsidR="00606DE5" w:rsidRDefault="00000000">
      <w:pPr>
        <w:pStyle w:val="ac"/>
        <w:ind w:firstLine="480"/>
      </w:pPr>
      <w:r>
        <w:t>依据上述标准，最终共纳入</w:t>
      </w:r>
      <w:r>
        <w:t xml:space="preserve"> 2006—2025 </w:t>
      </w:r>
      <w:r>
        <w:t>年间发表的</w:t>
      </w:r>
      <w:r>
        <w:t xml:space="preserve"> 38 </w:t>
      </w:r>
      <w:r>
        <w:t>篇同行评议文献，形成</w:t>
      </w:r>
      <w:r>
        <w:t xml:space="preserve"> 366 </w:t>
      </w:r>
      <w:r>
        <w:t>条</w:t>
      </w:r>
      <w:r>
        <w:t>N</w:t>
      </w:r>
      <w:r>
        <w:rPr>
          <w:rFonts w:ascii="Cambria Math" w:eastAsia="Cambria Math" w:hAnsi="Cambria Math" w:cs="Cambria Math"/>
        </w:rPr>
        <w:t>₂</w:t>
      </w:r>
      <w:r>
        <w:t>O</w:t>
      </w:r>
      <w:r>
        <w:t>排放记录和</w:t>
      </w:r>
      <w:r>
        <w:t>311</w:t>
      </w:r>
      <w:r>
        <w:t>条作物产量记录。数据库信息包括试验地点经纬度、年均气温和年降水量、土壤黏粒含量、</w:t>
      </w:r>
      <w:r>
        <w:t>pH</w:t>
      </w:r>
      <w:r>
        <w:t>、有机碳含量、试验年份、种植制度、施氮量、氮肥类型、农艺措施</w:t>
      </w:r>
      <w:r>
        <w:t>N</w:t>
      </w:r>
      <w:r>
        <w:rPr>
          <w:rFonts w:ascii="Cambria Math" w:eastAsia="Cambria Math" w:hAnsi="Cambria Math" w:cs="Cambria Math"/>
        </w:rPr>
        <w:t>₂</w:t>
      </w:r>
      <w:r>
        <w:t>O</w:t>
      </w:r>
      <w:r>
        <w:t>排放量及作物产量等。研究区域覆盖黄土高原主要农业区，作物体系以春玉米、冬小麦、春小麦和苹果园为主；其中，马铃薯数据仅用于增效肥料效应评价。对于苹果园中因霜冻等极端天气导致绝收的情况，不将其产量数据纳入产量及产量尺度排放分析，以避免异常值对结果造成过度干扰。</w:t>
      </w:r>
    </w:p>
    <w:p w14:paraId="574554F3" w14:textId="77777777" w:rsidR="00606DE5" w:rsidRDefault="00000000">
      <w:pPr>
        <w:keepNext/>
        <w:jc w:val="center"/>
      </w:pPr>
      <w:r>
        <w:rPr>
          <w:noProof/>
        </w:rPr>
        <w:lastRenderedPageBreak/>
        <w:drawing>
          <wp:inline distT="0" distB="0" distL="0" distR="0" wp14:anchorId="3262CE22" wp14:editId="138AC888">
            <wp:extent cx="4060825" cy="2733675"/>
            <wp:effectExtent l="0" t="0" r="3175" b="0"/>
            <wp:docPr id="711192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92762" name="图片 1"/>
                    <pic:cNvPicPr>
                      <a:picLocks noChangeAspect="1"/>
                    </pic:cNvPicPr>
                  </pic:nvPicPr>
                  <pic:blipFill>
                    <a:blip r:embed="rId8" cstate="print">
                      <a:extLst>
                        <a:ext uri="{28A0092B-C50C-407E-A947-70E740481C1C}">
                          <a14:useLocalDpi xmlns:a14="http://schemas.microsoft.com/office/drawing/2010/main" val="0"/>
                        </a:ext>
                      </a:extLst>
                    </a:blip>
                    <a:srcRect b="8540"/>
                    <a:stretch>
                      <a:fillRect/>
                    </a:stretch>
                  </pic:blipFill>
                  <pic:spPr>
                    <a:xfrm>
                      <a:off x="0" y="0"/>
                      <a:ext cx="4071938" cy="2741394"/>
                    </a:xfrm>
                    <a:prstGeom prst="rect">
                      <a:avLst/>
                    </a:prstGeom>
                    <a:ln>
                      <a:noFill/>
                    </a:ln>
                  </pic:spPr>
                </pic:pic>
              </a:graphicData>
            </a:graphic>
          </wp:inline>
        </w:drawing>
      </w:r>
    </w:p>
    <w:p w14:paraId="19D8C858" w14:textId="77777777" w:rsidR="00606DE5" w:rsidRDefault="00000000">
      <w:pPr>
        <w:pStyle w:val="ac"/>
        <w:ind w:firstLine="420"/>
        <w:jc w:val="center"/>
        <w:rPr>
          <w:sz w:val="21"/>
          <w:szCs w:val="21"/>
        </w:rPr>
      </w:pPr>
      <w:r>
        <w:rPr>
          <w:sz w:val="21"/>
          <w:szCs w:val="21"/>
        </w:rPr>
        <w:t>图</w:t>
      </w:r>
      <w:r>
        <w:rPr>
          <w:sz w:val="21"/>
          <w:szCs w:val="21"/>
        </w:rPr>
        <w:t xml:space="preserve">2-1 </w:t>
      </w:r>
      <w:r>
        <w:rPr>
          <w:sz w:val="21"/>
          <w:szCs w:val="21"/>
        </w:rPr>
        <w:t>黄土高原</w:t>
      </w:r>
      <w:r>
        <w:rPr>
          <w:sz w:val="21"/>
          <w:szCs w:val="21"/>
        </w:rPr>
        <w:t>N₂O</w:t>
      </w:r>
      <w:r>
        <w:rPr>
          <w:sz w:val="21"/>
          <w:szCs w:val="21"/>
        </w:rPr>
        <w:t>通量观测样点分布</w:t>
      </w:r>
    </w:p>
    <w:p w14:paraId="2C8A982F" w14:textId="77777777" w:rsidR="00606DE5" w:rsidRDefault="00000000">
      <w:pPr>
        <w:pStyle w:val="ac"/>
        <w:ind w:firstLine="480"/>
      </w:pPr>
      <w:r>
        <w:t>在管理措施分类上，本研究将常规氮肥定义为化学氮肥、畜禽粪肥和秸秆投入；将增效肥料定义为控释</w:t>
      </w:r>
      <w:r>
        <w:t>/</w:t>
      </w:r>
      <w:r>
        <w:t>缓释肥、硝化抑制剂和脲酶抑制剂等。覆盖措施包括地膜覆盖和秸秆覆盖。需要说明的是，秸秆还田与秸秆覆盖按照原始文献的处理描述分别归类，二者数据不重复混用。为尽量降低同一研究中多重比较造成的非独立性影响，数据整理时以</w:t>
      </w:r>
      <w:r>
        <w:rPr>
          <w:rFonts w:hint="eastAsia"/>
        </w:rPr>
        <w:t>“</w:t>
      </w:r>
      <w:r>
        <w:t>同一试验点</w:t>
      </w:r>
      <w:r>
        <w:t>—</w:t>
      </w:r>
      <w:r>
        <w:t>同一年份</w:t>
      </w:r>
      <w:r>
        <w:t>—</w:t>
      </w:r>
      <w:r>
        <w:t>同一处理</w:t>
      </w:r>
      <w:r>
        <w:t>/</w:t>
      </w:r>
      <w:r>
        <w:t>对照组合</w:t>
      </w:r>
      <w:r>
        <w:t>”</w:t>
      </w:r>
      <w:r>
        <w:t>为基本提取单元；若同一试验被重复报道，则优先保留信息更完整、统计指标更齐全的版本。</w:t>
      </w:r>
    </w:p>
    <w:p w14:paraId="5BFD1019" w14:textId="77777777" w:rsidR="00606DE5" w:rsidRPr="007C0CF3" w:rsidRDefault="00000000" w:rsidP="007C0CF3">
      <w:pPr>
        <w:pStyle w:val="ad"/>
        <w:spacing w:before="240" w:after="120"/>
      </w:pPr>
      <w:bookmarkStart w:id="24" w:name="_Toc229090860"/>
      <w:bookmarkStart w:id="25" w:name="_Toc229245524"/>
      <w:r w:rsidRPr="007C0CF3">
        <w:t xml:space="preserve">2.2 </w:t>
      </w:r>
      <w:r w:rsidRPr="007C0CF3">
        <w:t>数据处理与指标计算</w:t>
      </w:r>
      <w:bookmarkEnd w:id="24"/>
      <w:bookmarkEnd w:id="25"/>
    </w:p>
    <w:p w14:paraId="165F84CC" w14:textId="77777777" w:rsidR="00606DE5" w:rsidRDefault="00000000">
      <w:pPr>
        <w:pStyle w:val="ac"/>
        <w:ind w:firstLine="480"/>
      </w:pPr>
      <w:r>
        <w:t>原始文献中部分研究已直接报告排放因子（</w:t>
      </w:r>
      <w:r>
        <w:t>EF</w:t>
      </w:r>
      <w:r>
        <w:t>）和产量尺度排放（</w:t>
      </w:r>
      <w:r>
        <w:t>yield-scaled emission</w:t>
      </w:r>
      <w:r>
        <w:t>），对未直接给出的研究，则按统一公式进行换算。首先，直接排放因子表示</w:t>
      </w:r>
      <w:r>
        <w:t>”</w:t>
      </w:r>
      <w:r>
        <w:t>每投入</w:t>
      </w:r>
      <w:r>
        <w:t xml:space="preserve"> 100 </w:t>
      </w:r>
      <w:r>
        <w:t>单位氮肥中，有多少比例以</w:t>
      </w:r>
      <w:r>
        <w:t xml:space="preserve"> N</w:t>
      </w:r>
      <w:r>
        <w:rPr>
          <w:rFonts w:ascii="Cambria Math" w:eastAsia="Cambria Math" w:hAnsi="Cambria Math" w:cs="Cambria Math"/>
        </w:rPr>
        <w:t>₂</w:t>
      </w:r>
      <w:r>
        <w:t xml:space="preserve">O-N </w:t>
      </w:r>
      <w:r>
        <w:t>的形式直接排放到大气中</w:t>
      </w:r>
      <w:r>
        <w:t>”</w:t>
      </w:r>
      <w:r>
        <w:t>，本质上反映施肥诱导排放强度，其计算公式为：</w:t>
      </w:r>
    </w:p>
    <w:p w14:paraId="6976474B" w14:textId="77777777" w:rsidR="00606DE5" w:rsidRDefault="00606DE5">
      <w:pPr>
        <w:pStyle w:val="ac"/>
        <w:ind w:firstLine="48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606DE5" w14:paraId="15BEA0B0" w14:textId="77777777">
        <w:tc>
          <w:tcPr>
            <w:tcW w:w="2127" w:type="dxa"/>
          </w:tcPr>
          <w:p w14:paraId="799A097F" w14:textId="77777777" w:rsidR="00606DE5" w:rsidRDefault="00606DE5">
            <w:pPr>
              <w:pStyle w:val="ac"/>
              <w:ind w:firstLineChars="0" w:firstLine="0"/>
            </w:pPr>
            <w:bookmarkStart w:id="26" w:name="OLE_LINK18"/>
          </w:p>
        </w:tc>
        <w:tc>
          <w:tcPr>
            <w:tcW w:w="5103" w:type="dxa"/>
          </w:tcPr>
          <w:p w14:paraId="256B33A4" w14:textId="77777777" w:rsidR="00606DE5" w:rsidRDefault="00000000">
            <w:pPr>
              <w:pStyle w:val="ac"/>
              <w:ind w:firstLine="480"/>
            </w:pPr>
            <m:oMathPara>
              <m:oMath>
                <m:r>
                  <w:rPr>
                    <w:rFonts w:ascii="Cambria Math" w:hAnsi="Cambria Math"/>
                  </w:rPr>
                  <m:t>EF</m:t>
                </m:r>
                <m:r>
                  <m:rPr>
                    <m:sty m:val="p"/>
                  </m:rPr>
                  <w:rPr>
                    <w:rFonts w:ascii="Cambria Math" w:hAnsi="Cambria Math"/>
                  </w:rPr>
                  <m:t>（</m:t>
                </m:r>
                <m:r>
                  <m:rPr>
                    <m:sty m:val="p"/>
                  </m:rPr>
                  <w:rPr>
                    <w:rFonts w:ascii="Cambria Math" w:hAnsi="Cambria Math"/>
                  </w:rPr>
                  <m:t>%</m:t>
                </m:r>
                <m:r>
                  <m:rPr>
                    <m:sty m:val="p"/>
                  </m:rPr>
                  <w:rPr>
                    <w:rFonts w:ascii="Cambria Math" w:hAnsi="Cambria Math"/>
                  </w:rPr>
                  <m:t>）</m:t>
                </m:r>
                <m:r>
                  <m:rPr>
                    <m:sty m:val="p"/>
                  </m:rP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E</m:t>
                    </m:r>
                  </m:e>
                  <m:sub>
                    <m:r>
                      <m:rPr>
                        <m:sty m:val="p"/>
                      </m:rP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N</m:t>
                    </m:r>
                  </m:sub>
                </m:sSub>
                <m:r>
                  <m:rPr>
                    <m:sty m:val="p"/>
                  </m:rPr>
                  <w:rPr>
                    <w:rFonts w:ascii="Cambria Math" w:hAnsi="Cambria Math"/>
                  </w:rPr>
                  <m:t>] × 100%</m:t>
                </m:r>
              </m:oMath>
            </m:oMathPara>
          </w:p>
        </w:tc>
        <w:tc>
          <w:tcPr>
            <w:tcW w:w="1718" w:type="dxa"/>
          </w:tcPr>
          <w:p w14:paraId="1CA8E0A3" w14:textId="77777777" w:rsidR="00606DE5" w:rsidRDefault="00000000">
            <w:pPr>
              <w:pStyle w:val="ac"/>
              <w:ind w:firstLineChars="0" w:firstLine="0"/>
              <w:jc w:val="right"/>
            </w:pPr>
            <w:r>
              <w:t>（</w:t>
            </w:r>
            <w:r>
              <w:t>2-</w:t>
            </w:r>
            <w:r>
              <w:rPr>
                <w:rFonts w:hint="eastAsia"/>
              </w:rPr>
              <w:t>1</w:t>
            </w:r>
            <w:r>
              <w:t>）</w:t>
            </w:r>
          </w:p>
        </w:tc>
      </w:tr>
      <w:bookmarkEnd w:id="26"/>
    </w:tbl>
    <w:p w14:paraId="4D2740C0" w14:textId="77777777" w:rsidR="00606DE5" w:rsidRDefault="00606DE5">
      <w:pPr>
        <w:pStyle w:val="ac"/>
        <w:ind w:firstLineChars="0" w:firstLine="0"/>
      </w:pPr>
    </w:p>
    <w:p w14:paraId="75EBE428" w14:textId="7F516477" w:rsidR="00606DE5" w:rsidRDefault="00000000">
      <w:pPr>
        <w:pStyle w:val="ac"/>
        <w:ind w:firstLine="480"/>
      </w:pPr>
      <w:r>
        <w:t>式中</w:t>
      </w:r>
      <w:r>
        <w:t>E_N</w:t>
      </w:r>
      <w:r>
        <w:t>为施氮处理的累积</w:t>
      </w:r>
      <w:r w:rsidRPr="00DD7D14">
        <w:rPr>
          <w:rFonts w:cs="Times New Roman"/>
        </w:rPr>
        <w:t>N</w:t>
      </w:r>
      <w:r w:rsidRPr="00DD7D14">
        <w:rPr>
          <w:rFonts w:eastAsia="Cambria Math" w:cs="Times New Roman"/>
        </w:rPr>
        <w:t>₂</w:t>
      </w:r>
      <w:r w:rsidRPr="00DD7D14">
        <w:rPr>
          <w:rFonts w:cs="Times New Roman"/>
        </w:rPr>
        <w:t>O</w:t>
      </w:r>
      <w:r>
        <w:t>排放量（</w:t>
      </w:r>
      <w:r>
        <w:t>kg N ha</w:t>
      </w:r>
      <w:r>
        <w:rPr>
          <w:rFonts w:ascii="Cambria Math" w:eastAsia="Cambria Math" w:hAnsi="Cambria Math" w:cs="Cambria Math"/>
        </w:rPr>
        <w:t>⁻</w:t>
      </w:r>
      <w:r>
        <w:t>¹</w:t>
      </w:r>
      <w:r>
        <w:t>）；</w:t>
      </w:r>
      <w:r>
        <w:t xml:space="preserve">E_0 </w:t>
      </w:r>
      <w:r>
        <w:t>为不施氮对照的累积</w:t>
      </w:r>
      <w:r>
        <w:t>N</w:t>
      </w:r>
      <w:r>
        <w:rPr>
          <w:rFonts w:ascii="Cambria Math" w:eastAsia="Cambria Math" w:hAnsi="Cambria Math" w:cs="Cambria Math"/>
        </w:rPr>
        <w:t>₂</w:t>
      </w:r>
      <w:r>
        <w:t>O</w:t>
      </w:r>
      <w:r>
        <w:t>排放量（</w:t>
      </w:r>
      <w:r>
        <w:t>kg N ha</w:t>
      </w:r>
      <w:r>
        <w:rPr>
          <w:rFonts w:ascii="Cambria Math" w:eastAsia="Cambria Math" w:hAnsi="Cambria Math" w:cs="Cambria Math"/>
        </w:rPr>
        <w:t>⁻</w:t>
      </w:r>
      <w:r>
        <w:t>¹</w:t>
      </w:r>
      <w:r>
        <w:t>）；</w:t>
      </w:r>
      <w:r>
        <w:t xml:space="preserve">F_N </w:t>
      </w:r>
      <w:r>
        <w:t>为施氮量（</w:t>
      </w:r>
      <w:r>
        <w:t>kg N ha</w:t>
      </w:r>
      <w:r>
        <w:rPr>
          <w:rFonts w:ascii="Cambria Math" w:eastAsia="Cambria Math" w:hAnsi="Cambria Math" w:cs="Cambria Math"/>
        </w:rPr>
        <w:t>⁻</w:t>
      </w:r>
      <w:r>
        <w:t>¹</w:t>
      </w:r>
      <w:r>
        <w:t>）。式（</w:t>
      </w:r>
      <w:r>
        <w:t>2-1</w:t>
      </w:r>
      <w:r>
        <w:t>）中用施氮区减去对照区，目的是剔除土壤本底排放，仅保留由外源氮投入引起的</w:t>
      </w:r>
      <w:r>
        <w:t>”</w:t>
      </w:r>
      <w:r>
        <w:t>净增排放</w:t>
      </w:r>
      <w:r>
        <w:t>”</w:t>
      </w:r>
      <w:r>
        <w:t>。</w:t>
      </w:r>
    </w:p>
    <w:p w14:paraId="759CCDA3" w14:textId="30D5CE14" w:rsidR="00606DE5" w:rsidRDefault="00000000">
      <w:pPr>
        <w:pStyle w:val="ac"/>
        <w:ind w:firstLine="480"/>
      </w:pPr>
      <w:r>
        <w:t>其次，产量尺度排放用于衡量单位产量对应的</w:t>
      </w:r>
      <w:r w:rsidRPr="00DD7D14">
        <w:rPr>
          <w:rFonts w:cs="Times New Roman"/>
        </w:rPr>
        <w:t>N</w:t>
      </w:r>
      <w:r w:rsidRPr="00DD7D14">
        <w:rPr>
          <w:rFonts w:eastAsia="Cambria Math" w:cs="Times New Roman"/>
        </w:rPr>
        <w:t>₂</w:t>
      </w:r>
      <w:r w:rsidRPr="00DD7D14">
        <w:rPr>
          <w:rFonts w:cs="Times New Roman"/>
        </w:rPr>
        <w:t>O</w:t>
      </w:r>
      <w:r>
        <w:t>排放负担，是兼顾环境效应与生产效益的重要指标，其计算公式为：</w:t>
      </w:r>
    </w:p>
    <w:p w14:paraId="1B89D0D7" w14:textId="77777777" w:rsidR="00606DE5" w:rsidRDefault="00606DE5">
      <w:pPr>
        <w:pStyle w:val="ac"/>
        <w:ind w:firstLine="48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2"/>
        <w:gridCol w:w="2983"/>
        <w:gridCol w:w="2983"/>
      </w:tblGrid>
      <w:tr w:rsidR="00606DE5" w14:paraId="30D87EFD" w14:textId="77777777">
        <w:trPr>
          <w:trHeight w:val="617"/>
        </w:trPr>
        <w:tc>
          <w:tcPr>
            <w:tcW w:w="2982" w:type="dxa"/>
          </w:tcPr>
          <w:p w14:paraId="111D8DDE" w14:textId="77777777" w:rsidR="00606DE5" w:rsidRDefault="00606DE5">
            <w:pPr>
              <w:pStyle w:val="ac"/>
              <w:ind w:firstLineChars="0" w:firstLine="0"/>
            </w:pPr>
          </w:p>
        </w:tc>
        <w:tc>
          <w:tcPr>
            <w:tcW w:w="2983" w:type="dxa"/>
          </w:tcPr>
          <w:p w14:paraId="35D8353F" w14:textId="77777777" w:rsidR="00606DE5" w:rsidRDefault="00000000">
            <w:pPr>
              <w:rPr>
                <w:i/>
              </w:rPr>
            </w:pPr>
            <m:oMathPara>
              <m:oMath>
                <m:r>
                  <w:rPr>
                    <w:rFonts w:ascii="Cambria Math" w:hAnsi="Cambria Math"/>
                  </w:rPr>
                  <m:t>YSE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N</m:t>
                        </m:r>
                      </m:sub>
                    </m:sSub>
                  </m:num>
                  <m:den>
                    <m:r>
                      <w:rPr>
                        <w:rFonts w:ascii="Cambria Math" w:hAnsi="Cambria Math"/>
                      </w:rPr>
                      <m:t>Yield</m:t>
                    </m:r>
                  </m:den>
                </m:f>
              </m:oMath>
            </m:oMathPara>
          </w:p>
        </w:tc>
        <w:tc>
          <w:tcPr>
            <w:tcW w:w="2983" w:type="dxa"/>
          </w:tcPr>
          <w:p w14:paraId="427F832F" w14:textId="77777777" w:rsidR="00606DE5" w:rsidRDefault="00000000">
            <w:pPr>
              <w:pStyle w:val="ac"/>
              <w:ind w:firstLineChars="0" w:firstLine="0"/>
              <w:jc w:val="right"/>
            </w:pPr>
            <w:r>
              <w:t>（</w:t>
            </w:r>
            <w:r>
              <w:t>2-2</w:t>
            </w:r>
            <w:r>
              <w:t>）</w:t>
            </w:r>
          </w:p>
        </w:tc>
      </w:tr>
    </w:tbl>
    <w:p w14:paraId="7C8C6C60" w14:textId="77777777" w:rsidR="00606DE5" w:rsidRDefault="00606DE5">
      <w:pPr>
        <w:pStyle w:val="ac"/>
        <w:ind w:firstLineChars="0" w:firstLine="0"/>
      </w:pPr>
    </w:p>
    <w:p w14:paraId="32268F1E" w14:textId="77777777" w:rsidR="00606DE5" w:rsidRDefault="00000000">
      <w:pPr>
        <w:pStyle w:val="ac"/>
        <w:ind w:firstLine="480"/>
      </w:pPr>
      <w:r>
        <w:t>式中，</w:t>
      </w:r>
      <w:r>
        <w:t>YSE</w:t>
      </w:r>
      <w:r>
        <w:t>为产量尺度排放，单位为</w:t>
      </w:r>
      <w:r>
        <w:t xml:space="preserve"> kg N t</w:t>
      </w:r>
      <w:r>
        <w:rPr>
          <w:rFonts w:ascii="Cambria Math" w:eastAsia="Cambria Math" w:hAnsi="Cambria Math" w:cs="Cambria Math"/>
        </w:rPr>
        <w:t>⁻</w:t>
      </w:r>
      <w:r>
        <w:t>¹</w:t>
      </w:r>
      <w:r>
        <w:t>；</w:t>
      </w:r>
      <w:r>
        <w:t xml:space="preserve">Y_N </w:t>
      </w:r>
      <w:r>
        <w:t>为施氮处理下的作物产量（</w:t>
      </w:r>
      <w:r>
        <w:t>t ha</w:t>
      </w:r>
      <w:r>
        <w:rPr>
          <w:rFonts w:ascii="Cambria Math" w:eastAsia="Cambria Math" w:hAnsi="Cambria Math" w:cs="Cambria Math"/>
        </w:rPr>
        <w:t>⁻</w:t>
      </w:r>
      <w:r>
        <w:t>¹</w:t>
      </w:r>
      <w:r>
        <w:t>）。该指标的物理意义在于：若总排放相同，则产量越高，单位产品分摊的排放越低；反之，即便总排放不高，但若产量偏低，则单位产量排放仍可能较高。</w:t>
      </w:r>
    </w:p>
    <w:p w14:paraId="0C4D4F7D" w14:textId="77777777" w:rsidR="00606DE5" w:rsidRDefault="00000000">
      <w:pPr>
        <w:pStyle w:val="ac"/>
        <w:ind w:firstLine="480"/>
      </w:pPr>
      <w:r>
        <w:t>对于由原始数据换算得到的</w:t>
      </w:r>
      <w:r>
        <w:t xml:space="preserve"> EF </w:t>
      </w:r>
      <w:r>
        <w:t>和</w:t>
      </w:r>
      <w:r>
        <w:t xml:space="preserve"> YSE</w:t>
      </w:r>
      <w:r>
        <w:t>，本研究进一步利用误差传播原理计算其标准误。</w:t>
      </w:r>
      <w:r>
        <w:t xml:space="preserve">EF </w:t>
      </w:r>
      <w:r>
        <w:t>的标准误计算为：</w:t>
      </w:r>
    </w:p>
    <w:p w14:paraId="0CEF1CDF" w14:textId="77777777" w:rsidR="00606DE5" w:rsidRDefault="00606DE5">
      <w:pPr>
        <w:pStyle w:val="ac"/>
        <w:ind w:firstLine="48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606DE5" w14:paraId="2C27856D" w14:textId="77777777">
        <w:trPr>
          <w:trHeight w:val="1414"/>
        </w:trPr>
        <w:tc>
          <w:tcPr>
            <w:tcW w:w="2127" w:type="dxa"/>
          </w:tcPr>
          <w:p w14:paraId="4C333BCD" w14:textId="77777777" w:rsidR="00606DE5" w:rsidRDefault="00606DE5"/>
        </w:tc>
        <w:tc>
          <w:tcPr>
            <w:tcW w:w="5103" w:type="dxa"/>
          </w:tcPr>
          <w:p w14:paraId="648A086E" w14:textId="77777777" w:rsidR="00606DE5" w:rsidRDefault="00000000">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EF</m:t>
                    </m:r>
                  </m:sub>
                </m:sSub>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E</m:t>
                                    </m:r>
                                  </m:e>
                                  <m:sub>
                                    <m:r>
                                      <w:rPr>
                                        <w:rFonts w:ascii="Cambria Math" w:hAnsi="Cambria Math"/>
                                      </w:rPr>
                                      <m:t>N</m:t>
                                    </m:r>
                                  </m:sub>
                                </m:sSub>
                              </m:sub>
                              <m:sup>
                                <m:r>
                                  <m:rPr>
                                    <m:sty m:val="p"/>
                                  </m:rPr>
                                  <w:rPr>
                                    <w:rFonts w:ascii="Cambria Math" w:hAnsi="Cambria Math"/>
                                  </w:rPr>
                                  <m:t>2</m:t>
                                </m:r>
                              </m:sup>
                            </m:sSub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E</m:t>
                                    </m:r>
                                  </m:e>
                                  <m:sub>
                                    <m:r>
                                      <m:rPr>
                                        <m:sty m:val="p"/>
                                      </m:rPr>
                                      <w:rPr>
                                        <w:rFonts w:ascii="Cambria Math" w:hAnsi="Cambria Math"/>
                                      </w:rPr>
                                      <m:t>0</m:t>
                                    </m:r>
                                  </m:sub>
                                </m:sSub>
                              </m:sub>
                              <m:sup>
                                <m:r>
                                  <m:rPr>
                                    <m:sty m:val="p"/>
                                  </m:rPr>
                                  <w:rPr>
                                    <w:rFonts w:ascii="Cambria Math" w:hAnsi="Cambria Math"/>
                                  </w:rPr>
                                  <m:t>2</m:t>
                                </m:r>
                              </m:sup>
                            </m:sSubSup>
                          </m:e>
                        </m:rad>
                      </m:num>
                      <m:den>
                        <m:sSub>
                          <m:sSubPr>
                            <m:ctrlPr>
                              <w:rPr>
                                <w:rFonts w:ascii="Cambria Math" w:hAnsi="Cambria Math"/>
                              </w:rPr>
                            </m:ctrlPr>
                          </m:sSubPr>
                          <m:e>
                            <m:r>
                              <w:rPr>
                                <w:rFonts w:ascii="Cambria Math" w:hAnsi="Cambria Math"/>
                              </w:rPr>
                              <m:t>F</m:t>
                            </m:r>
                          </m:e>
                          <m:sub>
                            <m:r>
                              <w:rPr>
                                <w:rFonts w:ascii="Cambria Math" w:hAnsi="Cambria Math"/>
                              </w:rPr>
                              <m:t>N</m:t>
                            </m:r>
                          </m:sub>
                        </m:sSub>
                      </m:den>
                    </m:f>
                  </m:e>
                </m:d>
                <m:r>
                  <m:rPr>
                    <m:sty m:val="p"/>
                  </m:rPr>
                  <w:rPr>
                    <w:rFonts w:ascii="Cambria Math" w:hAnsi="Cambria Math"/>
                  </w:rPr>
                  <m:t>×100%</m:t>
                </m:r>
              </m:oMath>
            </m:oMathPara>
          </w:p>
        </w:tc>
        <w:tc>
          <w:tcPr>
            <w:tcW w:w="1718" w:type="dxa"/>
          </w:tcPr>
          <w:p w14:paraId="1E723F73" w14:textId="77777777" w:rsidR="00606DE5" w:rsidRDefault="00606DE5">
            <w:pPr>
              <w:pStyle w:val="ac"/>
              <w:ind w:firstLine="480"/>
              <w:jc w:val="right"/>
            </w:pPr>
          </w:p>
          <w:p w14:paraId="1FF8F04D" w14:textId="77777777" w:rsidR="00606DE5" w:rsidRDefault="00000000">
            <w:pPr>
              <w:pStyle w:val="ac"/>
              <w:ind w:firstLine="480"/>
              <w:jc w:val="right"/>
            </w:pPr>
            <w:r>
              <w:t>（</w:t>
            </w:r>
            <w:r>
              <w:t>2-</w:t>
            </w:r>
            <w:r>
              <w:rPr>
                <w:rFonts w:hint="eastAsia"/>
              </w:rPr>
              <w:t>3</w:t>
            </w:r>
            <w:r>
              <w:t>）</w:t>
            </w:r>
          </w:p>
        </w:tc>
      </w:tr>
    </w:tbl>
    <w:p w14:paraId="03367D12" w14:textId="77777777" w:rsidR="00606DE5" w:rsidRDefault="00606DE5">
      <w:pPr>
        <w:pStyle w:val="ac"/>
        <w:ind w:firstLineChars="83" w:firstLine="199"/>
      </w:pPr>
    </w:p>
    <w:p w14:paraId="5C68C02D" w14:textId="77777777" w:rsidR="00606DE5" w:rsidRDefault="00000000">
      <w:pPr>
        <w:pStyle w:val="ac"/>
        <w:ind w:firstLine="480"/>
      </w:pPr>
      <w:r>
        <w:t xml:space="preserve">YSE </w:t>
      </w:r>
      <w:r>
        <w:t>的标准误计算为：</w:t>
      </w:r>
    </w:p>
    <w:p w14:paraId="39A177BC" w14:textId="77777777" w:rsidR="00606DE5" w:rsidRDefault="00606DE5">
      <w:pPr>
        <w:rPr>
          <w:rFonts w:eastAsia="Cambria Math" w:cs="Cambria Math"/>
        </w:rPr>
      </w:pPr>
    </w:p>
    <w:tbl>
      <w:tblPr>
        <w:tblStyle w:val="a9"/>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3"/>
        <w:gridCol w:w="5143"/>
        <w:gridCol w:w="1731"/>
      </w:tblGrid>
      <w:tr w:rsidR="00606DE5" w14:paraId="108F117D" w14:textId="77777777">
        <w:trPr>
          <w:trHeight w:val="1024"/>
        </w:trPr>
        <w:tc>
          <w:tcPr>
            <w:tcW w:w="2143" w:type="dxa"/>
          </w:tcPr>
          <w:p w14:paraId="027B3BAC" w14:textId="77777777" w:rsidR="00606DE5" w:rsidRDefault="00606DE5"/>
        </w:tc>
        <w:tc>
          <w:tcPr>
            <w:tcW w:w="5143" w:type="dxa"/>
          </w:tcPr>
          <w:p w14:paraId="4CACD6D4" w14:textId="77777777" w:rsidR="00606DE5" w:rsidRDefault="00000000">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YSE</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E</m:t>
                                        </m:r>
                                      </m:e>
                                      <m:sub>
                                        <m:r>
                                          <w:rPr>
                                            <w:rFonts w:ascii="Cambria Math" w:hAnsi="Cambria Math"/>
                                          </w:rPr>
                                          <m:t>N</m:t>
                                        </m:r>
                                      </m:sub>
                                    </m:sSub>
                                  </m:sub>
                                </m:sSub>
                              </m:num>
                              <m:den>
                                <m:sSub>
                                  <m:sSubPr>
                                    <m:ctrlPr>
                                      <w:rPr>
                                        <w:rFonts w:ascii="Cambria Math" w:hAnsi="Cambria Math"/>
                                      </w:rPr>
                                    </m:ctrlPr>
                                  </m:sSubPr>
                                  <m:e>
                                    <m:r>
                                      <w:rPr>
                                        <w:rFonts w:ascii="Cambria Math" w:hAnsi="Cambria Math"/>
                                      </w:rPr>
                                      <m:t>Y</m:t>
                                    </m:r>
                                  </m:e>
                                  <m:sub>
                                    <m:r>
                                      <w:rPr>
                                        <w:rFonts w:ascii="Cambria Math" w:hAnsi="Cambria Math"/>
                                      </w:rPr>
                                      <m:t>N</m:t>
                                    </m:r>
                                  </m:sub>
                                </m:sSub>
                              </m:den>
                            </m:f>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N</m:t>
                                    </m:r>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Y</m:t>
                                        </m:r>
                                      </m:e>
                                      <m:sub>
                                        <m:r>
                                          <w:rPr>
                                            <w:rFonts w:ascii="Cambria Math" w:hAnsi="Cambria Math"/>
                                          </w:rPr>
                                          <m:t>N</m:t>
                                        </m:r>
                                      </m:sub>
                                    </m:sSub>
                                  </m:sub>
                                </m:sSub>
                              </m:num>
                              <m:den>
                                <m:sSubSup>
                                  <m:sSubSupPr>
                                    <m:ctrlPr>
                                      <w:rPr>
                                        <w:rFonts w:ascii="Cambria Math" w:hAnsi="Cambria Math"/>
                                      </w:rPr>
                                    </m:ctrlPr>
                                  </m:sSubSupPr>
                                  <m:e>
                                    <m:r>
                                      <w:rPr>
                                        <w:rFonts w:ascii="Cambria Math" w:hAnsi="Cambria Math"/>
                                      </w:rPr>
                                      <m:t>Y</m:t>
                                    </m:r>
                                  </m:e>
                                  <m:sub>
                                    <m:r>
                                      <w:rPr>
                                        <w:rFonts w:ascii="Cambria Math" w:hAnsi="Cambria Math"/>
                                      </w:rPr>
                                      <m:t>N</m:t>
                                    </m:r>
                                  </m:sub>
                                  <m:sup>
                                    <m:r>
                                      <m:rPr>
                                        <m:sty m:val="p"/>
                                      </m:rPr>
                                      <w:rPr>
                                        <w:rFonts w:ascii="Cambria Math" w:hAnsi="Cambria Math"/>
                                      </w:rPr>
                                      <m:t>2</m:t>
                                    </m:r>
                                  </m:sup>
                                </m:sSubSup>
                              </m:den>
                            </m:f>
                          </m:e>
                        </m:d>
                      </m:e>
                      <m:sup>
                        <m:r>
                          <m:rPr>
                            <m:sty m:val="p"/>
                          </m:rPr>
                          <w:rPr>
                            <w:rFonts w:ascii="Cambria Math" w:hAnsi="Cambria Math"/>
                          </w:rPr>
                          <m:t>2</m:t>
                        </m:r>
                      </m:sup>
                    </m:sSup>
                  </m:e>
                </m:rad>
              </m:oMath>
            </m:oMathPara>
          </w:p>
        </w:tc>
        <w:tc>
          <w:tcPr>
            <w:tcW w:w="1731" w:type="dxa"/>
          </w:tcPr>
          <w:p w14:paraId="1DBA5657" w14:textId="77777777" w:rsidR="00606DE5" w:rsidRDefault="00000000">
            <w:pPr>
              <w:pStyle w:val="ac"/>
              <w:ind w:firstLine="480"/>
              <w:jc w:val="right"/>
            </w:pPr>
            <w:r>
              <w:t>（</w:t>
            </w:r>
            <w:r>
              <w:t>2-</w:t>
            </w:r>
            <w:r>
              <w:rPr>
                <w:rFonts w:hint="eastAsia"/>
              </w:rPr>
              <w:t>4</w:t>
            </w:r>
            <w:r>
              <w:t>）</w:t>
            </w:r>
          </w:p>
        </w:tc>
      </w:tr>
    </w:tbl>
    <w:p w14:paraId="5B9E9FA2" w14:textId="77777777" w:rsidR="00606DE5" w:rsidRDefault="00606DE5">
      <w:pPr>
        <w:pStyle w:val="ac"/>
        <w:ind w:firstLineChars="0" w:firstLine="0"/>
      </w:pPr>
    </w:p>
    <w:p w14:paraId="6F5EDEAB" w14:textId="77777777" w:rsidR="00606DE5" w:rsidRDefault="00000000">
      <w:pPr>
        <w:pStyle w:val="ac"/>
        <w:ind w:firstLine="480"/>
      </w:pPr>
      <w:r>
        <w:t>式中，</w:t>
      </w:r>
      <w:r>
        <w:t>SE</w:t>
      </w:r>
      <w:r>
        <w:rPr>
          <w:vertAlign w:val="subscript"/>
        </w:rPr>
        <w:t>EN</w:t>
      </w:r>
      <w:r>
        <w:t xml:space="preserve"> </w:t>
      </w:r>
      <w:r>
        <w:t>和</w:t>
      </w:r>
      <w:r>
        <w:t xml:space="preserve"> SE</w:t>
      </w:r>
      <w:r>
        <w:rPr>
          <w:vertAlign w:val="subscript"/>
        </w:rPr>
        <w:t>E0</w:t>
      </w:r>
      <w:r>
        <w:t xml:space="preserve"> </w:t>
      </w:r>
      <w:r>
        <w:t>分别为施氮处理和对照处理</w:t>
      </w:r>
      <w:r>
        <w:t>N₂O</w:t>
      </w:r>
      <w:r>
        <w:t>排放量的标准误；</w:t>
      </w:r>
      <w:r>
        <w:t>SE</w:t>
      </w:r>
      <w:r>
        <w:rPr>
          <w:vertAlign w:val="subscript"/>
        </w:rPr>
        <w:t>YN</w:t>
      </w:r>
      <w:r>
        <w:t>为施氮处理作物产量的标准误。式（</w:t>
      </w:r>
      <w:r>
        <w:t>2-3</w:t>
      </w:r>
      <w:r>
        <w:t>）和式（</w:t>
      </w:r>
      <w:r>
        <w:t>2-4</w:t>
      </w:r>
      <w:r>
        <w:t>）的含义是：当一个指标由多个测量值共同计算得到时，其不确定性也会随原始测量误差共同传递，因此必须同步估计其误差范围，才能进行后续加权分析。</w:t>
      </w:r>
    </w:p>
    <w:p w14:paraId="259137A4" w14:textId="77777777" w:rsidR="00606DE5" w:rsidRDefault="00000000">
      <w:pPr>
        <w:pStyle w:val="ac"/>
        <w:ind w:firstLine="480"/>
      </w:pPr>
      <w:r>
        <w:t>当文献仅报告标准误而未报告标准差时，根据重复数进行转换：</w:t>
      </w:r>
    </w:p>
    <w:p w14:paraId="4F10493F" w14:textId="77777777" w:rsidR="00606DE5" w:rsidRDefault="00606DE5">
      <w:pPr>
        <w:pStyle w:val="ac"/>
        <w:ind w:firstLine="48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606DE5" w14:paraId="4C3EA18D" w14:textId="77777777">
        <w:tc>
          <w:tcPr>
            <w:tcW w:w="2127" w:type="dxa"/>
          </w:tcPr>
          <w:p w14:paraId="3ED6D858" w14:textId="77777777" w:rsidR="00606DE5" w:rsidRDefault="00606DE5">
            <w:pPr>
              <w:pStyle w:val="ac"/>
              <w:ind w:firstLineChars="0" w:firstLine="0"/>
            </w:pPr>
          </w:p>
        </w:tc>
        <w:tc>
          <w:tcPr>
            <w:tcW w:w="5103" w:type="dxa"/>
          </w:tcPr>
          <w:p w14:paraId="5336755E" w14:textId="77777777" w:rsidR="00606DE5" w:rsidRDefault="00000000">
            <w:pPr>
              <w:pStyle w:val="ac"/>
              <w:ind w:firstLine="480"/>
            </w:pPr>
            <m:oMathPara>
              <m:oMath>
                <m:r>
                  <w:rPr>
                    <w:rFonts w:ascii="Cambria Math" w:eastAsia="Cambria Math" w:hAnsi="Cambria Math" w:cs="Cambria Math"/>
                  </w:rPr>
                  <m:t>SD=SE×</m:t>
                </m:r>
                <m:rad>
                  <m:radPr>
                    <m:degHide m:val="1"/>
                    <m:ctrlPr>
                      <w:rPr>
                        <w:rFonts w:ascii="Cambria Math" w:eastAsia="Cambria Math" w:hAnsi="Cambria Math" w:cs="Cambria Math"/>
                      </w:rPr>
                    </m:ctrlPr>
                  </m:radPr>
                  <m:deg/>
                  <m:e>
                    <m:r>
                      <w:rPr>
                        <w:rFonts w:ascii="Cambria Math" w:eastAsia="Cambria Math" w:hAnsi="Cambria Math" w:cs="Cambria Math"/>
                      </w:rPr>
                      <m:t>n</m:t>
                    </m:r>
                  </m:e>
                </m:rad>
              </m:oMath>
            </m:oMathPara>
          </w:p>
        </w:tc>
        <w:tc>
          <w:tcPr>
            <w:tcW w:w="1718" w:type="dxa"/>
          </w:tcPr>
          <w:p w14:paraId="6B418956" w14:textId="77777777" w:rsidR="00606DE5" w:rsidRDefault="00000000">
            <w:pPr>
              <w:pStyle w:val="ac"/>
              <w:ind w:firstLineChars="0" w:firstLine="0"/>
              <w:jc w:val="right"/>
            </w:pPr>
            <w:r>
              <w:t>（</w:t>
            </w:r>
            <w:r>
              <w:t>2-</w:t>
            </w:r>
            <w:r>
              <w:rPr>
                <w:rFonts w:hint="eastAsia"/>
              </w:rPr>
              <w:t>5</w:t>
            </w:r>
            <w:r>
              <w:t>）</w:t>
            </w:r>
          </w:p>
        </w:tc>
      </w:tr>
    </w:tbl>
    <w:p w14:paraId="19C87B10" w14:textId="77777777" w:rsidR="00606DE5" w:rsidRDefault="00606DE5">
      <w:pPr>
        <w:pStyle w:val="ac"/>
        <w:ind w:firstLineChars="0" w:firstLine="0"/>
      </w:pPr>
    </w:p>
    <w:p w14:paraId="3B25CA50" w14:textId="273EDBFD" w:rsidR="00606DE5" w:rsidRDefault="00000000">
      <w:pPr>
        <w:pStyle w:val="ac"/>
        <w:ind w:firstLine="480"/>
      </w:pPr>
      <w:r>
        <w:t>式中，</w:t>
      </w:r>
      <w:r>
        <w:t>n</w:t>
      </w:r>
      <w:r>
        <w:t>为重复数。将</w:t>
      </w:r>
      <w:r>
        <w:t>SE</w:t>
      </w:r>
      <w:r>
        <w:t>统一转换为</w:t>
      </w:r>
      <w:r>
        <w:t xml:space="preserve">SD </w:t>
      </w:r>
      <w:r>
        <w:t>的目的是</w:t>
      </w:r>
      <w:r w:rsidR="00DD7D14">
        <w:rPr>
          <w:rFonts w:hint="eastAsia"/>
        </w:rPr>
        <w:t>为了</w:t>
      </w:r>
      <w:r>
        <w:t>保证不同研究在效应值计算和加权时使用一致的统计量。所有数据在录入数据库前均进行单位统一，例如将排放量统一为</w:t>
      </w:r>
      <w:r>
        <w:t xml:space="preserve"> kg N ha</w:t>
      </w:r>
      <w:r>
        <w:rPr>
          <w:rFonts w:ascii="Cambria Math" w:eastAsia="Cambria Math" w:hAnsi="Cambria Math" w:cs="Cambria Math"/>
        </w:rPr>
        <w:t>⁻</w:t>
      </w:r>
      <w:r>
        <w:t>¹</w:t>
      </w:r>
      <w:r>
        <w:t>、产量统一为</w:t>
      </w:r>
      <w:r>
        <w:t xml:space="preserve"> t ha</w:t>
      </w:r>
      <w:r>
        <w:rPr>
          <w:rFonts w:ascii="Cambria Math" w:eastAsia="Cambria Math" w:hAnsi="Cambria Math" w:cs="Cambria Math"/>
        </w:rPr>
        <w:t>⁻</w:t>
      </w:r>
      <w:r>
        <w:t>¹</w:t>
      </w:r>
      <w:r>
        <w:t>、施氮量统一为</w:t>
      </w:r>
      <w:r>
        <w:t xml:space="preserve"> kg N ha</w:t>
      </w:r>
      <w:r>
        <w:rPr>
          <w:rFonts w:ascii="Cambria Math" w:eastAsia="Cambria Math" w:hAnsi="Cambria Math" w:cs="Cambria Math"/>
        </w:rPr>
        <w:t>⁻</w:t>
      </w:r>
      <w:r>
        <w:t>¹</w:t>
      </w:r>
      <w:r>
        <w:t>，以避免单位差异导致的系统误差。</w:t>
      </w:r>
    </w:p>
    <w:p w14:paraId="33CF2D10" w14:textId="77777777" w:rsidR="00606DE5" w:rsidRDefault="00000000" w:rsidP="007C0CF3">
      <w:pPr>
        <w:pStyle w:val="ad"/>
        <w:spacing w:before="240" w:after="120"/>
      </w:pPr>
      <w:bookmarkStart w:id="27" w:name="_Toc229090861"/>
      <w:bookmarkStart w:id="28" w:name="_Toc229245525"/>
      <w:r>
        <w:t xml:space="preserve">2.3 </w:t>
      </w:r>
      <w:r>
        <w:t>统计分析方法</w:t>
      </w:r>
      <w:bookmarkEnd w:id="27"/>
      <w:bookmarkEnd w:id="28"/>
    </w:p>
    <w:p w14:paraId="2E009C06" w14:textId="2ED365F9" w:rsidR="00606DE5" w:rsidRDefault="00000000">
      <w:pPr>
        <w:pStyle w:val="ac"/>
        <w:ind w:firstLine="480"/>
      </w:pPr>
      <w:r>
        <w:t>描述统计与回归分析在</w:t>
      </w:r>
      <w:r>
        <w:t>R4.5.1</w:t>
      </w:r>
      <w:r w:rsidR="00DD7D14">
        <w:rPr>
          <w:rFonts w:hint="eastAsia"/>
        </w:rPr>
        <w:t>里</w:t>
      </w:r>
      <w:r>
        <w:t>完成，主要用于刻画黄土高原不同种植体系的基础排放特征及其对施氮量的响应关系。首先，在仅保留常规施肥处理的数据子集中，分别计算春玉米、冬小麦、春小麦和苹果园的产量、</w:t>
      </w:r>
      <w:r w:rsidRPr="00DD7D14">
        <w:rPr>
          <w:rFonts w:cs="Times New Roman"/>
        </w:rPr>
        <w:t>N</w:t>
      </w:r>
      <w:r w:rsidRPr="00DD7D14">
        <w:rPr>
          <w:rFonts w:eastAsia="Cambria Math" w:cs="Times New Roman"/>
        </w:rPr>
        <w:t>₂</w:t>
      </w:r>
      <w:r w:rsidRPr="00DD7D14">
        <w:rPr>
          <w:rFonts w:cs="Times New Roman"/>
        </w:rPr>
        <w:t>O</w:t>
      </w:r>
      <w:r>
        <w:t xml:space="preserve"> </w:t>
      </w:r>
      <w:r>
        <w:t>排放量、</w:t>
      </w:r>
      <w:r>
        <w:t>EF</w:t>
      </w:r>
      <w:r>
        <w:t>和</w:t>
      </w:r>
      <w:r>
        <w:t>YSE</w:t>
      </w:r>
      <w:r>
        <w:t>的均值、</w:t>
      </w:r>
      <w:r>
        <w:lastRenderedPageBreak/>
        <w:t>中位数以及变异系数（</w:t>
      </w:r>
      <w:r>
        <w:t>CV</w:t>
      </w:r>
      <w:r>
        <w:t>）。均值用于描述总体平均水平，中位数用于降低极端值的影响，</w:t>
      </w:r>
      <w:r>
        <w:t xml:space="preserve">CV </w:t>
      </w:r>
      <w:r>
        <w:t>用于比较不同作物体系之间的相对离散程度。</w:t>
      </w:r>
    </w:p>
    <w:p w14:paraId="686E6A85" w14:textId="7EFBC6E9" w:rsidR="00606DE5" w:rsidRDefault="00000000">
      <w:pPr>
        <w:pStyle w:val="ac"/>
        <w:ind w:firstLine="480"/>
      </w:pPr>
      <w:r>
        <w:t>其次，采用</w:t>
      </w:r>
      <w:r>
        <w:t>Kolmogorov-Smirnov</w:t>
      </w:r>
      <w:r>
        <w:t>检验判断各数据序列是否服从正态分布或对数正态分布；再采用双样本</w:t>
      </w:r>
      <w:r>
        <w:t>Kolmogorov-Smirnov</w:t>
      </w:r>
      <w:r>
        <w:t>检验比较不同种植体系之间分布差异是否显著。之所以同时考虑正态与对数正态分布，是因为农田</w:t>
      </w:r>
      <w:r w:rsidRPr="00DD7D14">
        <w:rPr>
          <w:rFonts w:cs="Times New Roman"/>
        </w:rPr>
        <w:t>N</w:t>
      </w:r>
      <w:r w:rsidRPr="00DD7D14">
        <w:rPr>
          <w:rFonts w:eastAsia="Cambria Math" w:cs="Times New Roman"/>
        </w:rPr>
        <w:t>₂</w:t>
      </w:r>
      <w:r w:rsidRPr="00DD7D14">
        <w:rPr>
          <w:rFonts w:cs="Times New Roman"/>
        </w:rPr>
        <w:t xml:space="preserve">O </w:t>
      </w:r>
      <w:r>
        <w:t>排放常呈现明显右偏特征，直接使用原始值可能夸大少数高排放样本的影响。</w:t>
      </w:r>
    </w:p>
    <w:p w14:paraId="6EF95012" w14:textId="62FAACEE" w:rsidR="00606DE5" w:rsidRDefault="00000000">
      <w:pPr>
        <w:pStyle w:val="ac"/>
        <w:ind w:firstLine="480"/>
      </w:pPr>
      <w:r>
        <w:t>进一步地，为量化施氮量对产量和</w:t>
      </w:r>
      <w:r w:rsidRPr="00DD7D14">
        <w:rPr>
          <w:rFonts w:cs="Times New Roman"/>
        </w:rPr>
        <w:t xml:space="preserve"> N</w:t>
      </w:r>
      <w:r w:rsidRPr="00DD7D14">
        <w:rPr>
          <w:rFonts w:eastAsia="Cambria Math" w:cs="Times New Roman"/>
        </w:rPr>
        <w:t>₂</w:t>
      </w:r>
      <w:r w:rsidRPr="00DD7D14">
        <w:rPr>
          <w:rFonts w:cs="Times New Roman"/>
        </w:rPr>
        <w:t>O</w:t>
      </w:r>
      <w:r>
        <w:t>排放的影响，本研究拟合两类响应模型。对于</w:t>
      </w:r>
      <w:r w:rsidRPr="00DD7D14">
        <w:rPr>
          <w:rFonts w:cs="Times New Roman"/>
        </w:rPr>
        <w:t>N</w:t>
      </w:r>
      <w:r w:rsidRPr="00DD7D14">
        <w:rPr>
          <w:rFonts w:eastAsia="Cambria Math" w:cs="Times New Roman"/>
        </w:rPr>
        <w:t>₂</w:t>
      </w:r>
      <w:r w:rsidRPr="00DD7D14">
        <w:rPr>
          <w:rFonts w:cs="Times New Roman"/>
        </w:rPr>
        <w:t>O</w:t>
      </w:r>
      <w:r>
        <w:t>排放量，采用线性模型：</w:t>
      </w:r>
    </w:p>
    <w:p w14:paraId="6D81C7FC" w14:textId="77777777" w:rsidR="00606DE5" w:rsidRDefault="00606DE5">
      <w:pPr>
        <w:pStyle w:val="ac"/>
        <w:ind w:firstLine="48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606DE5" w14:paraId="04EC5BBE" w14:textId="77777777">
        <w:tc>
          <w:tcPr>
            <w:tcW w:w="2127" w:type="dxa"/>
          </w:tcPr>
          <w:p w14:paraId="26E1FBB8" w14:textId="77777777" w:rsidR="00606DE5" w:rsidRDefault="00606DE5">
            <w:pPr>
              <w:pStyle w:val="ac"/>
              <w:ind w:firstLineChars="0" w:firstLine="0"/>
            </w:pPr>
            <w:bookmarkStart w:id="29" w:name="OLE_LINK19"/>
          </w:p>
        </w:tc>
        <w:tc>
          <w:tcPr>
            <w:tcW w:w="5103" w:type="dxa"/>
          </w:tcPr>
          <w:p w14:paraId="46828E58" w14:textId="77777777" w:rsidR="00606DE5" w:rsidRDefault="00000000">
            <w:pPr>
              <w:pStyle w:val="ac"/>
              <w:ind w:firstLine="480"/>
              <w:rPr>
                <w:rFonts w:ascii="Cambria Math" w:eastAsia="Cambria Math" w:hAnsi="Cambria Math" w:cs="Cambria Math"/>
                <w:i/>
              </w:rPr>
            </w:pPr>
            <m:oMathPara>
              <m:oMath>
                <m:r>
                  <w:rPr>
                    <w:rFonts w:ascii="Cambria Math" w:eastAsia="Cambria Math" w:hAnsi="Cambria Math" w:cs="Cambria Math"/>
                  </w:rPr>
                  <m:t>E=a+b</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N</m:t>
                    </m:r>
                  </m:sub>
                </m:sSub>
              </m:oMath>
            </m:oMathPara>
          </w:p>
        </w:tc>
        <w:tc>
          <w:tcPr>
            <w:tcW w:w="1718" w:type="dxa"/>
          </w:tcPr>
          <w:p w14:paraId="199BB145" w14:textId="77777777" w:rsidR="00606DE5" w:rsidRDefault="00000000">
            <w:pPr>
              <w:pStyle w:val="ac"/>
              <w:ind w:firstLineChars="0" w:firstLine="0"/>
              <w:jc w:val="right"/>
            </w:pPr>
            <w:r>
              <w:t>（</w:t>
            </w:r>
            <w:r>
              <w:t>2-</w:t>
            </w:r>
            <w:r>
              <w:rPr>
                <w:rFonts w:hint="eastAsia"/>
              </w:rPr>
              <w:t>6</w:t>
            </w:r>
            <w:r>
              <w:t>）</w:t>
            </w:r>
          </w:p>
        </w:tc>
      </w:tr>
      <w:bookmarkEnd w:id="29"/>
    </w:tbl>
    <w:p w14:paraId="7A8839EC" w14:textId="77777777" w:rsidR="00606DE5" w:rsidRDefault="00606DE5">
      <w:pPr>
        <w:pStyle w:val="ac"/>
        <w:ind w:firstLineChars="0" w:firstLine="0"/>
      </w:pPr>
    </w:p>
    <w:p w14:paraId="572311E3" w14:textId="77777777" w:rsidR="00606DE5" w:rsidRDefault="00000000">
      <w:pPr>
        <w:pStyle w:val="ac"/>
        <w:ind w:firstLine="480"/>
      </w:pPr>
      <w:r>
        <w:t>式中，</w:t>
      </w:r>
      <w:r>
        <w:t>E</w:t>
      </w:r>
      <w:r>
        <w:t>为累积</w:t>
      </w:r>
      <w:r>
        <w:t>N₂O</w:t>
      </w:r>
      <w:r>
        <w:t>排放量；</w:t>
      </w:r>
      <w:r>
        <w:t xml:space="preserve">N </w:t>
      </w:r>
      <w:r>
        <w:t>为施氮量；</w:t>
      </w:r>
      <w:r>
        <w:t>a</w:t>
      </w:r>
      <w:r>
        <w:t>为背景排放，即在不施氮条件下土壤</w:t>
      </w:r>
      <w:r>
        <w:t>—</w:t>
      </w:r>
      <w:r>
        <w:t>作物系统的本底</w:t>
      </w:r>
      <w:r>
        <w:t>N₂O</w:t>
      </w:r>
      <w:r>
        <w:t>排放水平；</w:t>
      </w:r>
      <w:r>
        <w:t>b</w:t>
      </w:r>
      <w:r>
        <w:t>为排放系数，表示单位施氮所导致的额外排放增量。</w:t>
      </w:r>
      <w:r>
        <w:t>a</w:t>
      </w:r>
      <w:r>
        <w:t>和</w:t>
      </w:r>
      <w:r>
        <w:t>b</w:t>
      </w:r>
      <w:r>
        <w:t>分别对应</w:t>
      </w:r>
      <w:r>
        <w:t>”</w:t>
      </w:r>
      <w:r>
        <w:t>零投入条件下的排放基线</w:t>
      </w:r>
      <w:r>
        <w:t>”</w:t>
      </w:r>
      <w:r>
        <w:t>和</w:t>
      </w:r>
      <w:r>
        <w:t>”</w:t>
      </w:r>
      <w:r>
        <w:t>施肥敏感性</w:t>
      </w:r>
      <w:r>
        <w:t>”</w:t>
      </w:r>
      <w:r>
        <w:t>。</w:t>
      </w:r>
    </w:p>
    <w:p w14:paraId="777214BE" w14:textId="77777777" w:rsidR="00606DE5" w:rsidRDefault="00000000">
      <w:pPr>
        <w:pStyle w:val="ac"/>
        <w:ind w:firstLine="480"/>
      </w:pPr>
      <w:r>
        <w:t>对于作物产量，采用二次多项式模型：</w:t>
      </w:r>
    </w:p>
    <w:p w14:paraId="6E92B0B6" w14:textId="77777777" w:rsidR="00606DE5" w:rsidRDefault="00606DE5">
      <w:pPr>
        <w:pStyle w:val="ac"/>
        <w:ind w:firstLineChars="83" w:firstLine="199"/>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606DE5" w14:paraId="3FDD0C51" w14:textId="77777777">
        <w:tc>
          <w:tcPr>
            <w:tcW w:w="2127" w:type="dxa"/>
          </w:tcPr>
          <w:p w14:paraId="0C922158" w14:textId="77777777" w:rsidR="00606DE5" w:rsidRDefault="00606DE5">
            <w:pPr>
              <w:pStyle w:val="ac"/>
              <w:ind w:firstLineChars="0" w:firstLine="0"/>
            </w:pPr>
          </w:p>
        </w:tc>
        <w:tc>
          <w:tcPr>
            <w:tcW w:w="5103" w:type="dxa"/>
          </w:tcPr>
          <w:p w14:paraId="5D15DDBF" w14:textId="77777777" w:rsidR="00606DE5" w:rsidRDefault="00000000">
            <w:pPr>
              <w:pStyle w:val="ac"/>
              <w:ind w:firstLine="480"/>
              <w:rPr>
                <w:rFonts w:ascii="Cambria Math" w:eastAsia="Cambria Math" w:hAnsi="Cambria Math" w:cs="Cambria Math"/>
                <w:i/>
              </w:rPr>
            </w:pPr>
            <m:oMathPara>
              <m:oMath>
                <m:r>
                  <w:rPr>
                    <w:rFonts w:ascii="Cambria Math" w:eastAsia="Cambria Math" w:hAnsi="Cambria Math" w:cs="Cambria Math"/>
                  </w:rPr>
                  <m:t>Y=</m:t>
                </m:r>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0</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1</m:t>
                    </m:r>
                  </m:sub>
                </m:sSub>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2</m:t>
                    </m:r>
                  </m:sub>
                </m:sSub>
                <m:sSubSup>
                  <m:sSubSupPr>
                    <m:ctrlPr>
                      <w:rPr>
                        <w:rFonts w:ascii="Cambria Math" w:eastAsia="Cambria Math" w:hAnsi="Cambria Math" w:cs="Cambria Math"/>
                      </w:rPr>
                    </m:ctrlPr>
                  </m:sSubSupPr>
                  <m:e>
                    <m:r>
                      <w:rPr>
                        <w:rFonts w:ascii="Cambria Math" w:eastAsia="Cambria Math" w:hAnsi="Cambria Math" w:cs="Cambria Math"/>
                      </w:rPr>
                      <m:t>F</m:t>
                    </m:r>
                  </m:e>
                  <m:sub>
                    <m:r>
                      <w:rPr>
                        <w:rFonts w:ascii="Cambria Math" w:eastAsia="Cambria Math" w:hAnsi="Cambria Math" w:cs="Cambria Math"/>
                      </w:rPr>
                      <m:t>N</m:t>
                    </m:r>
                  </m:sub>
                  <m:sup>
                    <m:r>
                      <w:rPr>
                        <w:rFonts w:ascii="Cambria Math" w:eastAsia="Cambria Math" w:hAnsi="Cambria Math" w:cs="Cambria Math"/>
                      </w:rPr>
                      <m:t>2</m:t>
                    </m:r>
                  </m:sup>
                </m:sSubSup>
              </m:oMath>
            </m:oMathPara>
          </w:p>
        </w:tc>
        <w:tc>
          <w:tcPr>
            <w:tcW w:w="1718" w:type="dxa"/>
          </w:tcPr>
          <w:p w14:paraId="2AE8CBBE" w14:textId="77777777" w:rsidR="00606DE5" w:rsidRDefault="00000000">
            <w:pPr>
              <w:pStyle w:val="ac"/>
              <w:ind w:firstLineChars="0" w:firstLine="0"/>
              <w:jc w:val="right"/>
            </w:pPr>
            <w:r>
              <w:t>（</w:t>
            </w:r>
            <w:r>
              <w:t>2-</w:t>
            </w:r>
            <w:r>
              <w:rPr>
                <w:rFonts w:hint="eastAsia"/>
              </w:rPr>
              <w:t>7</w:t>
            </w:r>
            <w:r>
              <w:t>）</w:t>
            </w:r>
          </w:p>
        </w:tc>
      </w:tr>
    </w:tbl>
    <w:p w14:paraId="1E2E6688" w14:textId="77777777" w:rsidR="00606DE5" w:rsidRDefault="00606DE5">
      <w:pPr>
        <w:pStyle w:val="ac"/>
        <w:ind w:firstLineChars="0" w:firstLine="0"/>
        <w:rPr>
          <w:b/>
          <w:bCs/>
        </w:rPr>
      </w:pPr>
    </w:p>
    <w:p w14:paraId="7520207B" w14:textId="77777777" w:rsidR="00606DE5" w:rsidRDefault="00000000">
      <w:pPr>
        <w:pStyle w:val="ac"/>
        <w:ind w:firstLine="480"/>
      </w:pPr>
      <w:r>
        <w:t>式中，</w:t>
      </w:r>
      <w:r>
        <w:t xml:space="preserve">Y </w:t>
      </w:r>
      <w:r>
        <w:t>为作物产量；</w:t>
      </w:r>
      <w:r>
        <w:t>β_0</w:t>
      </w:r>
      <w:r>
        <w:t>、</w:t>
      </w:r>
      <w:r>
        <w:t xml:space="preserve">β_1 </w:t>
      </w:r>
      <w:r>
        <w:t>和</w:t>
      </w:r>
      <w:r>
        <w:t xml:space="preserve"> β_2 </w:t>
      </w:r>
      <w:r>
        <w:t>为回归系数。当</w:t>
      </w:r>
      <w:r>
        <w:t xml:space="preserve"> β_2 &lt; 0 </w:t>
      </w:r>
      <w:r>
        <w:t>时，说明产量对施氮量呈</w:t>
      </w:r>
      <w:r>
        <w:t>”</w:t>
      </w:r>
      <w:r>
        <w:t>先增后降</w:t>
      </w:r>
      <w:r>
        <w:t>”</w:t>
      </w:r>
      <w:r>
        <w:t>或</w:t>
      </w:r>
      <w:r>
        <w:t>”</w:t>
      </w:r>
      <w:r>
        <w:t>增幅递减</w:t>
      </w:r>
      <w:r>
        <w:t>”</w:t>
      </w:r>
      <w:r>
        <w:t>的典型响应关系。由此可进一步求得农学最优施氮量（</w:t>
      </w:r>
      <w:r>
        <w:t>AONR</w:t>
      </w:r>
      <w:r>
        <w:t>）：</w:t>
      </w:r>
    </w:p>
    <w:p w14:paraId="6C8B0DE9" w14:textId="77777777" w:rsidR="00606DE5" w:rsidRDefault="00606DE5">
      <w:pPr>
        <w:jc w:val="center"/>
      </w:pPr>
    </w:p>
    <w:tbl>
      <w:tblPr>
        <w:tblStyle w:val="a9"/>
        <w:tblW w:w="92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2"/>
        <w:gridCol w:w="5264"/>
        <w:gridCol w:w="1770"/>
      </w:tblGrid>
      <w:tr w:rsidR="00606DE5" w14:paraId="5ED4451D" w14:textId="77777777">
        <w:trPr>
          <w:trHeight w:val="187"/>
        </w:trPr>
        <w:tc>
          <w:tcPr>
            <w:tcW w:w="2192" w:type="dxa"/>
          </w:tcPr>
          <w:p w14:paraId="2DA18DD2" w14:textId="77777777" w:rsidR="00606DE5" w:rsidRDefault="00606DE5">
            <w:pPr>
              <w:pStyle w:val="ac"/>
              <w:ind w:firstLineChars="0" w:firstLine="0"/>
            </w:pPr>
          </w:p>
        </w:tc>
        <w:tc>
          <w:tcPr>
            <w:tcW w:w="5264" w:type="dxa"/>
          </w:tcPr>
          <w:p w14:paraId="29CA739A" w14:textId="77777777" w:rsidR="00606DE5" w:rsidRDefault="00000000">
            <w:pPr>
              <w:rPr>
                <w:rFonts w:eastAsia="Cambria Math" w:cs="Cambria Math"/>
                <w:i/>
              </w:rPr>
            </w:pPr>
            <m:oMathPara>
              <m:oMath>
                <m:r>
                  <w:rPr>
                    <w:rFonts w:ascii="Cambria Math" w:hAnsi="Cambria Math"/>
                  </w:rPr>
                  <m:t>AONR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m:rPr>
                            <m:sty m:val="p"/>
                          </m:rPr>
                          <w:rPr>
                            <w:rFonts w:ascii="Cambria Math" w:hAnsi="Cambria Math"/>
                          </w:rPr>
                          <m:t>1</m:t>
                        </m:r>
                      </m:sub>
                    </m:sSub>
                  </m:num>
                  <m:den>
                    <m:r>
                      <m:rPr>
                        <m:sty m:val="p"/>
                      </m:rPr>
                      <w:rPr>
                        <w:rFonts w:ascii="Cambria Math" w:hAnsi="Cambria Math"/>
                      </w:rPr>
                      <m:t>2</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den>
                </m:f>
              </m:oMath>
            </m:oMathPara>
          </w:p>
        </w:tc>
        <w:tc>
          <w:tcPr>
            <w:tcW w:w="1770" w:type="dxa"/>
          </w:tcPr>
          <w:p w14:paraId="56C1AB44" w14:textId="77777777" w:rsidR="00606DE5" w:rsidRDefault="00000000">
            <w:pPr>
              <w:pStyle w:val="ac"/>
              <w:ind w:firstLineChars="0" w:firstLine="0"/>
              <w:jc w:val="right"/>
            </w:pPr>
            <w:r>
              <w:t>（</w:t>
            </w:r>
            <w:r>
              <w:t>2-</w:t>
            </w:r>
            <w:r>
              <w:rPr>
                <w:rFonts w:hint="eastAsia"/>
              </w:rPr>
              <w:t>8</w:t>
            </w:r>
            <w:r>
              <w:t>）</w:t>
            </w:r>
          </w:p>
        </w:tc>
      </w:tr>
    </w:tbl>
    <w:p w14:paraId="106C5B94" w14:textId="77777777" w:rsidR="00606DE5" w:rsidRDefault="00606DE5">
      <w:pPr>
        <w:pStyle w:val="ac"/>
        <w:ind w:firstLineChars="0" w:firstLine="0"/>
      </w:pPr>
    </w:p>
    <w:p w14:paraId="280201C7" w14:textId="77777777" w:rsidR="00606DE5" w:rsidRDefault="00000000">
      <w:pPr>
        <w:pStyle w:val="ac"/>
        <w:ind w:firstLine="480"/>
      </w:pPr>
      <w:r>
        <w:t>将式（</w:t>
      </w:r>
      <w:r>
        <w:t>2-8</w:t>
      </w:r>
      <w:r>
        <w:t>）代回式（</w:t>
      </w:r>
      <w:r>
        <w:t>2-7</w:t>
      </w:r>
      <w:r>
        <w:t>），即可得到对应的理论最高产量。需要说明的是，为避免生物炭或增效肥料等附加措施对施氮响应关系造成混杂干扰，拟合施氮</w:t>
      </w:r>
      <w:r>
        <w:t>—</w:t>
      </w:r>
      <w:r>
        <w:t>产量和施氮</w:t>
      </w:r>
      <w:r>
        <w:t>—</w:t>
      </w:r>
      <w:r>
        <w:t>排放关系时，剔除含生物炭或增效肥料的处理，仅使用常规施氮数据进行分析。</w:t>
      </w:r>
    </w:p>
    <w:p w14:paraId="700AEDEE" w14:textId="77777777" w:rsidR="00606DE5" w:rsidRDefault="00000000">
      <w:pPr>
        <w:pStyle w:val="ac"/>
        <w:ind w:firstLine="480"/>
      </w:pPr>
      <w:r>
        <w:t>在具体操作上，</w:t>
      </w:r>
      <w:r>
        <w:t>R</w:t>
      </w:r>
      <w:r>
        <w:t>分析流程包括：导入整理后的</w:t>
      </w:r>
      <w:r>
        <w:t>CSV</w:t>
      </w:r>
      <w:r>
        <w:t>数据表；核对变量类型与单位；按作物类型筛选常规施肥子集；使用基础统计函数计算均值、中位数和</w:t>
      </w:r>
      <w:r>
        <w:t>CV</w:t>
      </w:r>
      <w:r>
        <w:t>；利用分布检验函数判断数据分布类型；随后分别建立线性回归模型和二次回归模型，并通过显著性检验判断模型是否成立；最后提取斜率、截距、最优施氮量和理论最大产量等参数，用于结果部分制图和讨论。</w:t>
      </w:r>
    </w:p>
    <w:p w14:paraId="6E56BDF7" w14:textId="77777777" w:rsidR="00606DE5" w:rsidRDefault="00000000" w:rsidP="007C0CF3">
      <w:pPr>
        <w:pStyle w:val="ad"/>
        <w:spacing w:before="240" w:after="120"/>
      </w:pPr>
      <w:bookmarkStart w:id="30" w:name="_Toc229090862"/>
      <w:bookmarkStart w:id="31" w:name="_Toc229245526"/>
      <w:r>
        <w:lastRenderedPageBreak/>
        <w:t>2.4 Meta</w:t>
      </w:r>
      <w:r>
        <w:t>分析方法</w:t>
      </w:r>
      <w:bookmarkEnd w:id="30"/>
      <w:bookmarkEnd w:id="31"/>
    </w:p>
    <w:p w14:paraId="10C2AC56" w14:textId="77777777" w:rsidR="00606DE5" w:rsidRDefault="00000000">
      <w:pPr>
        <w:pStyle w:val="ac"/>
        <w:ind w:firstLine="480"/>
      </w:pPr>
      <w:r>
        <w:t>在管理措施效应评价中，本研究采用成对比较（</w:t>
      </w:r>
      <w:r>
        <w:t>pairwise meta-analysis</w:t>
      </w:r>
      <w:r>
        <w:t>）框架。比较类型包括：有机物料投入与全化学氮肥对比、覆盖处理与裸地对比、生物炭添加与常规施肥对比、增效肥料与常规肥料对比，以及减量施氮与常规全量施氮对比。其中，减氮比例在各研究中波动较大，因此进一步划分为</w:t>
      </w:r>
      <w:r>
        <w:t xml:space="preserve"> &lt;25%</w:t>
      </w:r>
      <w:r>
        <w:t>、</w:t>
      </w:r>
      <w:r>
        <w:t xml:space="preserve">25%–50% </w:t>
      </w:r>
      <w:r>
        <w:t>和</w:t>
      </w:r>
      <w:r>
        <w:t xml:space="preserve"> &gt;50% </w:t>
      </w:r>
      <w:r>
        <w:t>三个梯度，并仅对有效效应量不少于</w:t>
      </w:r>
      <w:r>
        <w:t xml:space="preserve"> 3 </w:t>
      </w:r>
      <w:r>
        <w:t>个且来源文献不少于</w:t>
      </w:r>
      <w:r>
        <w:t xml:space="preserve"> 3 </w:t>
      </w:r>
      <w:r>
        <w:t>篇的亚组进行合并解释。除减氮处理外，其余管理措施通常在相同施氮水平下进行处理</w:t>
      </w:r>
      <w:r>
        <w:t>—</w:t>
      </w:r>
      <w:r>
        <w:t>对照比较，从而使效应值更能反映措施本身的净效应。</w:t>
      </w:r>
    </w:p>
    <w:p w14:paraId="175A1F9C" w14:textId="77777777" w:rsidR="00606DE5" w:rsidRDefault="00000000">
      <w:pPr>
        <w:pStyle w:val="ac"/>
        <w:ind w:firstLine="480"/>
      </w:pPr>
      <w:r>
        <w:t>对于</w:t>
      </w:r>
      <w:r>
        <w:t>N₂O</w:t>
      </w:r>
      <w:r>
        <w:t>排放量、作物产量和产量尺度排放，本研究采用响应比自然对数</w:t>
      </w:r>
      <w:r>
        <w:t xml:space="preserve"> </w:t>
      </w:r>
      <w:proofErr w:type="spellStart"/>
      <w:r>
        <w:t>lnRR</w:t>
      </w:r>
      <w:proofErr w:type="spellEnd"/>
      <w:r>
        <w:t xml:space="preserve"> </w:t>
      </w:r>
      <w:r>
        <w:t>作为效应值：</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4961"/>
        <w:gridCol w:w="1860"/>
      </w:tblGrid>
      <w:tr w:rsidR="00606DE5" w14:paraId="55793241" w14:textId="77777777">
        <w:trPr>
          <w:trHeight w:val="287"/>
        </w:trPr>
        <w:tc>
          <w:tcPr>
            <w:tcW w:w="2127" w:type="dxa"/>
          </w:tcPr>
          <w:p w14:paraId="777B5845" w14:textId="77777777" w:rsidR="00606DE5" w:rsidRDefault="00606DE5">
            <w:pPr>
              <w:pStyle w:val="ac"/>
              <w:ind w:firstLineChars="0" w:firstLine="0"/>
            </w:pPr>
          </w:p>
        </w:tc>
        <w:tc>
          <w:tcPr>
            <w:tcW w:w="4961" w:type="dxa"/>
          </w:tcPr>
          <w:p w14:paraId="51F63C89" w14:textId="77777777" w:rsidR="00606DE5" w:rsidRDefault="00000000">
            <w:pPr>
              <w:pStyle w:val="ac"/>
              <w:ind w:firstLine="480"/>
            </w:pPr>
            <m:oMathPara>
              <m:oMath>
                <m:r>
                  <w:rPr>
                    <w:rFonts w:ascii="Cambria Math" w:hAnsi="Cambria Math"/>
                  </w:rPr>
                  <m:t>lnRR</m:t>
                </m:r>
                <m:r>
                  <m:rPr>
                    <m:sty m:val="p"/>
                  </m:rPr>
                  <w:rPr>
                    <w:rFonts w:ascii="Cambria Math" w:hAnsi="Cambria Math"/>
                  </w:rPr>
                  <m:t>=</m:t>
                </m:r>
                <m:r>
                  <w:rPr>
                    <w:rFonts w:ascii="Cambria Math" w:hAnsi="Cambria Math"/>
                  </w:rPr>
                  <m:t>ln</m:t>
                </m:r>
                <m:r>
                  <m:rPr>
                    <m:sty m:val="p"/>
                  </m:rPr>
                  <w:rPr>
                    <w:rFonts w:ascii="Cambria Math" w:hAnsi="Cambria Math"/>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t</m:t>
                    </m:r>
                  </m:sub>
                </m:sSub>
                <m:r>
                  <m:rPr>
                    <m:sty m:val="p"/>
                  </m:rPr>
                  <w:rPr>
                    <w:rFonts w:ascii="Cambria Math" w:hAnsi="Cambria Math"/>
                  </w:rPr>
                  <m:t>)-</m:t>
                </m:r>
                <m:r>
                  <w:rPr>
                    <w:rFonts w:ascii="Cambria Math" w:hAnsi="Cambria Math"/>
                  </w:rPr>
                  <m:t>ln</m:t>
                </m:r>
                <m:r>
                  <m:rPr>
                    <m:sty m:val="p"/>
                  </m:rPr>
                  <w:rPr>
                    <w:rFonts w:ascii="Cambria Math" w:hAnsi="Cambria Math"/>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c</m:t>
                    </m:r>
                  </m:sub>
                </m:sSub>
                <m:r>
                  <m:rPr>
                    <m:sty m:val="p"/>
                  </m:rPr>
                  <w:rPr>
                    <w:rFonts w:ascii="Cambria Math" w:hAnsi="Cambria Math"/>
                  </w:rPr>
                  <m:t>)</m:t>
                </m:r>
              </m:oMath>
            </m:oMathPara>
          </w:p>
        </w:tc>
        <w:tc>
          <w:tcPr>
            <w:tcW w:w="1860" w:type="dxa"/>
          </w:tcPr>
          <w:p w14:paraId="6E7D3C24" w14:textId="77777777" w:rsidR="00606DE5" w:rsidRDefault="00000000">
            <w:pPr>
              <w:pStyle w:val="ac"/>
              <w:ind w:firstLineChars="0" w:firstLine="0"/>
              <w:jc w:val="right"/>
            </w:pPr>
            <w:r>
              <w:t xml:space="preserve">   </w:t>
            </w:r>
            <w:r>
              <w:t>（</w:t>
            </w:r>
            <w:r>
              <w:t>2-</w:t>
            </w:r>
            <w:r>
              <w:rPr>
                <w:rFonts w:hint="eastAsia"/>
              </w:rPr>
              <w:t>9</w:t>
            </w:r>
            <w:r>
              <w:t>）</w:t>
            </w:r>
          </w:p>
        </w:tc>
      </w:tr>
    </w:tbl>
    <w:p w14:paraId="2589C726" w14:textId="77777777" w:rsidR="00606DE5" w:rsidRDefault="00606DE5">
      <w:pPr>
        <w:pStyle w:val="ac"/>
        <w:ind w:firstLineChars="83" w:firstLine="199"/>
      </w:pPr>
    </w:p>
    <w:p w14:paraId="31A9C6FC" w14:textId="77777777" w:rsidR="00606DE5" w:rsidRDefault="00000000">
      <w:pPr>
        <w:pStyle w:val="ac"/>
        <w:ind w:firstLine="480"/>
      </w:pPr>
      <w:r>
        <w:t>式中，</w:t>
      </w:r>
      <m:oMath>
        <m:sSub>
          <m:sSubPr>
            <m:ctrlPr>
              <w:rPr>
                <w:rFonts w:ascii="Cambria Math" w:eastAsia="Cambria Math" w:hAnsi="Cambria Math" w:cs="Cambria Math"/>
                <w:sz w:val="22"/>
                <w:szCs w:val="22"/>
              </w:rPr>
            </m:ctrlPr>
          </m:sSubPr>
          <m:e>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X</m:t>
                </m:r>
              </m:e>
            </m:acc>
          </m:e>
          <m:sub>
            <m:r>
              <w:rPr>
                <w:rFonts w:ascii="Cambria Math" w:eastAsia="Cambria Math" w:hAnsi="Cambria Math" w:cs="Cambria Math"/>
                <w:sz w:val="22"/>
                <w:szCs w:val="22"/>
              </w:rPr>
              <m:t>t</m:t>
            </m:r>
          </m:sub>
        </m:sSub>
      </m:oMath>
      <w:r>
        <w:t>为处理组均值，</w:t>
      </w:r>
      <m:oMath>
        <m:sSub>
          <m:sSubPr>
            <m:ctrlPr>
              <w:rPr>
                <w:rFonts w:ascii="Cambria Math" w:eastAsia="Cambria Math" w:hAnsi="Cambria Math" w:cs="Cambria Math"/>
                <w:sz w:val="22"/>
                <w:szCs w:val="22"/>
              </w:rPr>
            </m:ctrlPr>
          </m:sSubPr>
          <m:e>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X</m:t>
                </m:r>
              </m:e>
            </m:acc>
          </m:e>
          <m:sub>
            <m:r>
              <w:rPr>
                <w:rFonts w:ascii="Cambria Math" w:eastAsia="Cambria Math" w:hAnsi="Cambria Math" w:cs="Cambria Math"/>
                <w:sz w:val="22"/>
                <w:szCs w:val="22"/>
              </w:rPr>
              <m:t>c</m:t>
            </m:r>
          </m:sub>
        </m:sSub>
      </m:oMath>
      <w:r>
        <w:t>为对照组均值。</w:t>
      </w:r>
      <m:oMath>
        <m:box>
          <m:boxPr>
            <m:opEmu m:val="1"/>
            <m:ctrlPr>
              <w:rPr>
                <w:rFonts w:ascii="Cambria Math" w:hAnsi="Cambria Math"/>
              </w:rPr>
            </m:ctrlPr>
          </m:boxPr>
          <m:e>
            <m:r>
              <w:rPr>
                <w:rFonts w:ascii="Cambria Math" w:hAnsi="Cambria Math"/>
              </w:rPr>
              <m:t>ln</m:t>
            </m:r>
          </m:e>
        </m:box>
        <m:r>
          <w:rPr>
            <w:rFonts w:ascii="Cambria Math" w:eastAsia="Cambria Math" w:hAnsi="Cambria Math" w:cs="Cambria Math"/>
            <w:sz w:val="22"/>
            <w:szCs w:val="22"/>
          </w:rPr>
          <m:t>ln</m:t>
        </m:r>
        <m:r>
          <w:rPr>
            <w:rFonts w:ascii="Cambria Math" w:hAnsi="Cambria Math"/>
          </w:rPr>
          <m:t xml:space="preserve"> </m:t>
        </m:r>
        <m:r>
          <w:rPr>
            <w:rFonts w:ascii="Cambria Math" w:eastAsia="Cambria Math" w:hAnsi="Cambria Math" w:cs="Cambria Math"/>
            <w:sz w:val="22"/>
            <w:szCs w:val="22"/>
          </w:rPr>
          <m:t>R</m:t>
        </m:r>
        <m:r>
          <w:rPr>
            <w:rFonts w:ascii="Cambria Math" w:hAnsi="Cambria Math"/>
          </w:rPr>
          <m:t xml:space="preserve"> </m:t>
        </m:r>
        <m:r>
          <w:rPr>
            <w:rFonts w:ascii="Cambria Math" w:eastAsia="Cambria Math" w:hAnsi="Cambria Math" w:cs="Cambria Math"/>
            <w:sz w:val="22"/>
            <w:szCs w:val="22"/>
          </w:rPr>
          <m:t>R</m:t>
        </m:r>
      </m:oMath>
      <w:r>
        <w:t xml:space="preserve"> &gt; 0 </w:t>
      </w:r>
      <w:r>
        <w:t>表示处理提高了响应变量，</w:t>
      </w:r>
      <m:oMath>
        <m:box>
          <m:boxPr>
            <m:opEmu m:val="1"/>
            <m:ctrlPr>
              <w:rPr>
                <w:rFonts w:ascii="Cambria Math" w:hAnsi="Cambria Math"/>
              </w:rPr>
            </m:ctrlPr>
          </m:boxPr>
          <m:e>
            <m:r>
              <w:rPr>
                <w:rFonts w:ascii="Cambria Math" w:hAnsi="Cambria Math"/>
              </w:rPr>
              <m:t>ln</m:t>
            </m:r>
          </m:e>
        </m:box>
        <m:r>
          <w:rPr>
            <w:rFonts w:ascii="Cambria Math" w:eastAsia="Cambria Math" w:hAnsi="Cambria Math" w:cs="Cambria Math"/>
            <w:sz w:val="22"/>
            <w:szCs w:val="22"/>
          </w:rPr>
          <m:t>RR</m:t>
        </m:r>
      </m:oMath>
      <w:r>
        <w:t xml:space="preserve"> &lt; 0 </w:t>
      </w:r>
      <w:r>
        <w:t>表示处理降低了响应变量。为便于结果解释，最终将</w:t>
      </w:r>
      <w:r>
        <w:t xml:space="preserve"> </w:t>
      </w:r>
      <m:oMath>
        <m:r>
          <w:rPr>
            <w:rFonts w:ascii="Cambria Math" w:eastAsia="Cambria Math" w:hAnsi="Cambria Math" w:cs="Cambria Math"/>
            <w:sz w:val="22"/>
            <w:szCs w:val="22"/>
          </w:rPr>
          <m:t>lnRR</m:t>
        </m:r>
      </m:oMath>
      <w:r>
        <w:t xml:space="preserve"> </w:t>
      </w:r>
      <w:r>
        <w:t>反变换为百分变化，即先计算</w:t>
      </w:r>
      <w:r>
        <w:t>RR = exp(</w:t>
      </w:r>
      <w:proofErr w:type="spellStart"/>
      <w:r>
        <w:t>lnRR</w:t>
      </w:r>
      <w:proofErr w:type="spellEnd"/>
      <w:r>
        <w:t>)</w:t>
      </w:r>
      <w:r>
        <w:t>，再以（</w:t>
      </w:r>
      <w:r>
        <w:t xml:space="preserve">RR </w:t>
      </w:r>
      <w:r>
        <w:rPr>
          <w:rFonts w:ascii="Cambria Math" w:eastAsia="Cambria Math" w:hAnsi="Cambria Math" w:cs="Cambria Math"/>
        </w:rPr>
        <w:t>−</w:t>
      </w:r>
      <w:r>
        <w:t xml:space="preserve"> 1</w:t>
      </w:r>
      <w:r>
        <w:t>）</w:t>
      </w:r>
      <w:r>
        <w:t xml:space="preserve">×100% </w:t>
      </w:r>
      <w:r>
        <w:t>表示增减幅度。</w:t>
      </w:r>
      <w:proofErr w:type="spellStart"/>
      <w:r>
        <w:t>lnRR</w:t>
      </w:r>
      <w:proofErr w:type="spellEnd"/>
      <w:r>
        <w:t xml:space="preserve"> </w:t>
      </w:r>
      <w:r>
        <w:t>的优点在于量纲无关、生态学解释直观，特别适合比较不同研究、不同单位和不同背景条件下的相对变化。</w:t>
      </w:r>
    </w:p>
    <w:p w14:paraId="594384A4" w14:textId="77777777" w:rsidR="00606DE5" w:rsidRDefault="00000000">
      <w:pPr>
        <w:pStyle w:val="ac"/>
        <w:ind w:firstLine="480"/>
      </w:pPr>
      <w:r>
        <w:t>对于</w:t>
      </w:r>
      <w:r>
        <w:t>EF</w:t>
      </w:r>
      <w:r>
        <w:t>，由于部分研究中可能出现负值，即施氮处理排放量低于对照处理，此时无法进行对数转换，因此采用</w:t>
      </w:r>
      <w:r>
        <w:t xml:space="preserve"> Hedges’ d </w:t>
      </w:r>
      <w:r>
        <w:t>作为效应值。</w:t>
      </w:r>
      <w:r>
        <w:t xml:space="preserve">Hedges’ d </w:t>
      </w:r>
      <w:r>
        <w:t>本质上是处理组与对照组均值差异的标准化表达，并通过小样本校正降低偏倚，适用于存在负值或零值附近波动的数据。</w:t>
      </w:r>
    </w:p>
    <w:p w14:paraId="0E447248" w14:textId="77777777" w:rsidR="00606DE5" w:rsidRDefault="00000000">
      <w:pPr>
        <w:pStyle w:val="ac"/>
        <w:ind w:firstLine="480"/>
      </w:pPr>
      <w:r>
        <w:t xml:space="preserve">Meta </w:t>
      </w:r>
      <w:r>
        <w:t>分析采用</w:t>
      </w:r>
      <w:r>
        <w:t xml:space="preserve"> </w:t>
      </w:r>
      <w:proofErr w:type="spellStart"/>
      <w:r>
        <w:t>MetaWin</w:t>
      </w:r>
      <w:proofErr w:type="spellEnd"/>
      <w:r>
        <w:t xml:space="preserve"> 3.0 </w:t>
      </w:r>
      <w:r>
        <w:t>与</w:t>
      </w:r>
      <w:r>
        <w:t>R</w:t>
      </w:r>
      <w:r>
        <w:t>语言相结合的方式完成。首先，在</w:t>
      </w:r>
      <w:r>
        <w:t>R</w:t>
      </w:r>
      <w:r>
        <w:t>中对处理组和对照组的均值、标准差、样本量以及作物类型、管理措施类别、减氮梯度等变量进行整理和校验，并根据响应变量类型计算或核对效应值。对于</w:t>
      </w:r>
      <w:r>
        <w:t xml:space="preserve"> N</w:t>
      </w:r>
      <w:r>
        <w:rPr>
          <w:rFonts w:ascii="Cambria Math" w:eastAsia="Cambria Math" w:hAnsi="Cambria Math" w:cs="Cambria Math"/>
        </w:rPr>
        <w:t>₂</w:t>
      </w:r>
      <w:r>
        <w:t xml:space="preserve">O </w:t>
      </w:r>
      <w:r>
        <w:t>排放量、作物产量和产量尺度排放，采用</w:t>
      </w:r>
      <w:proofErr w:type="spellStart"/>
      <w:r>
        <w:t>lnRR</w:t>
      </w:r>
      <w:proofErr w:type="spellEnd"/>
      <w:r>
        <w:t>作为效应值；对于</w:t>
      </w:r>
      <w:r>
        <w:t>EF</w:t>
      </w:r>
      <w:r>
        <w:t>，由于其可能出现负值，采用</w:t>
      </w:r>
      <w:r>
        <w:t xml:space="preserve"> </w:t>
      </w:r>
      <w:proofErr w:type="spellStart"/>
      <w:r>
        <w:t>Hedges’d</w:t>
      </w:r>
      <w:proofErr w:type="spellEnd"/>
      <w:r>
        <w:t xml:space="preserve"> </w:t>
      </w:r>
      <w:r>
        <w:t>作为效应值。随后，将整理后的效应值及其方差信息导入</w:t>
      </w:r>
      <w:r>
        <w:t xml:space="preserve"> </w:t>
      </w:r>
      <w:proofErr w:type="spellStart"/>
      <w:r>
        <w:t>MetaWin</w:t>
      </w:r>
      <w:proofErr w:type="spellEnd"/>
      <w:r>
        <w:t xml:space="preserve"> 3.0</w:t>
      </w:r>
      <w:r>
        <w:t>，采用随机效应模型计算加权平均效应值及其</w:t>
      </w:r>
      <w:r>
        <w:t xml:space="preserve"> 95% </w:t>
      </w:r>
      <w:r>
        <w:t>置信区间，并通过</w:t>
      </w:r>
      <w:r>
        <w:t xml:space="preserve"> 999 </w:t>
      </w:r>
      <w:r>
        <w:t>次</w:t>
      </w:r>
      <w:r>
        <w:t xml:space="preserve"> Bootstrap </w:t>
      </w:r>
      <w:r>
        <w:t>重抽样估计置信区间。最后，将</w:t>
      </w:r>
      <w:r>
        <w:t xml:space="preserve"> </w:t>
      </w:r>
      <w:proofErr w:type="spellStart"/>
      <w:r>
        <w:t>MetaWin</w:t>
      </w:r>
      <w:proofErr w:type="spellEnd"/>
      <w:r>
        <w:t xml:space="preserve"> </w:t>
      </w:r>
      <w:r>
        <w:t>输出结果与</w:t>
      </w:r>
      <w:r>
        <w:t xml:space="preserve"> R </w:t>
      </w:r>
      <w:r>
        <w:t>中整理得到的效应值和分组统计结果进行一致性检查，确保总体效应、亚组效应和置信区间的方向及显著性判断一致。</w:t>
      </w:r>
    </w:p>
    <w:p w14:paraId="72E0DA71" w14:textId="5027247A" w:rsidR="007C0CF3" w:rsidRDefault="00000000">
      <w:pPr>
        <w:pStyle w:val="ac"/>
        <w:ind w:firstLine="480"/>
      </w:pPr>
      <w:r>
        <w:t>本研究统一采用随机效应模型而非固定效应模型，原因在于黄土高原不同试验点之间在气候、土壤性质、作物制度和管理背景上存在真实差异，各研究并非共享同一个唯一真实效应，更可能围绕某一区域平均效应波动。分析过程中，先检验效应值序列的</w:t>
      </w:r>
      <w:r>
        <w:lastRenderedPageBreak/>
        <w:t>分布特征，并结合异质性统计量判断研究间差异是否显著；当</w:t>
      </w:r>
      <w:r>
        <w:t xml:space="preserve"> 95% </w:t>
      </w:r>
      <w:r>
        <w:t>置信区间不跨越</w:t>
      </w:r>
      <w:r>
        <w:t>0</w:t>
      </w:r>
      <w:r>
        <w:t>时，认为该管理措施对响应变量具有显著影响。</w:t>
      </w:r>
    </w:p>
    <w:p w14:paraId="56387D2E" w14:textId="4C2DCE64" w:rsidR="00606DE5" w:rsidRPr="007C0CF3" w:rsidRDefault="007C0CF3" w:rsidP="007C0CF3">
      <w:pPr>
        <w:rPr>
          <w:rFonts w:ascii="Times New Roman" w:hAnsi="Times New Roman" w:hint="eastAsia"/>
          <w:kern w:val="2"/>
          <w14:ligatures w14:val="standardContextual"/>
        </w:rPr>
      </w:pPr>
      <w:r>
        <w:br w:type="page"/>
      </w:r>
    </w:p>
    <w:p w14:paraId="37291A49" w14:textId="77777777" w:rsidR="00606DE5" w:rsidRDefault="00000000" w:rsidP="007C0CF3">
      <w:pPr>
        <w:pStyle w:val="af5"/>
        <w:spacing w:before="480" w:after="240"/>
      </w:pPr>
      <w:bookmarkStart w:id="32" w:name="_Toc229090863"/>
      <w:bookmarkStart w:id="33" w:name="_Toc229245527"/>
      <w:r>
        <w:rPr>
          <w:rFonts w:hint="eastAsia"/>
        </w:rPr>
        <w:lastRenderedPageBreak/>
        <w:t>3</w:t>
      </w:r>
      <w:r>
        <w:t xml:space="preserve"> </w:t>
      </w:r>
      <w:r>
        <w:t>结果</w:t>
      </w:r>
      <w:bookmarkEnd w:id="32"/>
      <w:bookmarkEnd w:id="33"/>
    </w:p>
    <w:p w14:paraId="3EE23850" w14:textId="77777777" w:rsidR="00606DE5" w:rsidRDefault="00000000" w:rsidP="007C0CF3">
      <w:pPr>
        <w:pStyle w:val="ad"/>
        <w:spacing w:before="240" w:after="120"/>
      </w:pPr>
      <w:bookmarkStart w:id="34" w:name="_Toc229090864"/>
      <w:bookmarkStart w:id="35" w:name="_Toc229245528"/>
      <w:r>
        <w:t xml:space="preserve">3.1 </w:t>
      </w:r>
      <w:r>
        <w:t>作物产量</w:t>
      </w:r>
      <w:bookmarkEnd w:id="34"/>
      <w:bookmarkEnd w:id="35"/>
    </w:p>
    <w:p w14:paraId="07972E15" w14:textId="77777777" w:rsidR="00606DE5" w:rsidRDefault="00000000">
      <w:pPr>
        <w:pStyle w:val="ac"/>
        <w:ind w:firstLine="480"/>
      </w:pPr>
      <w:r>
        <w:t>施肥条件下，春玉米、冬小麦和春小麦的籽粒产量均值分别为</w:t>
      </w:r>
      <w:r>
        <w:t>11.1 t ha</w:t>
      </w:r>
      <w:r>
        <w:rPr>
          <w:rFonts w:ascii="Cambria Math" w:eastAsia="Cambria Math" w:hAnsi="Cambria Math" w:cs="Cambria Math"/>
        </w:rPr>
        <w:t>⁻¹</w:t>
      </w:r>
      <w:r>
        <w:t>（范围</w:t>
      </w:r>
      <w:r>
        <w:t>3.5—21.4 t ha</w:t>
      </w:r>
      <w:r>
        <w:rPr>
          <w:rFonts w:ascii="Cambria Math" w:eastAsia="Cambria Math" w:hAnsi="Cambria Math" w:cs="Cambria Math"/>
        </w:rPr>
        <w:t>⁻¹</w:t>
      </w:r>
      <w:r>
        <w:t>，</w:t>
      </w:r>
      <w:r>
        <w:t>n = 138</w:t>
      </w:r>
      <w:r>
        <w:t>，</w:t>
      </w:r>
      <w:r>
        <w:t>CV = 35%</w:t>
      </w:r>
      <w:r>
        <w:t>）、</w:t>
      </w:r>
      <w:r>
        <w:t>5.4 t ha</w:t>
      </w:r>
      <w:r>
        <w:rPr>
          <w:rFonts w:ascii="Cambria Math" w:eastAsia="Cambria Math" w:hAnsi="Cambria Math" w:cs="Cambria Math"/>
        </w:rPr>
        <w:t>⁻¹</w:t>
      </w:r>
      <w:r>
        <w:t>（范围</w:t>
      </w:r>
      <w:r>
        <w:t>4.1—6.8 t ha</w:t>
      </w:r>
      <w:r>
        <w:rPr>
          <w:rFonts w:ascii="Cambria Math" w:eastAsia="Cambria Math" w:hAnsi="Cambria Math" w:cs="Cambria Math"/>
        </w:rPr>
        <w:t>⁻¹</w:t>
      </w:r>
      <w:r>
        <w:t>，</w:t>
      </w:r>
      <w:r>
        <w:t>n = 18</w:t>
      </w:r>
      <w:r>
        <w:t>，</w:t>
      </w:r>
      <w:r>
        <w:t>CV = 14%</w:t>
      </w:r>
      <w:r>
        <w:t>）和</w:t>
      </w:r>
      <w:r>
        <w:t>1.5 t ha</w:t>
      </w:r>
      <w:r>
        <w:rPr>
          <w:rFonts w:ascii="Cambria Math" w:eastAsia="Cambria Math" w:hAnsi="Cambria Math" w:cs="Cambria Math"/>
        </w:rPr>
        <w:t>⁻¹</w:t>
      </w:r>
      <w:r>
        <w:t>（范围</w:t>
      </w:r>
      <w:r>
        <w:t>1.1—2.3 t ha</w:t>
      </w:r>
      <w:r>
        <w:rPr>
          <w:rFonts w:ascii="Cambria Math" w:eastAsia="Cambria Math" w:hAnsi="Cambria Math" w:cs="Cambria Math"/>
        </w:rPr>
        <w:t>⁻¹</w:t>
      </w:r>
      <w:r>
        <w:t>，</w:t>
      </w:r>
      <w:r>
        <w:t>n = 45</w:t>
      </w:r>
      <w:r>
        <w:t>，</w:t>
      </w:r>
      <w:r>
        <w:t>CV = 22%</w:t>
      </w:r>
      <w:r>
        <w:t>）（图</w:t>
      </w:r>
      <w:r>
        <w:t>3-1</w:t>
      </w:r>
      <w:r>
        <w:t>）。三种粮食作物的产量数据均符合正态分布（</w:t>
      </w:r>
      <w:r>
        <w:t>p &gt; 0.355</w:t>
      </w:r>
      <w:r>
        <w:t>），且三者间存在极显著差异（</w:t>
      </w:r>
      <w:r>
        <w:t>p &lt; 0.001</w:t>
      </w:r>
      <w:r>
        <w:t>）。作物产量对施氮量的响应均符合二次多项式模型（</w:t>
      </w:r>
      <w:r>
        <w:t>p &lt; 0.01</w:t>
      </w:r>
      <w:r>
        <w:t>），春玉米、冬小麦和春小麦的农学最优施氮量分别为</w:t>
      </w:r>
      <w:r>
        <w:t>295</w:t>
      </w:r>
      <w:r>
        <w:t>、</w:t>
      </w:r>
      <w:r>
        <w:t>191</w:t>
      </w:r>
      <w:r>
        <w:t>和</w:t>
      </w:r>
      <w:r>
        <w:t>153kg N ha</w:t>
      </w:r>
      <w:r>
        <w:rPr>
          <w:rFonts w:ascii="Cambria Math" w:eastAsia="Cambria Math" w:hAnsi="Cambria Math" w:cs="Cambria Math"/>
        </w:rPr>
        <w:t>⁻¹</w:t>
      </w:r>
      <w:r>
        <w:t>，对应最高产量分别为</w:t>
      </w:r>
      <w:r>
        <w:t>11.9</w:t>
      </w:r>
      <w:r>
        <w:t>、</w:t>
      </w:r>
      <w:r>
        <w:t>5.6</w:t>
      </w:r>
      <w:r>
        <w:t>和</w:t>
      </w:r>
      <w:r>
        <w:t>1.6 t ha</w:t>
      </w:r>
      <w:r>
        <w:rPr>
          <w:rFonts w:ascii="Cambria Math" w:eastAsia="Cambria Math" w:hAnsi="Cambria Math" w:cs="Cambria Math"/>
        </w:rPr>
        <w:t>⁻¹</w:t>
      </w:r>
      <w:r>
        <w:t>（图</w:t>
      </w:r>
      <w:r>
        <w:t>3-1</w:t>
      </w:r>
      <w:r>
        <w:t>）。</w:t>
      </w:r>
    </w:p>
    <w:p w14:paraId="4DCF8703" w14:textId="77777777" w:rsidR="00606DE5" w:rsidRDefault="00000000">
      <w:pPr>
        <w:keepNext/>
        <w:jc w:val="center"/>
      </w:pPr>
      <w:r>
        <w:rPr>
          <w:noProof/>
        </w:rPr>
        <w:drawing>
          <wp:inline distT="0" distB="0" distL="0" distR="0" wp14:anchorId="4E3BC0E4" wp14:editId="6563C4DA">
            <wp:extent cx="5273675" cy="3048635"/>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3" name="image5.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5273844" cy="3048635"/>
                    </a:xfrm>
                    <a:prstGeom prst="rect">
                      <a:avLst/>
                    </a:prstGeom>
                  </pic:spPr>
                </pic:pic>
              </a:graphicData>
            </a:graphic>
          </wp:inline>
        </w:drawing>
      </w:r>
    </w:p>
    <w:p w14:paraId="2D7B5E73" w14:textId="77777777" w:rsidR="00606DE5" w:rsidRDefault="00000000">
      <w:pPr>
        <w:pStyle w:val="ac"/>
        <w:ind w:firstLine="420"/>
        <w:jc w:val="center"/>
        <w:rPr>
          <w:sz w:val="21"/>
          <w:szCs w:val="21"/>
        </w:rPr>
      </w:pPr>
      <w:r>
        <w:rPr>
          <w:sz w:val="21"/>
          <w:szCs w:val="21"/>
        </w:rPr>
        <w:t>图</w:t>
      </w:r>
      <w:r>
        <w:rPr>
          <w:sz w:val="21"/>
          <w:szCs w:val="21"/>
        </w:rPr>
        <w:t xml:space="preserve"> 3-1 </w:t>
      </w:r>
      <w:r>
        <w:rPr>
          <w:sz w:val="21"/>
          <w:szCs w:val="21"/>
        </w:rPr>
        <w:t>黄土高原主要粮食作物产量对施氮量的响应及产量差异</w:t>
      </w:r>
    </w:p>
    <w:p w14:paraId="70E32BE1" w14:textId="77777777" w:rsidR="00606DE5" w:rsidRDefault="00000000">
      <w:pPr>
        <w:pStyle w:val="ac"/>
        <w:ind w:firstLine="480"/>
      </w:pPr>
      <w:r>
        <w:t>苹果产量均值为</w:t>
      </w:r>
      <w:r>
        <w:t>44.2 t ha⁻¹</w:t>
      </w:r>
      <w:r>
        <w:t>（范围</w:t>
      </w:r>
      <w:r>
        <w:t>12.0—93.4 t ha⁻¹</w:t>
      </w:r>
      <w:r>
        <w:t>，</w:t>
      </w:r>
      <w:r>
        <w:t>n = 25</w:t>
      </w:r>
      <w:r>
        <w:t>，</w:t>
      </w:r>
      <w:r>
        <w:t>CV = 38%</w:t>
      </w:r>
      <w:r>
        <w:t>），数据系列符合正态分布（</w:t>
      </w:r>
      <w:r>
        <w:t>p = 0.875</w:t>
      </w:r>
      <w:r>
        <w:t>）。苹果产量与施氮量之间未拟合出显著的相关关系（图</w:t>
      </w:r>
      <w:r>
        <w:rPr>
          <w:rFonts w:hint="eastAsia"/>
        </w:rPr>
        <w:t>3-6</w:t>
      </w:r>
      <w:r>
        <w:t>）。其中，因极端天气事件（如霜冻）造成绝收的年份未纳入产量统计。</w:t>
      </w:r>
    </w:p>
    <w:p w14:paraId="5617493A" w14:textId="77777777" w:rsidR="00606DE5" w:rsidRDefault="00000000">
      <w:pPr>
        <w:keepNext/>
        <w:jc w:val="center"/>
      </w:pPr>
      <w:r>
        <w:rPr>
          <w:noProof/>
        </w:rPr>
        <w:lastRenderedPageBreak/>
        <w:drawing>
          <wp:inline distT="0" distB="0" distL="0" distR="0" wp14:anchorId="3F83D582" wp14:editId="3FA2AECC">
            <wp:extent cx="3416300" cy="2870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10" cstate="print">
                      <a:extLst>
                        <a:ext uri="{28A0092B-C50C-407E-A947-70E740481C1C}">
                          <a14:useLocalDpi xmlns:a14="http://schemas.microsoft.com/office/drawing/2010/main" val="0"/>
                        </a:ext>
                      </a:extLst>
                    </a:blip>
                    <a:stretch>
                      <a:fillRect/>
                    </a:stretch>
                  </pic:blipFill>
                  <pic:spPr>
                    <a:xfrm>
                      <a:off x="0" y="0"/>
                      <a:ext cx="3416300" cy="2870200"/>
                    </a:xfrm>
                    <a:prstGeom prst="rect">
                      <a:avLst/>
                    </a:prstGeom>
                  </pic:spPr>
                </pic:pic>
              </a:graphicData>
            </a:graphic>
          </wp:inline>
        </w:drawing>
      </w:r>
    </w:p>
    <w:p w14:paraId="566124E3" w14:textId="77777777" w:rsidR="00606DE5" w:rsidRDefault="00000000">
      <w:pPr>
        <w:pStyle w:val="ac"/>
        <w:ind w:firstLine="420"/>
        <w:jc w:val="center"/>
        <w:rPr>
          <w:sz w:val="21"/>
          <w:szCs w:val="21"/>
        </w:rPr>
      </w:pPr>
      <w:r>
        <w:rPr>
          <w:sz w:val="21"/>
          <w:szCs w:val="21"/>
        </w:rPr>
        <w:t>图</w:t>
      </w:r>
      <w:r>
        <w:rPr>
          <w:sz w:val="21"/>
          <w:szCs w:val="21"/>
        </w:rPr>
        <w:t xml:space="preserve"> 3-6 </w:t>
      </w:r>
      <w:r>
        <w:rPr>
          <w:sz w:val="21"/>
          <w:szCs w:val="21"/>
        </w:rPr>
        <w:t>苹果产量与施氮量的关系</w:t>
      </w:r>
    </w:p>
    <w:p w14:paraId="67D10B1A" w14:textId="77777777" w:rsidR="00606DE5" w:rsidRDefault="00000000" w:rsidP="007C0CF3">
      <w:pPr>
        <w:pStyle w:val="ad"/>
        <w:spacing w:before="240" w:after="120"/>
      </w:pPr>
      <w:bookmarkStart w:id="36" w:name="bookmark=id.jn3nx6mvyg7p" w:colFirst="0" w:colLast="0"/>
      <w:bookmarkStart w:id="37" w:name="_Toc229090865"/>
      <w:bookmarkStart w:id="38" w:name="_Toc229245529"/>
      <w:bookmarkEnd w:id="36"/>
      <w:r>
        <w:t>3.2 N₂O</w:t>
      </w:r>
      <w:r>
        <w:t>排放特征、直接排放因子与产量尺度排放</w:t>
      </w:r>
      <w:bookmarkEnd w:id="37"/>
      <w:bookmarkEnd w:id="38"/>
    </w:p>
    <w:p w14:paraId="59A3E133" w14:textId="77777777" w:rsidR="00606DE5" w:rsidRDefault="00000000">
      <w:pPr>
        <w:pStyle w:val="ac"/>
        <w:ind w:firstLine="480"/>
      </w:pPr>
      <w:r>
        <w:rPr>
          <w:rFonts w:hint="eastAsia"/>
        </w:rPr>
        <w:t>黄土高原施肥农业生态系统的</w:t>
      </w:r>
      <w:r>
        <w:t>N</w:t>
      </w:r>
      <w:r>
        <w:rPr>
          <w:rFonts w:ascii="Cambria Math" w:hAnsi="Cambria Math" w:cs="Cambria Math"/>
        </w:rPr>
        <w:t>₂</w:t>
      </w:r>
      <w:r>
        <w:t>O</w:t>
      </w:r>
      <w:r>
        <w:rPr>
          <w:rFonts w:hint="eastAsia"/>
        </w:rPr>
        <w:t>排放量在</w:t>
      </w:r>
      <w:r>
        <w:t>0.32—8.89 kg N ha</w:t>
      </w:r>
      <w:r>
        <w:rPr>
          <w:rFonts w:ascii="Cambria Math" w:hAnsi="Cambria Math" w:cs="Cambria Math"/>
        </w:rPr>
        <w:t>⁻</w:t>
      </w:r>
      <w:r>
        <w:t>¹</w:t>
      </w:r>
      <w:r>
        <w:rPr>
          <w:rFonts w:hint="eastAsia"/>
        </w:rPr>
        <w:t>之间（图</w:t>
      </w:r>
      <w:r>
        <w:t>3-2</w:t>
      </w:r>
      <w:r>
        <w:rPr>
          <w:rFonts w:hint="eastAsia"/>
        </w:rPr>
        <w:t>），总体均值和中位数分别为</w:t>
      </w:r>
      <w:r>
        <w:t>1.85</w:t>
      </w:r>
      <w:r>
        <w:rPr>
          <w:rFonts w:hint="eastAsia"/>
        </w:rPr>
        <w:t>和</w:t>
      </w:r>
      <w:r>
        <w:t>1.55 kg N ha</w:t>
      </w:r>
      <w:r>
        <w:rPr>
          <w:rFonts w:ascii="Cambria Math" w:hAnsi="Cambria Math" w:cs="Cambria Math"/>
        </w:rPr>
        <w:t>⁻</w:t>
      </w:r>
      <w:r>
        <w:t>¹</w:t>
      </w:r>
      <w:r>
        <w:rPr>
          <w:rFonts w:hint="eastAsia"/>
        </w:rPr>
        <w:t>。各体系均值具体如下：春玉米</w:t>
      </w:r>
      <w:r>
        <w:t>1.86 kg N ha</w:t>
      </w:r>
      <w:r>
        <w:rPr>
          <w:rFonts w:ascii="Cambria Math" w:hAnsi="Cambria Math" w:cs="Cambria Math"/>
        </w:rPr>
        <w:t>⁻</w:t>
      </w:r>
      <w:r>
        <w:t>¹</w:t>
      </w:r>
      <w:r>
        <w:rPr>
          <w:rFonts w:hint="eastAsia"/>
        </w:rPr>
        <w:t>（范围</w:t>
      </w:r>
      <w:r>
        <w:t>0.32—4.95</w:t>
      </w:r>
      <w:r>
        <w:rPr>
          <w:rFonts w:hint="eastAsia"/>
        </w:rPr>
        <w:t>，</w:t>
      </w:r>
      <w:r>
        <w:t>n = 148</w:t>
      </w:r>
      <w:r>
        <w:rPr>
          <w:rFonts w:hint="eastAsia"/>
        </w:rPr>
        <w:t>，</w:t>
      </w:r>
      <w:r>
        <w:t>CV = 56%</w:t>
      </w:r>
      <w:r>
        <w:rPr>
          <w:rFonts w:hint="eastAsia"/>
        </w:rPr>
        <w:t>）、冬小麦</w:t>
      </w:r>
      <w:r>
        <w:t>0.89 kg N ha</w:t>
      </w:r>
      <w:r>
        <w:rPr>
          <w:rFonts w:ascii="Cambria Math" w:hAnsi="Cambria Math" w:cs="Cambria Math"/>
        </w:rPr>
        <w:t>⁻</w:t>
      </w:r>
      <w:r>
        <w:t>¹</w:t>
      </w:r>
      <w:r>
        <w:rPr>
          <w:rFonts w:hint="eastAsia"/>
        </w:rPr>
        <w:t>（范围</w:t>
      </w:r>
      <w:r>
        <w:t>0.36—1.48</w:t>
      </w:r>
      <w:r>
        <w:rPr>
          <w:rFonts w:hint="eastAsia"/>
        </w:rPr>
        <w:t>，</w:t>
      </w:r>
      <w:r>
        <w:t>n = 25</w:t>
      </w:r>
      <w:r>
        <w:rPr>
          <w:rFonts w:hint="eastAsia"/>
        </w:rPr>
        <w:t>，</w:t>
      </w:r>
      <w:r>
        <w:t>CV = 37%</w:t>
      </w:r>
      <w:r>
        <w:rPr>
          <w:rFonts w:hint="eastAsia"/>
        </w:rPr>
        <w:t>）、春小麦</w:t>
      </w:r>
      <w:r>
        <w:t>1.59 kg N ha</w:t>
      </w:r>
      <w:r>
        <w:rPr>
          <w:rFonts w:ascii="Cambria Math" w:hAnsi="Cambria Math" w:cs="Cambria Math"/>
        </w:rPr>
        <w:t>⁻</w:t>
      </w:r>
      <w:r>
        <w:t>¹</w:t>
      </w:r>
      <w:r>
        <w:rPr>
          <w:rFonts w:hint="eastAsia"/>
        </w:rPr>
        <w:t>（范围</w:t>
      </w:r>
      <w:r>
        <w:t>0.94—2.65</w:t>
      </w:r>
      <w:r>
        <w:rPr>
          <w:rFonts w:hint="eastAsia"/>
        </w:rPr>
        <w:t>，</w:t>
      </w:r>
      <w:r>
        <w:t>n = 47</w:t>
      </w:r>
      <w:r>
        <w:rPr>
          <w:rFonts w:hint="eastAsia"/>
        </w:rPr>
        <w:t>，</w:t>
      </w:r>
      <w:r>
        <w:t>CV = 27%</w:t>
      </w:r>
      <w:r>
        <w:rPr>
          <w:rFonts w:hint="eastAsia"/>
        </w:rPr>
        <w:t>）、苹果果园</w:t>
      </w:r>
      <w:r>
        <w:t>2.90 kg N ha</w:t>
      </w:r>
      <w:r>
        <w:rPr>
          <w:rFonts w:ascii="Cambria Math" w:hAnsi="Cambria Math" w:cs="Cambria Math"/>
        </w:rPr>
        <w:t>⁻</w:t>
      </w:r>
      <w:r>
        <w:t>¹</w:t>
      </w:r>
      <w:r>
        <w:rPr>
          <w:rFonts w:hint="eastAsia"/>
        </w:rPr>
        <w:t>（范围</w:t>
      </w:r>
      <w:r>
        <w:t>0.95—8.89</w:t>
      </w:r>
      <w:r>
        <w:rPr>
          <w:rFonts w:hint="eastAsia"/>
        </w:rPr>
        <w:t>，</w:t>
      </w:r>
      <w:r>
        <w:t>n = 33</w:t>
      </w:r>
      <w:r>
        <w:rPr>
          <w:rFonts w:hint="eastAsia"/>
        </w:rPr>
        <w:t>，</w:t>
      </w:r>
      <w:r>
        <w:t>CV = 76%</w:t>
      </w:r>
      <w:r>
        <w:rPr>
          <w:rFonts w:hint="eastAsia"/>
        </w:rPr>
        <w:t>）（图</w:t>
      </w:r>
      <w:r>
        <w:t>3-2</w:t>
      </w:r>
      <w:r>
        <w:rPr>
          <w:rFonts w:hint="eastAsia"/>
        </w:rPr>
        <w:t>）。</w:t>
      </w:r>
    </w:p>
    <w:p w14:paraId="7F034BEC" w14:textId="77777777" w:rsidR="00606DE5" w:rsidRDefault="00000000">
      <w:pPr>
        <w:jc w:val="center"/>
      </w:pPr>
      <w:r>
        <w:rPr>
          <w:noProof/>
        </w:rPr>
        <w:drawing>
          <wp:inline distT="0" distB="0" distL="0" distR="0" wp14:anchorId="5F18A864" wp14:editId="5000EDD4">
            <wp:extent cx="5274310" cy="3048635"/>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5" name="image3.png"/>
                    <pic:cNvPicPr preferRelativeResize="0"/>
                  </pic:nvPicPr>
                  <pic:blipFill>
                    <a:blip r:embed="rId11"/>
                    <a:srcRect/>
                    <a:stretch>
                      <a:fillRect/>
                    </a:stretch>
                  </pic:blipFill>
                  <pic:spPr>
                    <a:xfrm>
                      <a:off x="0" y="0"/>
                      <a:ext cx="5274310" cy="3048635"/>
                    </a:xfrm>
                    <a:prstGeom prst="rect">
                      <a:avLst/>
                    </a:prstGeom>
                  </pic:spPr>
                </pic:pic>
              </a:graphicData>
            </a:graphic>
          </wp:inline>
        </w:drawing>
      </w:r>
    </w:p>
    <w:p w14:paraId="3C849A3D" w14:textId="77777777" w:rsidR="00606DE5" w:rsidRDefault="00000000">
      <w:pPr>
        <w:pStyle w:val="ac"/>
        <w:ind w:firstLineChars="0" w:firstLine="0"/>
        <w:jc w:val="center"/>
        <w:rPr>
          <w:sz w:val="21"/>
          <w:szCs w:val="21"/>
        </w:rPr>
      </w:pPr>
      <w:r>
        <w:rPr>
          <w:sz w:val="21"/>
          <w:szCs w:val="21"/>
        </w:rPr>
        <w:t>图</w:t>
      </w:r>
      <w:r>
        <w:rPr>
          <w:sz w:val="21"/>
          <w:szCs w:val="21"/>
        </w:rPr>
        <w:t xml:space="preserve"> 3-2 </w:t>
      </w:r>
      <w:r>
        <w:rPr>
          <w:sz w:val="21"/>
          <w:szCs w:val="21"/>
        </w:rPr>
        <w:t>黄土高原不同农业生态系统</w:t>
      </w:r>
      <w:r>
        <w:rPr>
          <w:rFonts w:cs="Times New Roman"/>
          <w:sz w:val="21"/>
          <w:szCs w:val="21"/>
        </w:rPr>
        <w:t>N₂O</w:t>
      </w:r>
      <w:r>
        <w:rPr>
          <w:sz w:val="21"/>
          <w:szCs w:val="21"/>
        </w:rPr>
        <w:t>排放对施氮量的响应及排放差异</w:t>
      </w:r>
    </w:p>
    <w:p w14:paraId="461DF997" w14:textId="77777777" w:rsidR="00606DE5" w:rsidRDefault="00000000">
      <w:pPr>
        <w:pStyle w:val="ac"/>
        <w:ind w:firstLine="480"/>
      </w:pPr>
      <w:r>
        <w:rPr>
          <w:rFonts w:hint="eastAsia"/>
        </w:rPr>
        <w:t>从均值看，冬小麦的</w:t>
      </w:r>
      <w:r>
        <w:t>N₂O</w:t>
      </w:r>
      <w:r>
        <w:rPr>
          <w:rFonts w:hint="eastAsia"/>
        </w:rPr>
        <w:t>排放量比春玉米和春小麦低</w:t>
      </w:r>
      <w:r>
        <w:t>44%—52%</w:t>
      </w:r>
      <w:r>
        <w:rPr>
          <w:rFonts w:hint="eastAsia"/>
        </w:rPr>
        <w:t>，苹果果园</w:t>
      </w:r>
      <w:r>
        <w:t>N₂O</w:t>
      </w:r>
      <w:r>
        <w:rPr>
          <w:rFonts w:hint="eastAsia"/>
        </w:rPr>
        <w:t>排放量比粮食作物高</w:t>
      </w:r>
      <w:r>
        <w:t>56%—224%</w:t>
      </w:r>
      <w:r>
        <w:rPr>
          <w:rFonts w:hint="eastAsia"/>
        </w:rPr>
        <w:t>。两两</w:t>
      </w:r>
      <w:r>
        <w:t>Wilcoxon</w:t>
      </w:r>
      <w:r>
        <w:rPr>
          <w:rFonts w:hint="eastAsia"/>
        </w:rPr>
        <w:t>秩和检验（</w:t>
      </w:r>
      <w:r>
        <w:t>BH</w:t>
      </w:r>
      <w:r>
        <w:rPr>
          <w:rFonts w:hint="eastAsia"/>
        </w:rPr>
        <w:t>校正）显示，冬小麦</w:t>
      </w:r>
      <w:r>
        <w:rPr>
          <w:rFonts w:hint="eastAsia"/>
        </w:rPr>
        <w:lastRenderedPageBreak/>
        <w:t>与春玉米、春小麦之间差异显著（</w:t>
      </w:r>
      <w:r>
        <w:t>p &lt; 0.001</w:t>
      </w:r>
      <w:r>
        <w:rPr>
          <w:rFonts w:hint="eastAsia"/>
        </w:rPr>
        <w:t>），春玉米与春小麦之间差异不显著（</w:t>
      </w:r>
      <w:r>
        <w:t>p = 0.359</w:t>
      </w:r>
      <w:r>
        <w:rPr>
          <w:rFonts w:hint="eastAsia"/>
        </w:rPr>
        <w:t>）；苹果果园与春玉米、冬小麦和春小麦的差异均达到显著水平（校正后</w:t>
      </w:r>
      <w:r>
        <w:t>p = 0.015</w:t>
      </w:r>
      <w:r>
        <w:rPr>
          <w:rFonts w:hint="eastAsia"/>
        </w:rPr>
        <w:t>、</w:t>
      </w:r>
      <w:r>
        <w:t>p &lt; 0.001</w:t>
      </w:r>
      <w:r>
        <w:rPr>
          <w:rFonts w:hint="eastAsia"/>
        </w:rPr>
        <w:t>和</w:t>
      </w:r>
      <w:r>
        <w:t>p = 0.002</w:t>
      </w:r>
      <w:r>
        <w:rPr>
          <w:rFonts w:hint="eastAsia"/>
        </w:rPr>
        <w:t>）。各体系</w:t>
      </w:r>
      <w:r>
        <w:t>N₂O</w:t>
      </w:r>
      <w:r>
        <w:rPr>
          <w:rFonts w:hint="eastAsia"/>
        </w:rPr>
        <w:t>排放量与施氮量的关系均符合线性模型（</w:t>
      </w:r>
      <w:r>
        <w:t>p ≤ 0.002</w:t>
      </w:r>
      <w:r>
        <w:rPr>
          <w:rFonts w:hint="eastAsia"/>
        </w:rPr>
        <w:t>）（图</w:t>
      </w:r>
      <w:r>
        <w:t>3-2</w:t>
      </w:r>
      <w:r>
        <w:rPr>
          <w:rFonts w:hint="eastAsia"/>
        </w:rPr>
        <w:t>），排放系数在</w:t>
      </w:r>
      <w:r>
        <w:t>0.31%—0.37%</w:t>
      </w:r>
      <w:r>
        <w:rPr>
          <w:rFonts w:hint="eastAsia"/>
        </w:rPr>
        <w:t>之间小幅波动，体系间差异不显著。背景排放量估计值以冬小麦最低（</w:t>
      </w:r>
      <w:r>
        <w:t>0.35 kg N ha⁻¹</w:t>
      </w:r>
      <w:r>
        <w:rPr>
          <w:rFonts w:hint="eastAsia"/>
        </w:rPr>
        <w:t>），春玉米、春小麦和苹果果园较接近（</w:t>
      </w:r>
      <w:r>
        <w:t>1.13—1.25 kg N ha⁻¹</w:t>
      </w:r>
      <w:r>
        <w:rPr>
          <w:rFonts w:hint="eastAsia"/>
        </w:rPr>
        <w:t>），后三个体系之间差异不显著。</w:t>
      </w:r>
    </w:p>
    <w:p w14:paraId="06FCF11F" w14:textId="77777777" w:rsidR="00606DE5" w:rsidRDefault="00000000">
      <w:pPr>
        <w:pStyle w:val="ac"/>
        <w:ind w:firstLine="480"/>
      </w:pPr>
      <w:r>
        <w:t>黄土高原各农业生态系统的</w:t>
      </w:r>
      <w:r>
        <w:t>EF</w:t>
      </w:r>
      <w:r>
        <w:t>在</w:t>
      </w:r>
      <w:r>
        <w:rPr>
          <w:rFonts w:ascii="Cambria Math" w:hAnsi="Cambria Math" w:cs="Cambria Math"/>
        </w:rPr>
        <w:t>−</w:t>
      </w:r>
      <w:r>
        <w:t>0.11%</w:t>
      </w:r>
      <w:r>
        <w:t>至</w:t>
      </w:r>
      <w:r>
        <w:t>1.61%</w:t>
      </w:r>
      <w:r>
        <w:t>之间波动（图</w:t>
      </w:r>
      <w:r>
        <w:t>3-3A</w:t>
      </w:r>
      <w:r>
        <w:t>），总体均值和中位数分别为</w:t>
      </w:r>
      <w:r>
        <w:t>0.46%</w:t>
      </w:r>
      <w:r>
        <w:t>和</w:t>
      </w:r>
      <w:r>
        <w:t>0.42%</w:t>
      </w:r>
      <w:r>
        <w:t>。春玉米、冬小麦、春小麦和苹果果园的</w:t>
      </w:r>
      <w:r>
        <w:t>EF</w:t>
      </w:r>
      <w:r>
        <w:t>均值分别为</w:t>
      </w:r>
      <w:r>
        <w:t>0.49%</w:t>
      </w:r>
      <w:r>
        <w:t>（</w:t>
      </w:r>
      <w:r>
        <w:t>0.11%—1.27%</w:t>
      </w:r>
      <w:r>
        <w:t>，</w:t>
      </w:r>
      <w:r>
        <w:t>n = 80</w:t>
      </w:r>
      <w:r>
        <w:t>）、</w:t>
      </w:r>
      <w:r>
        <w:t>0.29%</w:t>
      </w:r>
      <w:r>
        <w:t>（</w:t>
      </w:r>
      <w:r>
        <w:t>0.16%—0.39%</w:t>
      </w:r>
      <w:r>
        <w:t>，</w:t>
      </w:r>
      <w:r>
        <w:t>n = 12</w:t>
      </w:r>
      <w:r>
        <w:t>）、</w:t>
      </w:r>
      <w:r>
        <w:t>0.42%</w:t>
      </w:r>
      <w:r>
        <w:t>（</w:t>
      </w:r>
      <w:r>
        <w:rPr>
          <w:rFonts w:ascii="Cambria Math" w:hAnsi="Cambria Math" w:cs="Cambria Math"/>
        </w:rPr>
        <w:t>−</w:t>
      </w:r>
      <w:r>
        <w:t>0.11%—1.45%</w:t>
      </w:r>
      <w:r>
        <w:t>，</w:t>
      </w:r>
      <w:r>
        <w:t>n = 12</w:t>
      </w:r>
      <w:r>
        <w:t>）和</w:t>
      </w:r>
      <w:r>
        <w:t>0.48%</w:t>
      </w:r>
      <w:r>
        <w:t>（</w:t>
      </w:r>
      <w:r>
        <w:t>0.08%—1.61%</w:t>
      </w:r>
      <w:r>
        <w:t>，</w:t>
      </w:r>
      <w:r>
        <w:t>n = 29</w:t>
      </w:r>
      <w:r>
        <w:t>）。</w:t>
      </w:r>
      <w:r>
        <w:t>Kruskal-Wallis</w:t>
      </w:r>
      <w:r>
        <w:t>检验和两两</w:t>
      </w:r>
      <w:r>
        <w:t>Wilcoxon</w:t>
      </w:r>
      <w:r>
        <w:t>秩和检验（</w:t>
      </w:r>
      <w:r>
        <w:t>BH</w:t>
      </w:r>
      <w:r>
        <w:t>校正）均表明，各体系</w:t>
      </w:r>
      <w:r>
        <w:t>EF</w:t>
      </w:r>
      <w:r>
        <w:t>差异不显著（总体</w:t>
      </w:r>
      <w:r>
        <w:t>p = 0.080</w:t>
      </w:r>
      <w:r>
        <w:t>；两两校正后</w:t>
      </w:r>
      <w:r>
        <w:t>p &gt; 0.085</w:t>
      </w:r>
      <w:r>
        <w:t>），因此图</w:t>
      </w:r>
      <w:r>
        <w:t>3-3A</w:t>
      </w:r>
      <w:r>
        <w:t>中各体系共享同一显著性字母。</w:t>
      </w:r>
    </w:p>
    <w:p w14:paraId="30BAEEE1" w14:textId="77777777" w:rsidR="00606DE5" w:rsidRDefault="00000000">
      <w:pPr>
        <w:pStyle w:val="ac"/>
        <w:ind w:firstLine="480"/>
      </w:pPr>
      <w:r>
        <w:rPr>
          <w:rFonts w:hint="eastAsia"/>
        </w:rPr>
        <w:t>施肥条件下，春玉米、冬小麦和春小麦的产量尺度排放均值分别为</w:t>
      </w:r>
      <w:r>
        <w:t>0.20 kg N t</w:t>
      </w:r>
      <w:r>
        <w:rPr>
          <w:rFonts w:ascii="Cambria Math" w:hAnsi="Cambria Math" w:cs="Cambria Math"/>
        </w:rPr>
        <w:t>⁻</w:t>
      </w:r>
      <w:r>
        <w:t>¹</w:t>
      </w:r>
      <w:r>
        <w:rPr>
          <w:rFonts w:hint="eastAsia"/>
        </w:rPr>
        <w:t>（</w:t>
      </w:r>
      <w:r>
        <w:t>0.02—0.98</w:t>
      </w:r>
      <w:r>
        <w:rPr>
          <w:rFonts w:hint="eastAsia"/>
        </w:rPr>
        <w:t>，</w:t>
      </w:r>
      <w:r>
        <w:t>n = 138</w:t>
      </w:r>
      <w:r>
        <w:rPr>
          <w:rFonts w:hint="eastAsia"/>
        </w:rPr>
        <w:t>，</w:t>
      </w:r>
      <w:r>
        <w:t>CV = 83%</w:t>
      </w:r>
      <w:r>
        <w:rPr>
          <w:rFonts w:hint="eastAsia"/>
        </w:rPr>
        <w:t>）、</w:t>
      </w:r>
      <w:r>
        <w:t>0.17 kg N t</w:t>
      </w:r>
      <w:r>
        <w:rPr>
          <w:rFonts w:ascii="Cambria Math" w:hAnsi="Cambria Math" w:cs="Cambria Math"/>
        </w:rPr>
        <w:t>⁻</w:t>
      </w:r>
      <w:r>
        <w:t>¹</w:t>
      </w:r>
      <w:r>
        <w:rPr>
          <w:rFonts w:hint="eastAsia"/>
        </w:rPr>
        <w:t>（</w:t>
      </w:r>
      <w:r>
        <w:t>0.06—0.32</w:t>
      </w:r>
      <w:r>
        <w:rPr>
          <w:rFonts w:hint="eastAsia"/>
        </w:rPr>
        <w:t>，</w:t>
      </w:r>
      <w:r>
        <w:t>n = 18</w:t>
      </w:r>
      <w:r>
        <w:rPr>
          <w:rFonts w:hint="eastAsia"/>
        </w:rPr>
        <w:t>，</w:t>
      </w:r>
      <w:r>
        <w:t>CV = 44%</w:t>
      </w:r>
      <w:r>
        <w:rPr>
          <w:rFonts w:hint="eastAsia"/>
        </w:rPr>
        <w:t>）和</w:t>
      </w:r>
      <w:r>
        <w:t>1.08 kg N t</w:t>
      </w:r>
      <w:r>
        <w:rPr>
          <w:rFonts w:ascii="Cambria Math" w:hAnsi="Cambria Math" w:cs="Cambria Math"/>
        </w:rPr>
        <w:t>⁻</w:t>
      </w:r>
      <w:r>
        <w:t>¹</w:t>
      </w:r>
      <w:r>
        <w:rPr>
          <w:rFonts w:hint="eastAsia"/>
        </w:rPr>
        <w:t>（</w:t>
      </w:r>
      <w:r>
        <w:t>0.46—2.28</w:t>
      </w:r>
      <w:r>
        <w:rPr>
          <w:rFonts w:hint="eastAsia"/>
        </w:rPr>
        <w:t>，</w:t>
      </w:r>
      <w:r>
        <w:t>n = 45</w:t>
      </w:r>
      <w:r>
        <w:rPr>
          <w:rFonts w:hint="eastAsia"/>
        </w:rPr>
        <w:t>，</w:t>
      </w:r>
      <w:r>
        <w:t>CV = 35%</w:t>
      </w:r>
      <w:r>
        <w:rPr>
          <w:rFonts w:hint="eastAsia"/>
        </w:rPr>
        <w:t>）（图</w:t>
      </w:r>
      <w:r>
        <w:t>3-3B</w:t>
      </w:r>
      <w:r>
        <w:rPr>
          <w:rFonts w:hint="eastAsia"/>
        </w:rPr>
        <w:t>）。春小麦的产量尺度排放显著高于春玉米和冬小麦（</w:t>
      </w:r>
      <w:r>
        <w:t>BH</w:t>
      </w:r>
      <w:r>
        <w:rPr>
          <w:rFonts w:hint="eastAsia"/>
        </w:rPr>
        <w:t>校正后</w:t>
      </w:r>
      <w:r>
        <w:t>p &lt; 0.001</w:t>
      </w:r>
      <w:r>
        <w:rPr>
          <w:rFonts w:hint="eastAsia"/>
        </w:rPr>
        <w:t>），后两者之间差异不显著（</w:t>
      </w:r>
      <w:r>
        <w:t>p = 0.954</w:t>
      </w:r>
      <w:r>
        <w:rPr>
          <w:rFonts w:hint="eastAsia"/>
        </w:rPr>
        <w:t>）。苹果果园的产量尺度排放均值为</w:t>
      </w:r>
      <w:r>
        <w:t>0.06 kg N t</w:t>
      </w:r>
      <w:r>
        <w:rPr>
          <w:rFonts w:ascii="Cambria Math" w:hAnsi="Cambria Math" w:cs="Cambria Math"/>
        </w:rPr>
        <w:t>⁻</w:t>
      </w:r>
      <w:r>
        <w:t>¹</w:t>
      </w:r>
      <w:r>
        <w:rPr>
          <w:rFonts w:hint="eastAsia"/>
        </w:rPr>
        <w:t>（</w:t>
      </w:r>
      <w:r>
        <w:t>0.02—0.21</w:t>
      </w:r>
      <w:r>
        <w:rPr>
          <w:rFonts w:hint="eastAsia"/>
        </w:rPr>
        <w:t>，</w:t>
      </w:r>
      <w:r>
        <w:t>n = 25</w:t>
      </w:r>
      <w:r>
        <w:rPr>
          <w:rFonts w:hint="eastAsia"/>
        </w:rPr>
        <w:t>，</w:t>
      </w:r>
      <w:r>
        <w:t>CV = 80%</w:t>
      </w:r>
      <w:r>
        <w:rPr>
          <w:rFonts w:hint="eastAsia"/>
        </w:rPr>
        <w:t>），显著低于三个粮食作物体系（</w:t>
      </w:r>
      <w:r>
        <w:t>BH</w:t>
      </w:r>
      <w:r>
        <w:rPr>
          <w:rFonts w:hint="eastAsia"/>
        </w:rPr>
        <w:t>校正后</w:t>
      </w:r>
      <w:r>
        <w:t>p &lt; 0.001</w:t>
      </w:r>
      <w:r>
        <w:rPr>
          <w:rFonts w:hint="eastAsia"/>
        </w:rPr>
        <w:t>）。</w:t>
      </w:r>
    </w:p>
    <w:p w14:paraId="0E6B058F" w14:textId="77777777" w:rsidR="00606DE5" w:rsidRDefault="00000000">
      <w:pPr>
        <w:jc w:val="center"/>
        <w:rPr>
          <w:sz w:val="21"/>
          <w:szCs w:val="21"/>
        </w:rPr>
      </w:pPr>
      <w:r>
        <w:rPr>
          <w:noProof/>
        </w:rPr>
        <w:lastRenderedPageBreak/>
        <w:drawing>
          <wp:inline distT="0" distB="0" distL="0" distR="0" wp14:anchorId="4EB0AE43" wp14:editId="6B1A2EC8">
            <wp:extent cx="4578985" cy="5751830"/>
            <wp:effectExtent l="0" t="0" r="5715" b="127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12"/>
                    <a:srcRect/>
                    <a:stretch>
                      <a:fillRect/>
                    </a:stretch>
                  </pic:blipFill>
                  <pic:spPr>
                    <a:xfrm>
                      <a:off x="0" y="0"/>
                      <a:ext cx="4588190" cy="5762944"/>
                    </a:xfrm>
                    <a:prstGeom prst="rect">
                      <a:avLst/>
                    </a:prstGeom>
                  </pic:spPr>
                </pic:pic>
              </a:graphicData>
            </a:graphic>
          </wp:inline>
        </w:drawing>
      </w:r>
    </w:p>
    <w:p w14:paraId="3AC0EDEE" w14:textId="77777777" w:rsidR="00606DE5" w:rsidRDefault="00000000">
      <w:pPr>
        <w:jc w:val="center"/>
      </w:pPr>
      <w:r>
        <w:rPr>
          <w:sz w:val="21"/>
          <w:szCs w:val="21"/>
        </w:rPr>
        <w:t>图 3-3 黄土高原不同农业生态系统直接排放因子和产量尺度排放比较</w:t>
      </w:r>
    </w:p>
    <w:p w14:paraId="16749908" w14:textId="77777777" w:rsidR="00606DE5" w:rsidRDefault="00000000" w:rsidP="007C0CF3">
      <w:pPr>
        <w:pStyle w:val="ad"/>
        <w:spacing w:before="240" w:after="120"/>
      </w:pPr>
      <w:bookmarkStart w:id="39" w:name="_Toc229090866"/>
      <w:bookmarkStart w:id="40" w:name="_Toc229245530"/>
      <w:r>
        <w:t xml:space="preserve">3.3 </w:t>
      </w:r>
      <w:r>
        <w:t>农作管理措施</w:t>
      </w:r>
      <w:r>
        <w:t>Meta</w:t>
      </w:r>
      <w:r>
        <w:t>分析结果</w:t>
      </w:r>
      <w:bookmarkEnd w:id="39"/>
      <w:bookmarkEnd w:id="40"/>
    </w:p>
    <w:p w14:paraId="121F8C05" w14:textId="77777777" w:rsidR="00606DE5" w:rsidRDefault="00000000">
      <w:pPr>
        <w:pStyle w:val="ac"/>
        <w:ind w:firstLine="480"/>
      </w:pPr>
      <w:r>
        <w:t>有机物料投入对</w:t>
      </w:r>
      <w:r>
        <w:t>N₂O</w:t>
      </w:r>
      <w:r>
        <w:t>排放的影响总体不显著（</w:t>
      </w:r>
      <w:r>
        <w:t>95% CI</w:t>
      </w:r>
      <w:r>
        <w:t>：</w:t>
      </w:r>
      <w:r>
        <w:t>−1.5%</w:t>
      </w:r>
      <w:r>
        <w:t>至</w:t>
      </w:r>
      <w:r>
        <w:t>7.5%</w:t>
      </w:r>
      <w:r>
        <w:t>），但使作物产量增加</w:t>
      </w:r>
      <w:r>
        <w:t>9.4%</w:t>
      </w:r>
      <w:r>
        <w:t>（</w:t>
      </w:r>
      <w:r>
        <w:t>95% CI</w:t>
      </w:r>
      <w:r>
        <w:t>：</w:t>
      </w:r>
      <w:r>
        <w:t>5.5%</w:t>
      </w:r>
      <w:r>
        <w:t>至</w:t>
      </w:r>
      <w:r>
        <w:t>13.4%</w:t>
      </w:r>
      <w:r>
        <w:t>），并使产量尺度排放降低</w:t>
      </w:r>
      <w:r>
        <w:t>8.8%</w:t>
      </w:r>
      <w:r>
        <w:t>（</w:t>
      </w:r>
      <w:r>
        <w:t>95% CI</w:t>
      </w:r>
      <w:r>
        <w:t>：</w:t>
      </w:r>
      <w:r>
        <w:t>−14.6%</w:t>
      </w:r>
      <w:r>
        <w:t>至</w:t>
      </w:r>
      <w:r>
        <w:t>−2.7%</w:t>
      </w:r>
      <w:r>
        <w:t>）（图</w:t>
      </w:r>
      <w:r>
        <w:t>3-4</w:t>
      </w:r>
      <w:r>
        <w:t>）。分类分析显示：粪肥施用对</w:t>
      </w:r>
      <w:r>
        <w:t>N₂O</w:t>
      </w:r>
      <w:r>
        <w:t>排放的影响不显著（</w:t>
      </w:r>
      <w:r>
        <w:t>95% CI</w:t>
      </w:r>
      <w:r>
        <w:t>：</w:t>
      </w:r>
      <w:r>
        <w:t>−7.8%</w:t>
      </w:r>
      <w:r>
        <w:t>至</w:t>
      </w:r>
      <w:r>
        <w:t>3.3%</w:t>
      </w:r>
      <w:r>
        <w:t>），但使作物产量增加</w:t>
      </w:r>
      <w:r>
        <w:t>11.7%</w:t>
      </w:r>
      <w:r>
        <w:t>（</w:t>
      </w:r>
      <w:r>
        <w:t>95% CI</w:t>
      </w:r>
      <w:r>
        <w:t>：</w:t>
      </w:r>
      <w:r>
        <w:t>6.1%</w:t>
      </w:r>
      <w:r>
        <w:t>至</w:t>
      </w:r>
      <w:r>
        <w:t>17.6%</w:t>
      </w:r>
      <w:r>
        <w:t>）、产量尺度排放降低</w:t>
      </w:r>
      <w:r>
        <w:t>19.4%</w:t>
      </w:r>
      <w:r>
        <w:t>（</w:t>
      </w:r>
      <w:r>
        <w:t>95% CI</w:t>
      </w:r>
      <w:r>
        <w:t>：</w:t>
      </w:r>
      <w:r>
        <w:t>−26.4%</w:t>
      </w:r>
      <w:r>
        <w:t>至</w:t>
      </w:r>
      <w:r>
        <w:t>−11.7%</w:t>
      </w:r>
      <w:r>
        <w:t>）；秸秆还田则使</w:t>
      </w:r>
      <w:r>
        <w:t>N₂O</w:t>
      </w:r>
      <w:r>
        <w:t>排放和作物产量分别增加</w:t>
      </w:r>
      <w:r>
        <w:t>10.4%</w:t>
      </w:r>
      <w:r>
        <w:t>（</w:t>
      </w:r>
      <w:r>
        <w:t>95% CI</w:t>
      </w:r>
      <w:r>
        <w:t>：</w:t>
      </w:r>
      <w:r>
        <w:t>3.4%</w:t>
      </w:r>
      <w:r>
        <w:t>至</w:t>
      </w:r>
      <w:r>
        <w:t>17.9%</w:t>
      </w:r>
      <w:r>
        <w:t>）和</w:t>
      </w:r>
      <w:r>
        <w:t>7.2%</w:t>
      </w:r>
      <w:r>
        <w:t>（</w:t>
      </w:r>
      <w:r>
        <w:t>95% CI</w:t>
      </w:r>
      <w:r>
        <w:t>：</w:t>
      </w:r>
      <w:r>
        <w:t>1.9%</w:t>
      </w:r>
      <w:r>
        <w:t>至</w:t>
      </w:r>
      <w:r>
        <w:t>12.8%</w:t>
      </w:r>
      <w:r>
        <w:t>），对产量尺度排放的影响不显著（</w:t>
      </w:r>
      <w:r>
        <w:t>95% CI</w:t>
      </w:r>
      <w:r>
        <w:t>：</w:t>
      </w:r>
      <w:r>
        <w:t>−5.5%</w:t>
      </w:r>
      <w:r>
        <w:t>至</w:t>
      </w:r>
      <w:r>
        <w:t>13.8%</w:t>
      </w:r>
      <w:r>
        <w:t>）。有机物料投入对</w:t>
      </w:r>
      <w:r>
        <w:t>EF</w:t>
      </w:r>
      <w:r>
        <w:t>的综合效应不显著（</w:t>
      </w:r>
      <w:r>
        <w:t>Hedges' d 95% CI</w:t>
      </w:r>
      <w:r>
        <w:t>：</w:t>
      </w:r>
      <w:r>
        <w:t>−0.83</w:t>
      </w:r>
      <w:r>
        <w:t>至</w:t>
      </w:r>
      <w:r>
        <w:t>0.09</w:t>
      </w:r>
      <w:r>
        <w:t>），其中粪肥施用使</w:t>
      </w:r>
      <w:r>
        <w:t>EF</w:t>
      </w:r>
      <w:r>
        <w:t>显著降低（</w:t>
      </w:r>
      <w:r>
        <w:t>Hedges' d 95% CI</w:t>
      </w:r>
      <w:r>
        <w:t>：</w:t>
      </w:r>
      <w:r>
        <w:t>−1.18</w:t>
      </w:r>
      <w:r>
        <w:t>至</w:t>
      </w:r>
      <w:r>
        <w:t>−0.13</w:t>
      </w:r>
      <w:r>
        <w:t>），秸秆还田对</w:t>
      </w:r>
      <w:r>
        <w:t>EF</w:t>
      </w:r>
      <w:r>
        <w:t>的影响不显著（</w:t>
      </w:r>
      <w:r>
        <w:t>Hedges' d 95% CI</w:t>
      </w:r>
      <w:r>
        <w:t>：</w:t>
      </w:r>
      <w:r>
        <w:t>−0.38</w:t>
      </w:r>
      <w:r>
        <w:t>至</w:t>
      </w:r>
      <w:r>
        <w:t>1.56</w:t>
      </w:r>
      <w:r>
        <w:t>）。</w:t>
      </w:r>
    </w:p>
    <w:p w14:paraId="5F4B5390" w14:textId="77777777" w:rsidR="00606DE5" w:rsidRDefault="00000000">
      <w:pPr>
        <w:pStyle w:val="ac"/>
        <w:ind w:firstLine="480"/>
      </w:pPr>
      <w:r>
        <w:lastRenderedPageBreak/>
        <w:t>覆盖措施总体使</w:t>
      </w:r>
      <w:r>
        <w:t>N₂O</w:t>
      </w:r>
      <w:r>
        <w:t>排放和作物产量分别增加</w:t>
      </w:r>
      <w:r>
        <w:t>10.4%</w:t>
      </w:r>
      <w:r>
        <w:t>（</w:t>
      </w:r>
      <w:r>
        <w:t>95% CI</w:t>
      </w:r>
      <w:r>
        <w:t>：</w:t>
      </w:r>
      <w:r>
        <w:t>6.0%</w:t>
      </w:r>
      <w:r>
        <w:t>至</w:t>
      </w:r>
      <w:r>
        <w:t>15.0%</w:t>
      </w:r>
      <w:r>
        <w:t>）和</w:t>
      </w:r>
      <w:r>
        <w:t>19.1%</w:t>
      </w:r>
      <w:r>
        <w:t>（</w:t>
      </w:r>
      <w:r>
        <w:t>95% CI</w:t>
      </w:r>
      <w:r>
        <w:t>：</w:t>
      </w:r>
      <w:r>
        <w:t>14.9%</w:t>
      </w:r>
      <w:r>
        <w:t>至</w:t>
      </w:r>
      <w:r>
        <w:t>23.5%</w:t>
      </w:r>
      <w:r>
        <w:t>），并使产量尺度排放降低</w:t>
      </w:r>
      <w:r>
        <w:t>10.2%</w:t>
      </w:r>
      <w:r>
        <w:t>（</w:t>
      </w:r>
      <w:r>
        <w:t>95% CI</w:t>
      </w:r>
      <w:r>
        <w:t>：</w:t>
      </w:r>
      <w:r>
        <w:t>−15.6%</w:t>
      </w:r>
      <w:r>
        <w:t>至</w:t>
      </w:r>
      <w:r>
        <w:t>−4.5%</w:t>
      </w:r>
      <w:r>
        <w:t>）（图</w:t>
      </w:r>
      <w:r>
        <w:t>3-4</w:t>
      </w:r>
      <w:r>
        <w:t>）。地膜覆盖对</w:t>
      </w:r>
      <w:r>
        <w:t>N₂O</w:t>
      </w:r>
      <w:r>
        <w:t>排放的影响不显著（</w:t>
      </w:r>
      <w:r>
        <w:t>95% CI</w:t>
      </w:r>
      <w:r>
        <w:t>：</w:t>
      </w:r>
      <w:r>
        <w:t>−0.3%</w:t>
      </w:r>
      <w:r>
        <w:t>至</w:t>
      </w:r>
      <w:r>
        <w:t>9.7%</w:t>
      </w:r>
      <w:r>
        <w:t>），但使作物产量增加</w:t>
      </w:r>
      <w:r>
        <w:t>24.1%</w:t>
      </w:r>
      <w:r>
        <w:t>（</w:t>
      </w:r>
      <w:r>
        <w:t>95% CI</w:t>
      </w:r>
      <w:r>
        <w:t>：</w:t>
      </w:r>
      <w:r>
        <w:t>18.9%</w:t>
      </w:r>
      <w:r>
        <w:t>至</w:t>
      </w:r>
      <w:r>
        <w:t>29.4%</w:t>
      </w:r>
      <w:r>
        <w:t>）、产量尺度排放降低</w:t>
      </w:r>
      <w:r>
        <w:t>16.6%</w:t>
      </w:r>
      <w:r>
        <w:t>（</w:t>
      </w:r>
      <w:r>
        <w:t>95% CI</w:t>
      </w:r>
      <w:r>
        <w:t>：</w:t>
      </w:r>
      <w:r>
        <w:t>−22.3%</w:t>
      </w:r>
      <w:r>
        <w:t>至</w:t>
      </w:r>
      <w:r>
        <w:t>−10.4%</w:t>
      </w:r>
      <w:r>
        <w:t>）；秸秆覆盖则使</w:t>
      </w:r>
      <w:r>
        <w:t>N₂O</w:t>
      </w:r>
      <w:r>
        <w:t>排放增加</w:t>
      </w:r>
      <w:r>
        <w:t>27.2%</w:t>
      </w:r>
      <w:r>
        <w:t>（</w:t>
      </w:r>
      <w:r>
        <w:t>95% CI</w:t>
      </w:r>
      <w:r>
        <w:t>：</w:t>
      </w:r>
      <w:r>
        <w:t>17.7%</w:t>
      </w:r>
      <w:r>
        <w:t>至</w:t>
      </w:r>
      <w:r>
        <w:t>37.4%</w:t>
      </w:r>
      <w:r>
        <w:t>），对作物产量和产量尺度排放的影响均不显著。覆盖措施对</w:t>
      </w:r>
      <w:r>
        <w:t>EF</w:t>
      </w:r>
      <w:r>
        <w:t>的综合效应不显著（</w:t>
      </w:r>
      <w:r>
        <w:t>Hedges' d 95% CI</w:t>
      </w:r>
      <w:r>
        <w:t>：</w:t>
      </w:r>
      <w:r>
        <w:t>−0.84</w:t>
      </w:r>
      <w:r>
        <w:t>至</w:t>
      </w:r>
      <w:r>
        <w:t>0.03</w:t>
      </w:r>
      <w:r>
        <w:t>）。</w:t>
      </w:r>
    </w:p>
    <w:p w14:paraId="67D19A8B" w14:textId="77777777" w:rsidR="00606DE5" w:rsidRDefault="00000000">
      <w:pPr>
        <w:pStyle w:val="ac"/>
        <w:ind w:firstLine="480"/>
      </w:pPr>
      <w:r>
        <w:t>生物炭添加使</w:t>
      </w:r>
      <w:r>
        <w:t>N₂O</w:t>
      </w:r>
      <w:r>
        <w:t>排放降低</w:t>
      </w:r>
      <w:r>
        <w:t>10.5%</w:t>
      </w:r>
      <w:r>
        <w:t>（</w:t>
      </w:r>
      <w:r>
        <w:t>95% CI</w:t>
      </w:r>
      <w:r>
        <w:t>：</w:t>
      </w:r>
      <w:r>
        <w:t>−16.9%</w:t>
      </w:r>
      <w:r>
        <w:t>至</w:t>
      </w:r>
      <w:r>
        <w:t>−3.7%</w:t>
      </w:r>
      <w:r>
        <w:t>），对作物产量的影响不显著（</w:t>
      </w:r>
      <w:r>
        <w:t>95% CI</w:t>
      </w:r>
      <w:r>
        <w:t>：</w:t>
      </w:r>
      <w:r>
        <w:t>−9.6%</w:t>
      </w:r>
      <w:r>
        <w:t>至</w:t>
      </w:r>
      <w:r>
        <w:t>3.0%</w:t>
      </w:r>
      <w:r>
        <w:t>），并使产量尺度排放降低</w:t>
      </w:r>
      <w:r>
        <w:t>11.3%</w:t>
      </w:r>
      <w:r>
        <w:t>（</w:t>
      </w:r>
      <w:r>
        <w:t>95% CI</w:t>
      </w:r>
      <w:r>
        <w:t>：</w:t>
      </w:r>
      <w:r>
        <w:t>−20.1%</w:t>
      </w:r>
      <w:r>
        <w:t>至</w:t>
      </w:r>
      <w:r>
        <w:t>−1.5%</w:t>
      </w:r>
      <w:r>
        <w:t>）（图</w:t>
      </w:r>
      <w:r>
        <w:t>3-4</w:t>
      </w:r>
      <w:r>
        <w:t>）。施用增效肥料使</w:t>
      </w:r>
      <w:r>
        <w:t>N₂O</w:t>
      </w:r>
      <w:r>
        <w:t>排放降低</w:t>
      </w:r>
      <w:r>
        <w:t>28.4%</w:t>
      </w:r>
      <w:r>
        <w:t>（</w:t>
      </w:r>
      <w:r>
        <w:t>95% CI</w:t>
      </w:r>
      <w:r>
        <w:t>：</w:t>
      </w:r>
      <w:r>
        <w:t>−39.1%</w:t>
      </w:r>
      <w:r>
        <w:t>至</w:t>
      </w:r>
      <w:r>
        <w:t>−15.8%</w:t>
      </w:r>
      <w:r>
        <w:t>），对作物产量的影响不显著（</w:t>
      </w:r>
      <w:r>
        <w:t>95% CI</w:t>
      </w:r>
      <w:r>
        <w:t>：</w:t>
      </w:r>
      <w:r>
        <w:t>−1.4%</w:t>
      </w:r>
      <w:r>
        <w:t>至</w:t>
      </w:r>
      <w:r>
        <w:t>0.8%</w:t>
      </w:r>
      <w:r>
        <w:t>），并使产量尺度排放降低</w:t>
      </w:r>
      <w:r>
        <w:t>44.1%</w:t>
      </w:r>
      <w:r>
        <w:t>（</w:t>
      </w:r>
      <w:r>
        <w:t>95% CI</w:t>
      </w:r>
      <w:r>
        <w:t>：</w:t>
      </w:r>
      <w:r>
        <w:t>−56.1%</w:t>
      </w:r>
      <w:r>
        <w:t>至</w:t>
      </w:r>
      <w:r>
        <w:t>−28.7%</w:t>
      </w:r>
      <w:r>
        <w:t>）。生物炭添加对</w:t>
      </w:r>
      <w:r>
        <w:t>EF</w:t>
      </w:r>
      <w:r>
        <w:t>的影响不显著（</w:t>
      </w:r>
      <w:r>
        <w:t>Hedges' d 95% CI</w:t>
      </w:r>
      <w:r>
        <w:t>：</w:t>
      </w:r>
      <w:r>
        <w:t>−0.41</w:t>
      </w:r>
      <w:r>
        <w:t>至</w:t>
      </w:r>
      <w:r>
        <w:t>1.17</w:t>
      </w:r>
      <w:r>
        <w:t>），施用增效肥料使</w:t>
      </w:r>
      <w:r>
        <w:t>EF</w:t>
      </w:r>
      <w:r>
        <w:t>显著降低（</w:t>
      </w:r>
      <w:r>
        <w:t>Hedges' d 95% CI</w:t>
      </w:r>
      <w:r>
        <w:t>：</w:t>
      </w:r>
      <w:r>
        <w:t>−4.31</w:t>
      </w:r>
      <w:r>
        <w:t>至</w:t>
      </w:r>
      <w:r>
        <w:t>−1.71</w:t>
      </w:r>
      <w:r>
        <w:t>）。</w:t>
      </w:r>
    </w:p>
    <w:p w14:paraId="6F22C187" w14:textId="77777777" w:rsidR="00606DE5" w:rsidRDefault="00000000">
      <w:pPr>
        <w:pStyle w:val="ac"/>
        <w:keepNext/>
        <w:spacing w:line="240" w:lineRule="auto"/>
        <w:ind w:firstLineChars="0" w:firstLine="0"/>
        <w:jc w:val="center"/>
      </w:pPr>
      <w:r>
        <w:rPr>
          <w:rFonts w:hint="eastAsia"/>
          <w:noProof/>
        </w:rPr>
        <w:drawing>
          <wp:inline distT="0" distB="0" distL="114300" distR="114300" wp14:anchorId="6681A4D1" wp14:editId="169CD100">
            <wp:extent cx="3465830" cy="2722880"/>
            <wp:effectExtent l="0" t="0" r="1270" b="0"/>
            <wp:docPr id="1" name="图片 1" descr="Fig3-4_management_meta_forest_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3-4_management_meta_forest_CN"/>
                    <pic:cNvPicPr>
                      <a:picLocks noChangeAspect="1"/>
                    </pic:cNvPicPr>
                  </pic:nvPicPr>
                  <pic:blipFill>
                    <a:blip r:embed="rId13"/>
                    <a:stretch>
                      <a:fillRect/>
                    </a:stretch>
                  </pic:blipFill>
                  <pic:spPr>
                    <a:xfrm>
                      <a:off x="0" y="0"/>
                      <a:ext cx="3508362" cy="2756290"/>
                    </a:xfrm>
                    <a:prstGeom prst="rect">
                      <a:avLst/>
                    </a:prstGeom>
                  </pic:spPr>
                </pic:pic>
              </a:graphicData>
            </a:graphic>
          </wp:inline>
        </w:drawing>
      </w:r>
    </w:p>
    <w:p w14:paraId="4A672C09" w14:textId="2805D1BC" w:rsidR="00606DE5" w:rsidRPr="0094125D" w:rsidRDefault="00000000" w:rsidP="0094125D">
      <w:pPr>
        <w:pStyle w:val="ac"/>
        <w:ind w:firstLineChars="0" w:firstLine="0"/>
        <w:jc w:val="center"/>
        <w:rPr>
          <w:sz w:val="21"/>
          <w:szCs w:val="21"/>
        </w:rPr>
      </w:pPr>
      <w:r>
        <w:rPr>
          <w:sz w:val="21"/>
          <w:szCs w:val="21"/>
        </w:rPr>
        <w:t>图</w:t>
      </w:r>
      <w:r>
        <w:rPr>
          <w:sz w:val="21"/>
          <w:szCs w:val="21"/>
        </w:rPr>
        <w:t xml:space="preserve"> 3-4 </w:t>
      </w:r>
      <w:r>
        <w:rPr>
          <w:sz w:val="21"/>
          <w:szCs w:val="21"/>
        </w:rPr>
        <w:t>农作管理措施对</w:t>
      </w:r>
      <w:r>
        <w:rPr>
          <w:sz w:val="21"/>
          <w:szCs w:val="21"/>
        </w:rPr>
        <w:t xml:space="preserve"> N₂O </w:t>
      </w:r>
      <w:r>
        <w:rPr>
          <w:sz w:val="21"/>
          <w:szCs w:val="21"/>
        </w:rPr>
        <w:t>排放、作物产量、产量尺度排放和直接排放因子的影响</w:t>
      </w:r>
    </w:p>
    <w:p w14:paraId="731136F9" w14:textId="77777777" w:rsidR="00606DE5" w:rsidRDefault="00000000">
      <w:pPr>
        <w:pStyle w:val="ac"/>
        <w:ind w:firstLine="480"/>
      </w:pPr>
      <w:r>
        <w:t>减量施氮使</w:t>
      </w:r>
      <w:r>
        <w:t>N₂O</w:t>
      </w:r>
      <w:r>
        <w:t>排放、作物产量和产量尺度排放分别降低</w:t>
      </w:r>
      <w:r>
        <w:t>32.2%</w:t>
      </w:r>
      <w:r>
        <w:t>（</w:t>
      </w:r>
      <w:r>
        <w:t>95% CI</w:t>
      </w:r>
      <w:r>
        <w:t>：</w:t>
      </w:r>
      <w:r>
        <w:t>−36.7%</w:t>
      </w:r>
      <w:r>
        <w:t>至</w:t>
      </w:r>
      <w:r>
        <w:t>−27.9%</w:t>
      </w:r>
      <w:r>
        <w:t>）、</w:t>
      </w:r>
      <w:r>
        <w:t>5.9%</w:t>
      </w:r>
      <w:r>
        <w:t>（</w:t>
      </w:r>
      <w:r>
        <w:t>95% CI</w:t>
      </w:r>
      <w:r>
        <w:t>：</w:t>
      </w:r>
      <w:r>
        <w:t>−10.0%</w:t>
      </w:r>
      <w:r>
        <w:t>至</w:t>
      </w:r>
      <w:r>
        <w:t>−1.8%</w:t>
      </w:r>
      <w:r>
        <w:t>）和</w:t>
      </w:r>
      <w:r>
        <w:t>27.6%</w:t>
      </w:r>
      <w:r>
        <w:t>（</w:t>
      </w:r>
      <w:r>
        <w:t>95% CI</w:t>
      </w:r>
      <w:r>
        <w:t>：</w:t>
      </w:r>
      <w:r>
        <w:t>−32.3%</w:t>
      </w:r>
      <w:r>
        <w:t>至</w:t>
      </w:r>
      <w:r>
        <w:t>−21.9%</w:t>
      </w:r>
      <w:r>
        <w:t>），但对</w:t>
      </w:r>
      <w:r>
        <w:t>EF</w:t>
      </w:r>
      <w:r>
        <w:t>的总体影响不显著（</w:t>
      </w:r>
      <w:r>
        <w:t>Hedges' d = −0.01</w:t>
      </w:r>
      <w:r>
        <w:t>，</w:t>
      </w:r>
      <w:r>
        <w:t>95% CI</w:t>
      </w:r>
      <w:r>
        <w:t>：</w:t>
      </w:r>
      <w:r>
        <w:t>−0.27</w:t>
      </w:r>
      <w:r>
        <w:t>至</w:t>
      </w:r>
      <w:r>
        <w:t>0.26</w:t>
      </w:r>
      <w:r>
        <w:t>）（图</w:t>
      </w:r>
      <w:r>
        <w:t>3-5</w:t>
      </w:r>
      <w:r>
        <w:t>）。分作物类型分析，减量施氮使春玉米和春小麦</w:t>
      </w:r>
      <w:r>
        <w:t>N₂O</w:t>
      </w:r>
      <w:r>
        <w:t>排放分别降低</w:t>
      </w:r>
      <w:r>
        <w:t>33.1%</w:t>
      </w:r>
      <w:r>
        <w:t>（</w:t>
      </w:r>
      <w:r>
        <w:t>95% CI</w:t>
      </w:r>
      <w:r>
        <w:t>：</w:t>
      </w:r>
      <w:r>
        <w:t>−40.1%</w:t>
      </w:r>
      <w:r>
        <w:t>至</w:t>
      </w:r>
      <w:r>
        <w:t>−24.5%</w:t>
      </w:r>
      <w:r>
        <w:t>）和</w:t>
      </w:r>
      <w:r>
        <w:t>30.6%</w:t>
      </w:r>
      <w:r>
        <w:t>（</w:t>
      </w:r>
      <w:r>
        <w:t>95% CI</w:t>
      </w:r>
      <w:r>
        <w:t>：</w:t>
      </w:r>
      <w:r>
        <w:t>−36.1%</w:t>
      </w:r>
      <w:r>
        <w:t>至</w:t>
      </w:r>
      <w:r>
        <w:t>−23.4%</w:t>
      </w:r>
      <w:r>
        <w:t>），产量尺度排放分别降低</w:t>
      </w:r>
      <w:r>
        <w:t>21.1%</w:t>
      </w:r>
      <w:r>
        <w:t>（</w:t>
      </w:r>
      <w:r>
        <w:t>95% CI</w:t>
      </w:r>
      <w:r>
        <w:t>：</w:t>
      </w:r>
      <w:r>
        <w:t>−27.6%</w:t>
      </w:r>
      <w:r>
        <w:t>至</w:t>
      </w:r>
      <w:r>
        <w:t>−13.2%</w:t>
      </w:r>
      <w:r>
        <w:t>）和</w:t>
      </w:r>
      <w:r>
        <w:t>31.5%</w:t>
      </w:r>
      <w:r>
        <w:t>（</w:t>
      </w:r>
      <w:r>
        <w:t>95% CI</w:t>
      </w:r>
      <w:r>
        <w:t>：</w:t>
      </w:r>
      <w:r>
        <w:t>−37.6%</w:t>
      </w:r>
      <w:r>
        <w:t>至</w:t>
      </w:r>
      <w:r>
        <w:t>−20.9%</w:t>
      </w:r>
      <w:r>
        <w:t>）；春玉米产量显著降低</w:t>
      </w:r>
      <w:r>
        <w:t>13.8%</w:t>
      </w:r>
      <w:r>
        <w:t>（</w:t>
      </w:r>
      <w:r>
        <w:t>95% CI</w:t>
      </w:r>
      <w:r>
        <w:t>：</w:t>
      </w:r>
      <w:r>
        <w:t>−20.9%</w:t>
      </w:r>
      <w:r>
        <w:t>至</w:t>
      </w:r>
      <w:r>
        <w:t>−7.0%</w:t>
      </w:r>
      <w:r>
        <w:t>），春小麦产量影响不显著（</w:t>
      </w:r>
      <w:r>
        <w:t>95% CI</w:t>
      </w:r>
      <w:r>
        <w:t>：</w:t>
      </w:r>
      <w:r>
        <w:t>−6.6%</w:t>
      </w:r>
      <w:r>
        <w:t>至</w:t>
      </w:r>
      <w:r>
        <w:t>4.9%</w:t>
      </w:r>
      <w:r>
        <w:t>）。春玉米</w:t>
      </w:r>
      <w:r>
        <w:t>EF</w:t>
      </w:r>
      <w:r>
        <w:t>响应不显著，春小麦</w:t>
      </w:r>
      <w:r>
        <w:t>EF</w:t>
      </w:r>
      <w:r>
        <w:t>因支持文献少于</w:t>
      </w:r>
      <w:r>
        <w:t>3</w:t>
      </w:r>
      <w:r>
        <w:t>篇未进行合并效应判断。按减氮幅度分组，减氮</w:t>
      </w:r>
      <w:r>
        <w:t>&lt;25%</w:t>
      </w:r>
      <w:r>
        <w:t>亚组在</w:t>
      </w:r>
      <w:r>
        <w:t>N₂O</w:t>
      </w:r>
      <w:r>
        <w:t>排放、作物产量、产量尺度排放和</w:t>
      </w:r>
      <w:r>
        <w:t>EF</w:t>
      </w:r>
      <w:r>
        <w:t>上均因支持文</w:t>
      </w:r>
      <w:r>
        <w:lastRenderedPageBreak/>
        <w:t>献不足未进行合并效应判断；减氮</w:t>
      </w:r>
      <w:r>
        <w:t>25%–50%</w:t>
      </w:r>
      <w:r>
        <w:t>显著降低</w:t>
      </w:r>
      <w:r>
        <w:t>N₂O</w:t>
      </w:r>
      <w:r>
        <w:t>排放和产量尺度排放，降幅分别为</w:t>
      </w:r>
      <w:r>
        <w:t>27.3%</w:t>
      </w:r>
      <w:r>
        <w:t>（</w:t>
      </w:r>
      <w:r>
        <w:t>95% CI</w:t>
      </w:r>
      <w:r>
        <w:t>：</w:t>
      </w:r>
      <w:r>
        <w:t>−32.8%</w:t>
      </w:r>
      <w:r>
        <w:t>至</w:t>
      </w:r>
      <w:r>
        <w:t>−21.8%</w:t>
      </w:r>
      <w:r>
        <w:t>）和</w:t>
      </w:r>
      <w:r>
        <w:t>24.5%</w:t>
      </w:r>
      <w:r>
        <w:t>（</w:t>
      </w:r>
      <w:r>
        <w:t>95% CI</w:t>
      </w:r>
      <w:r>
        <w:t>：</w:t>
      </w:r>
      <w:r>
        <w:t>−31.1%</w:t>
      </w:r>
      <w:r>
        <w:t>至</w:t>
      </w:r>
      <w:r>
        <w:t>−16.2%</w:t>
      </w:r>
      <w:r>
        <w:t>），但对作物产量和</w:t>
      </w:r>
      <w:r>
        <w:t>EF</w:t>
      </w:r>
      <w:r>
        <w:t>影响不显著；减氮</w:t>
      </w:r>
      <w:r>
        <w:t>&gt;50%</w:t>
      </w:r>
      <w:r>
        <w:t>显著降低</w:t>
      </w:r>
      <w:r>
        <w:t>N₂O</w:t>
      </w:r>
      <w:r>
        <w:t>排放、作物产量和产量尺度排放，降幅分别为</w:t>
      </w:r>
      <w:r>
        <w:t>44.9%</w:t>
      </w:r>
      <w:r>
        <w:t>（</w:t>
      </w:r>
      <w:r>
        <w:t>95% CI</w:t>
      </w:r>
      <w:r>
        <w:t>：</w:t>
      </w:r>
      <w:r>
        <w:t>−51.4%</w:t>
      </w:r>
      <w:r>
        <w:t>至</w:t>
      </w:r>
      <w:r>
        <w:t>−37.8%</w:t>
      </w:r>
      <w:r>
        <w:t>）、</w:t>
      </w:r>
      <w:r>
        <w:t>12.4%</w:t>
      </w:r>
      <w:r>
        <w:t>（</w:t>
      </w:r>
      <w:r>
        <w:t>95% CI</w:t>
      </w:r>
      <w:r>
        <w:t>：</w:t>
      </w:r>
      <w:r>
        <w:t>−22.7%</w:t>
      </w:r>
      <w:r>
        <w:t>至</w:t>
      </w:r>
      <w:r>
        <w:t>−5.9%</w:t>
      </w:r>
      <w:r>
        <w:t>）和</w:t>
      </w:r>
      <w:r>
        <w:t>34.3%</w:t>
      </w:r>
      <w:r>
        <w:t>（</w:t>
      </w:r>
      <w:r>
        <w:t>95% CI</w:t>
      </w:r>
      <w:r>
        <w:t>：</w:t>
      </w:r>
      <w:r>
        <w:t>−42.8%</w:t>
      </w:r>
      <w:r>
        <w:t>至</w:t>
      </w:r>
      <w:r>
        <w:t>−24.9%</w:t>
      </w:r>
      <w:r>
        <w:t>），对</w:t>
      </w:r>
      <w:r>
        <w:t>EF</w:t>
      </w:r>
      <w:r>
        <w:t>影响不显著。</w:t>
      </w:r>
    </w:p>
    <w:p w14:paraId="7676E943" w14:textId="77777777" w:rsidR="00606DE5" w:rsidRDefault="00000000">
      <w:pPr>
        <w:jc w:val="center"/>
      </w:pPr>
      <w:r>
        <w:rPr>
          <w:noProof/>
        </w:rPr>
        <w:drawing>
          <wp:inline distT="0" distB="0" distL="0" distR="0" wp14:anchorId="190AB622" wp14:editId="4AF9F49E">
            <wp:extent cx="5274310" cy="4139565"/>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6" name="image2.png"/>
                    <pic:cNvPicPr preferRelativeResize="0"/>
                  </pic:nvPicPr>
                  <pic:blipFill>
                    <a:blip r:embed="rId14"/>
                    <a:srcRect/>
                    <a:stretch>
                      <a:fillRect/>
                    </a:stretch>
                  </pic:blipFill>
                  <pic:spPr>
                    <a:xfrm>
                      <a:off x="0" y="0"/>
                      <a:ext cx="5274310" cy="4139565"/>
                    </a:xfrm>
                    <a:prstGeom prst="rect">
                      <a:avLst/>
                    </a:prstGeom>
                  </pic:spPr>
                </pic:pic>
              </a:graphicData>
            </a:graphic>
          </wp:inline>
        </w:drawing>
      </w:r>
    </w:p>
    <w:p w14:paraId="4ADFA474" w14:textId="1798E828" w:rsidR="007C0CF3" w:rsidRDefault="00000000">
      <w:pPr>
        <w:pStyle w:val="ac"/>
        <w:ind w:firstLineChars="0" w:firstLine="0"/>
        <w:jc w:val="center"/>
        <w:rPr>
          <w:sz w:val="21"/>
          <w:szCs w:val="21"/>
        </w:rPr>
      </w:pPr>
      <w:r>
        <w:rPr>
          <w:sz w:val="21"/>
          <w:szCs w:val="21"/>
        </w:rPr>
        <w:t>图</w:t>
      </w:r>
      <w:r>
        <w:rPr>
          <w:sz w:val="21"/>
          <w:szCs w:val="21"/>
        </w:rPr>
        <w:t xml:space="preserve"> 3-5 </w:t>
      </w:r>
      <w:r>
        <w:rPr>
          <w:sz w:val="21"/>
          <w:szCs w:val="21"/>
        </w:rPr>
        <w:t>减量施氮对</w:t>
      </w:r>
      <w:r>
        <w:rPr>
          <w:sz w:val="21"/>
          <w:szCs w:val="21"/>
        </w:rPr>
        <w:t xml:space="preserve"> N₂O </w:t>
      </w:r>
      <w:r>
        <w:rPr>
          <w:sz w:val="21"/>
          <w:szCs w:val="21"/>
        </w:rPr>
        <w:t>排放、作物产量、产量尺度排放和直接排放因子的影响</w:t>
      </w:r>
    </w:p>
    <w:p w14:paraId="6A2E91B6" w14:textId="6833031A" w:rsidR="00606DE5" w:rsidRPr="007C0CF3" w:rsidRDefault="007C0CF3" w:rsidP="007C0CF3">
      <w:pPr>
        <w:rPr>
          <w:rFonts w:ascii="Times New Roman" w:hAnsi="Times New Roman" w:hint="eastAsia"/>
          <w:kern w:val="2"/>
          <w:sz w:val="21"/>
          <w:szCs w:val="21"/>
          <w14:ligatures w14:val="standardContextual"/>
        </w:rPr>
      </w:pPr>
      <w:r>
        <w:rPr>
          <w:sz w:val="21"/>
          <w:szCs w:val="21"/>
        </w:rPr>
        <w:br w:type="page"/>
      </w:r>
    </w:p>
    <w:p w14:paraId="00B4CC63" w14:textId="4ED030AB" w:rsidR="00606DE5" w:rsidRPr="007C0CF3" w:rsidRDefault="007C0CF3" w:rsidP="007C0CF3">
      <w:pPr>
        <w:pStyle w:val="af5"/>
        <w:spacing w:before="480" w:after="240"/>
      </w:pPr>
      <w:bookmarkStart w:id="41" w:name="_Toc229090867"/>
      <w:bookmarkStart w:id="42" w:name="_Toc229245531"/>
      <w:r>
        <w:rPr>
          <w:rFonts w:hint="eastAsia"/>
        </w:rPr>
        <w:lastRenderedPageBreak/>
        <w:t>第四章</w:t>
      </w:r>
      <w:r w:rsidRPr="007C0CF3">
        <w:t xml:space="preserve"> </w:t>
      </w:r>
      <w:r w:rsidRPr="007C0CF3">
        <w:t>讨论</w:t>
      </w:r>
      <w:bookmarkEnd w:id="41"/>
      <w:bookmarkEnd w:id="42"/>
    </w:p>
    <w:p w14:paraId="3311A810" w14:textId="77777777" w:rsidR="00606DE5" w:rsidRDefault="00000000" w:rsidP="007C0CF3">
      <w:pPr>
        <w:pStyle w:val="ad"/>
        <w:spacing w:before="240" w:after="120"/>
      </w:pPr>
      <w:bookmarkStart w:id="43" w:name="_Toc229090868"/>
      <w:bookmarkStart w:id="44" w:name="_Toc229245532"/>
      <w:r>
        <w:t xml:space="preserve">4.1 </w:t>
      </w:r>
      <w:r>
        <w:t>黄土高原区域</w:t>
      </w:r>
      <w:r>
        <w:t>N₂O</w:t>
      </w:r>
      <w:r>
        <w:t>排放特征与全球尺度对比</w:t>
      </w:r>
      <w:bookmarkEnd w:id="43"/>
      <w:bookmarkEnd w:id="44"/>
    </w:p>
    <w:p w14:paraId="47694D32" w14:textId="77777777" w:rsidR="00606DE5" w:rsidRDefault="00000000">
      <w:pPr>
        <w:pStyle w:val="ac"/>
        <w:ind w:firstLine="480"/>
      </w:pPr>
      <w:r>
        <w:rPr>
          <w:rFonts w:hint="eastAsia"/>
        </w:rPr>
        <w:t>黄土高原农业生态系统的</w:t>
      </w:r>
      <w:r>
        <w:t>N₂O</w:t>
      </w:r>
      <w:r>
        <w:rPr>
          <w:rFonts w:hint="eastAsia"/>
        </w:rPr>
        <w:t>排放量（</w:t>
      </w:r>
      <w:r>
        <w:t>0.32—8.89 kg N ha⁻¹</w:t>
      </w:r>
      <w:r>
        <w:rPr>
          <w:rFonts w:hint="eastAsia"/>
        </w:rPr>
        <w:t>）处于全球变化范围（</w:t>
      </w:r>
      <w:r>
        <w:t>−0.12—26.0 kg N ha⁻¹</w:t>
      </w:r>
      <w:r>
        <w:rPr>
          <w:rFonts w:hint="eastAsia"/>
        </w:rPr>
        <w:t>）之内（表</w:t>
      </w:r>
      <w:r>
        <w:t>4-1</w:t>
      </w:r>
      <w:r>
        <w:rPr>
          <w:rFonts w:hint="eastAsia"/>
        </w:rPr>
        <w:t>）。春玉米的</w:t>
      </w:r>
      <w:r>
        <w:t>N₂O</w:t>
      </w:r>
      <w:r>
        <w:rPr>
          <w:rFonts w:hint="eastAsia"/>
        </w:rPr>
        <w:t>排放均值（</w:t>
      </w:r>
      <w:r>
        <w:t>1.86 kg N ha⁻¹</w:t>
      </w:r>
      <w:r>
        <w:rPr>
          <w:rFonts w:hint="eastAsia"/>
        </w:rPr>
        <w:t>）落于全球玉米均值变化范围（</w:t>
      </w:r>
      <w:r>
        <w:t>1.50—3.01 kg N ha⁻¹</w:t>
      </w:r>
      <w:r>
        <w:rPr>
          <w:rFonts w:hint="eastAsia"/>
        </w:rPr>
        <w:t>）之内；冬小麦和春小麦的排放均值（</w:t>
      </w:r>
      <w:r>
        <w:t>0.89</w:t>
      </w:r>
      <w:r>
        <w:rPr>
          <w:rFonts w:hint="eastAsia"/>
        </w:rPr>
        <w:t>和</w:t>
      </w:r>
      <w:r>
        <w:t>1.59 kg N ha⁻¹</w:t>
      </w:r>
      <w:r>
        <w:rPr>
          <w:rFonts w:hint="eastAsia"/>
        </w:rPr>
        <w:t>）分别低于和高于全球小麦排放均值区间（</w:t>
      </w:r>
      <w:r>
        <w:t>1.38—1.44 kg N ha⁻¹</w:t>
      </w:r>
      <w:r>
        <w:rPr>
          <w:rFonts w:hint="eastAsia"/>
        </w:rPr>
        <w:t>），但考虑到已有全球</w:t>
      </w:r>
      <w:r>
        <w:t>Meta</w:t>
      </w:r>
      <w:r>
        <w:rPr>
          <w:rFonts w:hint="eastAsia"/>
        </w:rPr>
        <w:t>分析将冬小麦和春小麦合并处理（</w:t>
      </w:r>
      <w:r>
        <w:t>Linquist et al., 2012; Yao et al., 2024</w:t>
      </w:r>
      <w:r>
        <w:rPr>
          <w:rFonts w:hint="eastAsia"/>
        </w:rPr>
        <w:t>），整体上黄土高原小麦的</w:t>
      </w:r>
      <w:r>
        <w:t>N₂O</w:t>
      </w:r>
      <w:r>
        <w:rPr>
          <w:rFonts w:hint="eastAsia"/>
        </w:rPr>
        <w:t>排放与全球水平相当。苹果果园的</w:t>
      </w:r>
      <w:r>
        <w:t>N₂O</w:t>
      </w:r>
      <w:r>
        <w:rPr>
          <w:rFonts w:hint="eastAsia"/>
        </w:rPr>
        <w:t>排放均值（</w:t>
      </w:r>
      <w:r>
        <w:t>2.90 kg N ha⁻¹</w:t>
      </w:r>
      <w:r>
        <w:rPr>
          <w:rFonts w:hint="eastAsia"/>
        </w:rPr>
        <w:t>）略低于全球果园平均水平（</w:t>
      </w:r>
      <w:r>
        <w:t>3.06 kg N ha⁻¹</w:t>
      </w:r>
      <w:r>
        <w:rPr>
          <w:rFonts w:hint="eastAsia"/>
        </w:rPr>
        <w:t>）（表</w:t>
      </w:r>
      <w:r>
        <w:t>4-1</w:t>
      </w:r>
      <w:r>
        <w:rPr>
          <w:rFonts w:hint="eastAsia"/>
        </w:rPr>
        <w:t>）。上述结果表明，黄土高原区域</w:t>
      </w:r>
      <w:r>
        <w:t>N₂O</w:t>
      </w:r>
      <w:r>
        <w:rPr>
          <w:rFonts w:hint="eastAsia"/>
        </w:rPr>
        <w:t>排放总量与全球尺度研究结论基本吻合。</w:t>
      </w:r>
    </w:p>
    <w:p w14:paraId="2DC36546" w14:textId="77777777" w:rsidR="00606DE5" w:rsidRDefault="00000000">
      <w:pPr>
        <w:pStyle w:val="ac"/>
        <w:ind w:firstLineChars="83" w:firstLine="174"/>
        <w:jc w:val="center"/>
        <w:rPr>
          <w:sz w:val="21"/>
          <w:szCs w:val="21"/>
        </w:rPr>
      </w:pPr>
      <w:bookmarkStart w:id="45" w:name="OLE_LINK20"/>
      <w:r>
        <w:rPr>
          <w:sz w:val="21"/>
          <w:szCs w:val="21"/>
        </w:rPr>
        <w:t>表</w:t>
      </w:r>
      <w:r>
        <w:rPr>
          <w:sz w:val="21"/>
          <w:szCs w:val="21"/>
        </w:rPr>
        <w:t xml:space="preserve"> 4-1 </w:t>
      </w:r>
      <w:r>
        <w:rPr>
          <w:sz w:val="21"/>
          <w:szCs w:val="21"/>
        </w:rPr>
        <w:t>黄土高原与其他区域农业土壤</w:t>
      </w:r>
      <w:r>
        <w:rPr>
          <w:sz w:val="21"/>
          <w:szCs w:val="21"/>
        </w:rPr>
        <w:t xml:space="preserve"> N₂O </w:t>
      </w:r>
      <w:r>
        <w:rPr>
          <w:sz w:val="21"/>
          <w:szCs w:val="21"/>
        </w:rPr>
        <w:t>排放、产量和产量尺度排放比较</w:t>
      </w:r>
    </w:p>
    <w:tbl>
      <w:tblPr>
        <w:tblW w:w="0" w:type="auto"/>
        <w:jc w:val="center"/>
        <w:tblLayout w:type="fixed"/>
        <w:tblLook w:val="04A0" w:firstRow="1" w:lastRow="0" w:firstColumn="1" w:lastColumn="0" w:noHBand="0" w:noVBand="1"/>
      </w:tblPr>
      <w:tblGrid>
        <w:gridCol w:w="907"/>
        <w:gridCol w:w="963"/>
        <w:gridCol w:w="1701"/>
        <w:gridCol w:w="1190"/>
        <w:gridCol w:w="1587"/>
        <w:gridCol w:w="2211"/>
      </w:tblGrid>
      <w:tr w:rsidR="00606DE5" w14:paraId="134BFA15" w14:textId="77777777">
        <w:trPr>
          <w:tblHeader/>
          <w:jc w:val="center"/>
        </w:trPr>
        <w:tc>
          <w:tcPr>
            <w:tcW w:w="907" w:type="dxa"/>
            <w:tcBorders>
              <w:top w:val="single" w:sz="12" w:space="0" w:color="auto"/>
              <w:left w:val="nil"/>
              <w:bottom w:val="single" w:sz="8" w:space="0" w:color="000000"/>
              <w:right w:val="nil"/>
            </w:tcBorders>
            <w:tcMar>
              <w:top w:w="60" w:type="dxa"/>
              <w:left w:w="60" w:type="dxa"/>
              <w:bottom w:w="60" w:type="dxa"/>
              <w:right w:w="60" w:type="dxa"/>
            </w:tcMar>
            <w:vAlign w:val="center"/>
          </w:tcPr>
          <w:bookmarkEnd w:id="45"/>
          <w:p w14:paraId="3C10F217" w14:textId="77777777" w:rsidR="00606DE5" w:rsidRDefault="00000000">
            <w:pPr>
              <w:jc w:val="center"/>
              <w:rPr>
                <w:rFonts w:ascii="黑体" w:eastAsia="黑体" w:hAnsi="黑体"/>
                <w:bCs/>
                <w:sz w:val="21"/>
                <w:szCs w:val="21"/>
              </w:rPr>
            </w:pPr>
            <w:r>
              <w:rPr>
                <w:rFonts w:ascii="黑体" w:eastAsia="黑体" w:hAnsi="黑体"/>
                <w:bCs/>
                <w:sz w:val="21"/>
                <w:szCs w:val="21"/>
              </w:rPr>
              <w:t>作物/系统</w:t>
            </w:r>
          </w:p>
        </w:tc>
        <w:tc>
          <w:tcPr>
            <w:tcW w:w="963"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71243704" w14:textId="77777777" w:rsidR="00606DE5" w:rsidRDefault="00000000">
            <w:pPr>
              <w:jc w:val="center"/>
              <w:rPr>
                <w:rFonts w:ascii="黑体" w:eastAsia="黑体" w:hAnsi="黑体"/>
                <w:bCs/>
                <w:sz w:val="21"/>
                <w:szCs w:val="21"/>
              </w:rPr>
            </w:pPr>
            <w:r>
              <w:rPr>
                <w:rFonts w:ascii="黑体" w:eastAsia="黑体" w:hAnsi="黑体"/>
                <w:bCs/>
                <w:sz w:val="21"/>
                <w:szCs w:val="21"/>
              </w:rPr>
              <w:t>空间尺度</w:t>
            </w:r>
          </w:p>
        </w:tc>
        <w:tc>
          <w:tcPr>
            <w:tcW w:w="170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155F8C6B" w14:textId="77777777" w:rsidR="00606DE5" w:rsidRDefault="00000000">
            <w:pPr>
              <w:jc w:val="center"/>
              <w:rPr>
                <w:rFonts w:ascii="黑体" w:eastAsia="黑体" w:hAnsi="黑体"/>
                <w:b/>
                <w:sz w:val="21"/>
                <w:szCs w:val="21"/>
              </w:rPr>
            </w:pPr>
            <w:r>
              <w:rPr>
                <w:rFonts w:ascii="Times New Roman" w:eastAsia="黑体" w:hAnsi="Times New Roman" w:cs="Times New Roman"/>
                <w:b/>
                <w:sz w:val="21"/>
                <w:szCs w:val="21"/>
              </w:rPr>
              <w:t>N₂O</w:t>
            </w:r>
            <w:r>
              <w:rPr>
                <w:rFonts w:ascii="黑体" w:eastAsia="黑体" w:hAnsi="黑体"/>
                <w:bCs/>
                <w:sz w:val="21"/>
                <w:szCs w:val="21"/>
              </w:rPr>
              <w:t>排放量</w:t>
            </w:r>
          </w:p>
          <w:p w14:paraId="0D9A9102" w14:textId="77777777" w:rsidR="00606DE5" w:rsidRDefault="00000000">
            <w:pPr>
              <w:jc w:val="center"/>
              <w:rPr>
                <w:rFonts w:ascii="Times New Roman" w:eastAsia="黑体" w:hAnsi="Times New Roman" w:cs="Times New Roman"/>
                <w:sz w:val="21"/>
                <w:szCs w:val="21"/>
              </w:rPr>
            </w:pPr>
            <w:r>
              <w:rPr>
                <w:rFonts w:ascii="Times New Roman" w:eastAsia="黑体" w:hAnsi="Times New Roman" w:cs="Times New Roman"/>
                <w:b/>
                <w:sz w:val="21"/>
                <w:szCs w:val="21"/>
              </w:rPr>
              <w:t>kg N ha⁻¹</w:t>
            </w:r>
          </w:p>
        </w:tc>
        <w:tc>
          <w:tcPr>
            <w:tcW w:w="1190"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7DB9ACAD" w14:textId="77777777" w:rsidR="00606DE5" w:rsidRDefault="00000000">
            <w:pPr>
              <w:jc w:val="center"/>
              <w:rPr>
                <w:rFonts w:ascii="黑体" w:eastAsia="黑体" w:hAnsi="黑体"/>
                <w:bCs/>
                <w:sz w:val="21"/>
                <w:szCs w:val="21"/>
              </w:rPr>
            </w:pPr>
            <w:r>
              <w:rPr>
                <w:rFonts w:ascii="黑体" w:eastAsia="黑体" w:hAnsi="黑体"/>
                <w:bCs/>
                <w:sz w:val="21"/>
                <w:szCs w:val="21"/>
              </w:rPr>
              <w:t>产量</w:t>
            </w:r>
          </w:p>
          <w:p w14:paraId="57225677" w14:textId="77777777" w:rsidR="00606DE5" w:rsidRDefault="00000000">
            <w:pPr>
              <w:jc w:val="center"/>
              <w:rPr>
                <w:rFonts w:ascii="Times New Roman" w:eastAsia="黑体" w:hAnsi="Times New Roman" w:cs="Times New Roman"/>
                <w:sz w:val="21"/>
                <w:szCs w:val="21"/>
              </w:rPr>
            </w:pPr>
            <w:r>
              <w:rPr>
                <w:rFonts w:ascii="Times New Roman" w:eastAsia="黑体" w:hAnsi="Times New Roman" w:cs="Times New Roman"/>
                <w:b/>
                <w:sz w:val="21"/>
                <w:szCs w:val="21"/>
              </w:rPr>
              <w:t>t ha⁻¹</w:t>
            </w:r>
          </w:p>
        </w:tc>
        <w:tc>
          <w:tcPr>
            <w:tcW w:w="1587"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5B5C098A" w14:textId="77777777" w:rsidR="00606DE5" w:rsidRDefault="00000000">
            <w:pPr>
              <w:jc w:val="center"/>
              <w:rPr>
                <w:rFonts w:ascii="黑体" w:eastAsia="黑体" w:hAnsi="黑体"/>
                <w:bCs/>
                <w:sz w:val="21"/>
                <w:szCs w:val="21"/>
              </w:rPr>
            </w:pPr>
            <w:r>
              <w:rPr>
                <w:rFonts w:ascii="黑体" w:eastAsia="黑体" w:hAnsi="黑体"/>
                <w:bCs/>
                <w:sz w:val="21"/>
                <w:szCs w:val="21"/>
              </w:rPr>
              <w:t>产量尺度排放</w:t>
            </w:r>
          </w:p>
          <w:p w14:paraId="74E6EC10" w14:textId="77777777" w:rsidR="00606DE5" w:rsidRDefault="00000000">
            <w:pPr>
              <w:jc w:val="center"/>
              <w:rPr>
                <w:rFonts w:ascii="Times New Roman" w:eastAsia="黑体" w:hAnsi="Times New Roman" w:cs="Times New Roman"/>
                <w:sz w:val="21"/>
                <w:szCs w:val="21"/>
              </w:rPr>
            </w:pPr>
            <w:r>
              <w:rPr>
                <w:rFonts w:ascii="Times New Roman" w:eastAsia="黑体" w:hAnsi="Times New Roman" w:cs="Times New Roman"/>
                <w:b/>
                <w:sz w:val="21"/>
                <w:szCs w:val="21"/>
              </w:rPr>
              <w:t>kg N t⁻¹</w:t>
            </w:r>
          </w:p>
        </w:tc>
        <w:tc>
          <w:tcPr>
            <w:tcW w:w="221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59FB2875" w14:textId="77777777" w:rsidR="00606DE5" w:rsidRDefault="00000000">
            <w:pPr>
              <w:jc w:val="center"/>
              <w:rPr>
                <w:rFonts w:ascii="黑体" w:eastAsia="黑体" w:hAnsi="黑体"/>
                <w:bCs/>
                <w:sz w:val="21"/>
                <w:szCs w:val="21"/>
              </w:rPr>
            </w:pPr>
            <w:r>
              <w:rPr>
                <w:rFonts w:ascii="黑体" w:eastAsia="黑体" w:hAnsi="黑体"/>
                <w:bCs/>
                <w:sz w:val="21"/>
                <w:szCs w:val="21"/>
              </w:rPr>
              <w:t>参考文献</w:t>
            </w:r>
          </w:p>
        </w:tc>
      </w:tr>
      <w:tr w:rsidR="00606DE5" w14:paraId="3510A497"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64C5A87B" w14:textId="77777777" w:rsidR="00606DE5" w:rsidRPr="00695E08" w:rsidRDefault="00000000">
            <w:pPr>
              <w:jc w:val="center"/>
              <w:rPr>
                <w:sz w:val="21"/>
                <w:szCs w:val="21"/>
              </w:rPr>
            </w:pPr>
            <w:bookmarkStart w:id="46" w:name="_Hlk229243590"/>
            <w:r w:rsidRPr="00695E08">
              <w:rPr>
                <w:rFonts w:ascii="Times New Roman" w:hAnsi="Times New Roman"/>
                <w:sz w:val="21"/>
                <w:szCs w:val="21"/>
              </w:rPr>
              <w:t>春小麦</w:t>
            </w:r>
          </w:p>
        </w:tc>
        <w:tc>
          <w:tcPr>
            <w:tcW w:w="963" w:type="dxa"/>
            <w:tcBorders>
              <w:top w:val="nil"/>
              <w:left w:val="nil"/>
              <w:bottom w:val="nil"/>
              <w:right w:val="nil"/>
            </w:tcBorders>
            <w:tcMar>
              <w:top w:w="60" w:type="dxa"/>
              <w:left w:w="60" w:type="dxa"/>
              <w:bottom w:w="60" w:type="dxa"/>
              <w:right w:w="60" w:type="dxa"/>
            </w:tcMar>
            <w:vAlign w:val="center"/>
          </w:tcPr>
          <w:p w14:paraId="0DDD6103" w14:textId="77777777" w:rsidR="00606DE5" w:rsidRPr="00695E08" w:rsidRDefault="00000000">
            <w:pPr>
              <w:jc w:val="center"/>
              <w:rPr>
                <w:sz w:val="21"/>
                <w:szCs w:val="21"/>
              </w:rPr>
            </w:pPr>
            <w:r w:rsidRPr="00695E08">
              <w:rPr>
                <w:rFonts w:ascii="Times New Roman" w:hAnsi="Times New Roman"/>
                <w:sz w:val="21"/>
                <w:szCs w:val="21"/>
              </w:rPr>
              <w:t>黄土高原</w:t>
            </w:r>
          </w:p>
        </w:tc>
        <w:tc>
          <w:tcPr>
            <w:tcW w:w="1701" w:type="dxa"/>
            <w:tcBorders>
              <w:top w:val="nil"/>
              <w:left w:val="nil"/>
              <w:bottom w:val="nil"/>
              <w:right w:val="nil"/>
            </w:tcBorders>
            <w:tcMar>
              <w:top w:w="60" w:type="dxa"/>
              <w:left w:w="60" w:type="dxa"/>
              <w:bottom w:w="60" w:type="dxa"/>
              <w:right w:w="60" w:type="dxa"/>
            </w:tcMar>
            <w:vAlign w:val="center"/>
          </w:tcPr>
          <w:p w14:paraId="00DF59E7" w14:textId="77777777" w:rsidR="00606DE5" w:rsidRPr="00695E08" w:rsidRDefault="00000000">
            <w:pPr>
              <w:jc w:val="center"/>
              <w:rPr>
                <w:sz w:val="21"/>
                <w:szCs w:val="21"/>
              </w:rPr>
            </w:pPr>
            <w:r w:rsidRPr="00695E08">
              <w:rPr>
                <w:rFonts w:ascii="Times New Roman" w:hAnsi="Times New Roman"/>
                <w:sz w:val="21"/>
                <w:szCs w:val="21"/>
              </w:rPr>
              <w:t>1.59 (0.94-2.65)</w:t>
            </w:r>
          </w:p>
        </w:tc>
        <w:tc>
          <w:tcPr>
            <w:tcW w:w="1190" w:type="dxa"/>
            <w:tcBorders>
              <w:top w:val="nil"/>
              <w:left w:val="nil"/>
              <w:bottom w:val="nil"/>
              <w:right w:val="nil"/>
            </w:tcBorders>
            <w:tcMar>
              <w:top w:w="60" w:type="dxa"/>
              <w:left w:w="60" w:type="dxa"/>
              <w:bottom w:w="60" w:type="dxa"/>
              <w:right w:w="60" w:type="dxa"/>
            </w:tcMar>
            <w:vAlign w:val="center"/>
          </w:tcPr>
          <w:p w14:paraId="1388B409" w14:textId="77777777" w:rsidR="00606DE5" w:rsidRPr="00695E08" w:rsidRDefault="00000000">
            <w:pPr>
              <w:jc w:val="center"/>
              <w:rPr>
                <w:sz w:val="21"/>
                <w:szCs w:val="21"/>
              </w:rPr>
            </w:pPr>
            <w:r w:rsidRPr="00695E08">
              <w:rPr>
                <w:rFonts w:ascii="Times New Roman" w:hAnsi="Times New Roman"/>
                <w:sz w:val="21"/>
                <w:szCs w:val="21"/>
              </w:rPr>
              <w:t>1.5 (1.1-2.3)</w:t>
            </w:r>
          </w:p>
        </w:tc>
        <w:tc>
          <w:tcPr>
            <w:tcW w:w="1587" w:type="dxa"/>
            <w:tcBorders>
              <w:top w:val="nil"/>
              <w:left w:val="nil"/>
              <w:bottom w:val="nil"/>
              <w:right w:val="nil"/>
            </w:tcBorders>
            <w:tcMar>
              <w:top w:w="60" w:type="dxa"/>
              <w:left w:w="60" w:type="dxa"/>
              <w:bottom w:w="60" w:type="dxa"/>
              <w:right w:w="60" w:type="dxa"/>
            </w:tcMar>
            <w:vAlign w:val="center"/>
          </w:tcPr>
          <w:p w14:paraId="7E6F6AD3" w14:textId="77777777" w:rsidR="00606DE5" w:rsidRPr="00695E08" w:rsidRDefault="00000000">
            <w:pPr>
              <w:jc w:val="center"/>
              <w:rPr>
                <w:sz w:val="21"/>
                <w:szCs w:val="21"/>
              </w:rPr>
            </w:pPr>
            <w:r w:rsidRPr="00695E08">
              <w:rPr>
                <w:rFonts w:ascii="Times New Roman" w:hAnsi="Times New Roman"/>
                <w:sz w:val="21"/>
                <w:szCs w:val="21"/>
              </w:rPr>
              <w:t>1.08 (0.46-2.28)</w:t>
            </w:r>
          </w:p>
        </w:tc>
        <w:tc>
          <w:tcPr>
            <w:tcW w:w="2211" w:type="dxa"/>
            <w:tcBorders>
              <w:top w:val="nil"/>
              <w:left w:val="nil"/>
              <w:bottom w:val="nil"/>
              <w:right w:val="nil"/>
            </w:tcBorders>
            <w:tcMar>
              <w:top w:w="60" w:type="dxa"/>
              <w:left w:w="60" w:type="dxa"/>
              <w:bottom w:w="60" w:type="dxa"/>
              <w:right w:w="60" w:type="dxa"/>
            </w:tcMar>
            <w:vAlign w:val="center"/>
          </w:tcPr>
          <w:p w14:paraId="136216C8" w14:textId="77777777" w:rsidR="00606DE5" w:rsidRPr="00695E08" w:rsidRDefault="00000000">
            <w:pPr>
              <w:jc w:val="center"/>
              <w:rPr>
                <w:sz w:val="21"/>
                <w:szCs w:val="21"/>
              </w:rPr>
            </w:pPr>
            <w:r w:rsidRPr="00695E08">
              <w:rPr>
                <w:rFonts w:ascii="Times New Roman" w:hAnsi="Times New Roman"/>
                <w:sz w:val="21"/>
                <w:szCs w:val="21"/>
              </w:rPr>
              <w:t>本研究</w:t>
            </w:r>
          </w:p>
        </w:tc>
      </w:tr>
      <w:tr w:rsidR="00606DE5" w14:paraId="2946A3E3"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5A86F598" w14:textId="77777777" w:rsidR="00606DE5" w:rsidRDefault="00000000">
            <w:pPr>
              <w:jc w:val="center"/>
              <w:rPr>
                <w:sz w:val="21"/>
                <w:szCs w:val="21"/>
              </w:rPr>
            </w:pPr>
            <w:r>
              <w:rPr>
                <w:rFonts w:ascii="Times New Roman" w:hAnsi="Times New Roman"/>
                <w:sz w:val="21"/>
                <w:szCs w:val="21"/>
              </w:rPr>
              <w:t>冬小麦</w:t>
            </w:r>
          </w:p>
        </w:tc>
        <w:tc>
          <w:tcPr>
            <w:tcW w:w="963" w:type="dxa"/>
            <w:tcBorders>
              <w:top w:val="nil"/>
              <w:left w:val="nil"/>
              <w:bottom w:val="nil"/>
              <w:right w:val="nil"/>
            </w:tcBorders>
            <w:tcMar>
              <w:top w:w="60" w:type="dxa"/>
              <w:left w:w="60" w:type="dxa"/>
              <w:bottom w:w="60" w:type="dxa"/>
              <w:right w:w="60" w:type="dxa"/>
            </w:tcMar>
            <w:vAlign w:val="center"/>
          </w:tcPr>
          <w:p w14:paraId="06889FAA" w14:textId="77777777" w:rsidR="00606DE5" w:rsidRDefault="00000000">
            <w:pPr>
              <w:jc w:val="center"/>
              <w:rPr>
                <w:sz w:val="21"/>
                <w:szCs w:val="21"/>
              </w:rPr>
            </w:pPr>
            <w:r>
              <w:rPr>
                <w:rFonts w:ascii="Times New Roman" w:hAnsi="Times New Roman"/>
                <w:sz w:val="21"/>
                <w:szCs w:val="21"/>
              </w:rPr>
              <w:t>黄土高原</w:t>
            </w:r>
          </w:p>
        </w:tc>
        <w:tc>
          <w:tcPr>
            <w:tcW w:w="1701" w:type="dxa"/>
            <w:tcBorders>
              <w:top w:val="nil"/>
              <w:left w:val="nil"/>
              <w:bottom w:val="nil"/>
              <w:right w:val="nil"/>
            </w:tcBorders>
            <w:tcMar>
              <w:top w:w="60" w:type="dxa"/>
              <w:left w:w="60" w:type="dxa"/>
              <w:bottom w:w="60" w:type="dxa"/>
              <w:right w:w="60" w:type="dxa"/>
            </w:tcMar>
            <w:vAlign w:val="center"/>
          </w:tcPr>
          <w:p w14:paraId="4261EF42" w14:textId="77777777" w:rsidR="00606DE5" w:rsidRDefault="00000000">
            <w:pPr>
              <w:jc w:val="center"/>
              <w:rPr>
                <w:sz w:val="21"/>
                <w:szCs w:val="21"/>
              </w:rPr>
            </w:pPr>
            <w:r>
              <w:rPr>
                <w:rFonts w:ascii="Times New Roman" w:hAnsi="Times New Roman"/>
                <w:sz w:val="21"/>
                <w:szCs w:val="21"/>
              </w:rPr>
              <w:t>0.87 (0.36-1.48)</w:t>
            </w:r>
          </w:p>
        </w:tc>
        <w:tc>
          <w:tcPr>
            <w:tcW w:w="1190" w:type="dxa"/>
            <w:tcBorders>
              <w:top w:val="nil"/>
              <w:left w:val="nil"/>
              <w:bottom w:val="nil"/>
              <w:right w:val="nil"/>
            </w:tcBorders>
            <w:tcMar>
              <w:top w:w="60" w:type="dxa"/>
              <w:left w:w="60" w:type="dxa"/>
              <w:bottom w:w="60" w:type="dxa"/>
              <w:right w:w="60" w:type="dxa"/>
            </w:tcMar>
            <w:vAlign w:val="center"/>
          </w:tcPr>
          <w:p w14:paraId="4224A126" w14:textId="77777777" w:rsidR="00606DE5" w:rsidRDefault="00000000">
            <w:pPr>
              <w:jc w:val="center"/>
              <w:rPr>
                <w:sz w:val="21"/>
                <w:szCs w:val="21"/>
              </w:rPr>
            </w:pPr>
            <w:r>
              <w:rPr>
                <w:rFonts w:ascii="Times New Roman" w:hAnsi="Times New Roman"/>
                <w:sz w:val="21"/>
                <w:szCs w:val="21"/>
              </w:rPr>
              <w:t>5.4 (4.1-6.8)</w:t>
            </w:r>
          </w:p>
        </w:tc>
        <w:tc>
          <w:tcPr>
            <w:tcW w:w="1587" w:type="dxa"/>
            <w:tcBorders>
              <w:top w:val="nil"/>
              <w:left w:val="nil"/>
              <w:bottom w:val="nil"/>
              <w:right w:val="nil"/>
            </w:tcBorders>
            <w:tcMar>
              <w:top w:w="60" w:type="dxa"/>
              <w:left w:w="60" w:type="dxa"/>
              <w:bottom w:w="60" w:type="dxa"/>
              <w:right w:w="60" w:type="dxa"/>
            </w:tcMar>
            <w:vAlign w:val="center"/>
          </w:tcPr>
          <w:p w14:paraId="12471768" w14:textId="77777777" w:rsidR="00606DE5" w:rsidRDefault="00000000">
            <w:pPr>
              <w:jc w:val="center"/>
              <w:rPr>
                <w:sz w:val="21"/>
                <w:szCs w:val="21"/>
              </w:rPr>
            </w:pPr>
            <w:r>
              <w:rPr>
                <w:rFonts w:ascii="Times New Roman" w:hAnsi="Times New Roman"/>
                <w:sz w:val="21"/>
                <w:szCs w:val="21"/>
              </w:rPr>
              <w:t>0.17 (0.06-0.32)</w:t>
            </w:r>
          </w:p>
        </w:tc>
        <w:tc>
          <w:tcPr>
            <w:tcW w:w="2211" w:type="dxa"/>
            <w:tcBorders>
              <w:top w:val="nil"/>
              <w:left w:val="nil"/>
              <w:bottom w:val="nil"/>
              <w:right w:val="nil"/>
            </w:tcBorders>
            <w:tcMar>
              <w:top w:w="60" w:type="dxa"/>
              <w:left w:w="60" w:type="dxa"/>
              <w:bottom w:w="60" w:type="dxa"/>
              <w:right w:w="60" w:type="dxa"/>
            </w:tcMar>
            <w:vAlign w:val="center"/>
          </w:tcPr>
          <w:p w14:paraId="4C59BA23" w14:textId="77777777" w:rsidR="00606DE5" w:rsidRDefault="00000000">
            <w:pPr>
              <w:jc w:val="center"/>
              <w:rPr>
                <w:sz w:val="21"/>
                <w:szCs w:val="21"/>
              </w:rPr>
            </w:pPr>
            <w:r>
              <w:rPr>
                <w:rFonts w:ascii="Times New Roman" w:hAnsi="Times New Roman"/>
                <w:sz w:val="21"/>
                <w:szCs w:val="21"/>
              </w:rPr>
              <w:t>本研究</w:t>
            </w:r>
          </w:p>
        </w:tc>
      </w:tr>
      <w:tr w:rsidR="00606DE5" w14:paraId="77EADEE5"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160A06C5" w14:textId="77777777" w:rsidR="00606DE5" w:rsidRDefault="00606DE5">
            <w:pPr>
              <w:jc w:val="center"/>
              <w:rPr>
                <w:sz w:val="21"/>
                <w:szCs w:val="21"/>
              </w:rPr>
            </w:pPr>
          </w:p>
        </w:tc>
        <w:tc>
          <w:tcPr>
            <w:tcW w:w="963" w:type="dxa"/>
            <w:tcBorders>
              <w:top w:val="nil"/>
              <w:left w:val="nil"/>
              <w:bottom w:val="nil"/>
              <w:right w:val="nil"/>
            </w:tcBorders>
            <w:tcMar>
              <w:top w:w="60" w:type="dxa"/>
              <w:left w:w="60" w:type="dxa"/>
              <w:bottom w:w="60" w:type="dxa"/>
              <w:right w:w="60" w:type="dxa"/>
            </w:tcMar>
            <w:vAlign w:val="center"/>
          </w:tcPr>
          <w:p w14:paraId="19B27C1A" w14:textId="77777777" w:rsidR="00606DE5" w:rsidRDefault="00000000">
            <w:pPr>
              <w:jc w:val="center"/>
              <w:rPr>
                <w:sz w:val="21"/>
                <w:szCs w:val="21"/>
              </w:rPr>
            </w:pPr>
            <w:r>
              <w:rPr>
                <w:rFonts w:ascii="Times New Roman" w:hAnsi="Times New Roman"/>
                <w:sz w:val="21"/>
                <w:szCs w:val="21"/>
              </w:rPr>
              <w:t>华北平原</w:t>
            </w:r>
          </w:p>
        </w:tc>
        <w:tc>
          <w:tcPr>
            <w:tcW w:w="1701" w:type="dxa"/>
            <w:tcBorders>
              <w:top w:val="nil"/>
              <w:left w:val="nil"/>
              <w:bottom w:val="nil"/>
              <w:right w:val="nil"/>
            </w:tcBorders>
            <w:tcMar>
              <w:top w:w="60" w:type="dxa"/>
              <w:left w:w="60" w:type="dxa"/>
              <w:bottom w:w="60" w:type="dxa"/>
              <w:right w:w="60" w:type="dxa"/>
            </w:tcMar>
            <w:vAlign w:val="center"/>
          </w:tcPr>
          <w:p w14:paraId="6F4F9E53" w14:textId="77777777" w:rsidR="00606DE5" w:rsidRDefault="00000000">
            <w:pPr>
              <w:jc w:val="center"/>
              <w:rPr>
                <w:sz w:val="21"/>
                <w:szCs w:val="21"/>
              </w:rPr>
            </w:pPr>
            <w:r>
              <w:rPr>
                <w:rFonts w:ascii="Times New Roman" w:hAnsi="Times New Roman"/>
                <w:sz w:val="21"/>
                <w:szCs w:val="21"/>
              </w:rPr>
              <w:t>1.07</w:t>
            </w:r>
          </w:p>
        </w:tc>
        <w:tc>
          <w:tcPr>
            <w:tcW w:w="1190" w:type="dxa"/>
            <w:tcBorders>
              <w:top w:val="nil"/>
              <w:left w:val="nil"/>
              <w:bottom w:val="nil"/>
              <w:right w:val="nil"/>
            </w:tcBorders>
            <w:tcMar>
              <w:top w:w="60" w:type="dxa"/>
              <w:left w:w="60" w:type="dxa"/>
              <w:bottom w:w="60" w:type="dxa"/>
              <w:right w:w="60" w:type="dxa"/>
            </w:tcMar>
            <w:vAlign w:val="center"/>
          </w:tcPr>
          <w:p w14:paraId="5C79CEC9" w14:textId="77777777" w:rsidR="00606DE5" w:rsidRDefault="00000000">
            <w:pPr>
              <w:jc w:val="center"/>
              <w:rPr>
                <w:sz w:val="21"/>
                <w:szCs w:val="21"/>
              </w:rPr>
            </w:pPr>
            <w:r>
              <w:rPr>
                <w:rFonts w:ascii="Times New Roman" w:hAnsi="Times New Roman"/>
                <w:sz w:val="21"/>
                <w:szCs w:val="21"/>
              </w:rPr>
              <w:t>7.3</w:t>
            </w:r>
          </w:p>
        </w:tc>
        <w:tc>
          <w:tcPr>
            <w:tcW w:w="1587" w:type="dxa"/>
            <w:tcBorders>
              <w:top w:val="nil"/>
              <w:left w:val="nil"/>
              <w:bottom w:val="nil"/>
              <w:right w:val="nil"/>
            </w:tcBorders>
            <w:tcMar>
              <w:top w:w="60" w:type="dxa"/>
              <w:left w:w="60" w:type="dxa"/>
              <w:bottom w:w="60" w:type="dxa"/>
              <w:right w:w="60" w:type="dxa"/>
            </w:tcMar>
            <w:vAlign w:val="center"/>
          </w:tcPr>
          <w:p w14:paraId="47FEDFCB" w14:textId="77777777" w:rsidR="00606DE5" w:rsidRDefault="00606DE5">
            <w:pPr>
              <w:jc w:val="center"/>
              <w:rPr>
                <w:sz w:val="21"/>
                <w:szCs w:val="21"/>
              </w:rPr>
            </w:pPr>
          </w:p>
        </w:tc>
        <w:tc>
          <w:tcPr>
            <w:tcW w:w="2211" w:type="dxa"/>
            <w:tcBorders>
              <w:top w:val="nil"/>
              <w:left w:val="nil"/>
              <w:bottom w:val="nil"/>
              <w:right w:val="nil"/>
            </w:tcBorders>
            <w:tcMar>
              <w:top w:w="60" w:type="dxa"/>
              <w:left w:w="60" w:type="dxa"/>
              <w:bottom w:w="60" w:type="dxa"/>
              <w:right w:w="60" w:type="dxa"/>
            </w:tcMar>
            <w:vAlign w:val="center"/>
          </w:tcPr>
          <w:p w14:paraId="17DC425E" w14:textId="77777777" w:rsidR="00606DE5" w:rsidRDefault="00000000">
            <w:pPr>
              <w:jc w:val="center"/>
              <w:rPr>
                <w:sz w:val="21"/>
                <w:szCs w:val="21"/>
              </w:rPr>
            </w:pPr>
            <w:r>
              <w:rPr>
                <w:rFonts w:ascii="Times New Roman" w:hAnsi="Times New Roman"/>
                <w:sz w:val="21"/>
                <w:szCs w:val="21"/>
              </w:rPr>
              <w:t>Xu et al., 2017</w:t>
            </w:r>
          </w:p>
        </w:tc>
      </w:tr>
      <w:tr w:rsidR="00606DE5" w14:paraId="4CDA798A"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0875F3BA" w14:textId="77777777" w:rsidR="00606DE5" w:rsidRDefault="00606DE5">
            <w:pPr>
              <w:jc w:val="center"/>
              <w:rPr>
                <w:sz w:val="21"/>
                <w:szCs w:val="21"/>
              </w:rPr>
            </w:pPr>
          </w:p>
        </w:tc>
        <w:tc>
          <w:tcPr>
            <w:tcW w:w="963" w:type="dxa"/>
            <w:tcBorders>
              <w:top w:val="nil"/>
              <w:left w:val="nil"/>
              <w:bottom w:val="nil"/>
              <w:right w:val="nil"/>
            </w:tcBorders>
            <w:tcMar>
              <w:top w:w="60" w:type="dxa"/>
              <w:left w:w="60" w:type="dxa"/>
              <w:bottom w:w="60" w:type="dxa"/>
              <w:right w:w="60" w:type="dxa"/>
            </w:tcMar>
            <w:vAlign w:val="center"/>
          </w:tcPr>
          <w:p w14:paraId="3013D5B4" w14:textId="77777777" w:rsidR="00606DE5" w:rsidRDefault="00000000">
            <w:pPr>
              <w:jc w:val="center"/>
              <w:rPr>
                <w:sz w:val="21"/>
                <w:szCs w:val="21"/>
              </w:rPr>
            </w:pPr>
            <w:r>
              <w:rPr>
                <w:rFonts w:ascii="Times New Roman" w:hAnsi="Times New Roman"/>
                <w:sz w:val="21"/>
                <w:szCs w:val="21"/>
              </w:rPr>
              <w:t>全球</w:t>
            </w:r>
          </w:p>
        </w:tc>
        <w:tc>
          <w:tcPr>
            <w:tcW w:w="1701" w:type="dxa"/>
            <w:tcBorders>
              <w:top w:val="nil"/>
              <w:left w:val="nil"/>
              <w:bottom w:val="nil"/>
              <w:right w:val="nil"/>
            </w:tcBorders>
            <w:tcMar>
              <w:top w:w="60" w:type="dxa"/>
              <w:left w:w="60" w:type="dxa"/>
              <w:bottom w:w="60" w:type="dxa"/>
              <w:right w:w="60" w:type="dxa"/>
            </w:tcMar>
            <w:vAlign w:val="center"/>
          </w:tcPr>
          <w:p w14:paraId="03FA1789" w14:textId="77777777" w:rsidR="00606DE5" w:rsidRDefault="00000000">
            <w:pPr>
              <w:jc w:val="center"/>
              <w:rPr>
                <w:sz w:val="21"/>
                <w:szCs w:val="21"/>
              </w:rPr>
            </w:pPr>
            <w:r>
              <w:rPr>
                <w:rFonts w:ascii="Times New Roman" w:hAnsi="Times New Roman"/>
                <w:sz w:val="21"/>
                <w:szCs w:val="21"/>
              </w:rPr>
              <w:t>1.44</w:t>
            </w:r>
          </w:p>
        </w:tc>
        <w:tc>
          <w:tcPr>
            <w:tcW w:w="1190" w:type="dxa"/>
            <w:tcBorders>
              <w:top w:val="nil"/>
              <w:left w:val="nil"/>
              <w:bottom w:val="nil"/>
              <w:right w:val="nil"/>
            </w:tcBorders>
            <w:tcMar>
              <w:top w:w="60" w:type="dxa"/>
              <w:left w:w="60" w:type="dxa"/>
              <w:bottom w:w="60" w:type="dxa"/>
              <w:right w:w="60" w:type="dxa"/>
            </w:tcMar>
            <w:vAlign w:val="center"/>
          </w:tcPr>
          <w:p w14:paraId="2C659EA4" w14:textId="77777777" w:rsidR="00606DE5" w:rsidRDefault="00000000">
            <w:pPr>
              <w:jc w:val="center"/>
              <w:rPr>
                <w:sz w:val="21"/>
                <w:szCs w:val="21"/>
              </w:rPr>
            </w:pPr>
            <w:r>
              <w:rPr>
                <w:rFonts w:ascii="Times New Roman" w:hAnsi="Times New Roman"/>
                <w:sz w:val="21"/>
                <w:szCs w:val="21"/>
              </w:rPr>
              <w:t>4.8</w:t>
            </w:r>
          </w:p>
        </w:tc>
        <w:tc>
          <w:tcPr>
            <w:tcW w:w="1587" w:type="dxa"/>
            <w:tcBorders>
              <w:top w:val="nil"/>
              <w:left w:val="nil"/>
              <w:bottom w:val="nil"/>
              <w:right w:val="nil"/>
            </w:tcBorders>
            <w:tcMar>
              <w:top w:w="60" w:type="dxa"/>
              <w:left w:w="60" w:type="dxa"/>
              <w:bottom w:w="60" w:type="dxa"/>
              <w:right w:w="60" w:type="dxa"/>
            </w:tcMar>
            <w:vAlign w:val="center"/>
          </w:tcPr>
          <w:p w14:paraId="5183B213" w14:textId="77777777" w:rsidR="00606DE5" w:rsidRDefault="00606DE5">
            <w:pPr>
              <w:jc w:val="center"/>
              <w:rPr>
                <w:sz w:val="21"/>
                <w:szCs w:val="21"/>
              </w:rPr>
            </w:pPr>
          </w:p>
        </w:tc>
        <w:tc>
          <w:tcPr>
            <w:tcW w:w="2211" w:type="dxa"/>
            <w:tcBorders>
              <w:top w:val="nil"/>
              <w:left w:val="nil"/>
              <w:bottom w:val="nil"/>
              <w:right w:val="nil"/>
            </w:tcBorders>
            <w:tcMar>
              <w:top w:w="60" w:type="dxa"/>
              <w:left w:w="60" w:type="dxa"/>
              <w:bottom w:w="60" w:type="dxa"/>
              <w:right w:w="60" w:type="dxa"/>
            </w:tcMar>
            <w:vAlign w:val="center"/>
          </w:tcPr>
          <w:p w14:paraId="44535B18" w14:textId="77777777" w:rsidR="00606DE5" w:rsidRDefault="00000000">
            <w:pPr>
              <w:jc w:val="center"/>
              <w:rPr>
                <w:sz w:val="21"/>
                <w:szCs w:val="21"/>
              </w:rPr>
            </w:pPr>
            <w:r>
              <w:rPr>
                <w:rFonts w:ascii="Times New Roman" w:hAnsi="Times New Roman"/>
                <w:sz w:val="21"/>
                <w:szCs w:val="21"/>
              </w:rPr>
              <w:t>Linquist et al., 2012</w:t>
            </w:r>
          </w:p>
        </w:tc>
      </w:tr>
      <w:tr w:rsidR="00606DE5" w14:paraId="64CAA85D"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74758A75" w14:textId="77777777" w:rsidR="00606DE5" w:rsidRDefault="00606DE5">
            <w:pPr>
              <w:jc w:val="center"/>
              <w:rPr>
                <w:sz w:val="21"/>
                <w:szCs w:val="21"/>
              </w:rPr>
            </w:pPr>
          </w:p>
        </w:tc>
        <w:tc>
          <w:tcPr>
            <w:tcW w:w="963" w:type="dxa"/>
            <w:tcBorders>
              <w:top w:val="nil"/>
              <w:left w:val="nil"/>
              <w:bottom w:val="nil"/>
              <w:right w:val="nil"/>
            </w:tcBorders>
            <w:tcMar>
              <w:top w:w="60" w:type="dxa"/>
              <w:left w:w="60" w:type="dxa"/>
              <w:bottom w:w="60" w:type="dxa"/>
              <w:right w:w="60" w:type="dxa"/>
            </w:tcMar>
            <w:vAlign w:val="center"/>
          </w:tcPr>
          <w:p w14:paraId="5C4D96D9" w14:textId="77777777" w:rsidR="00606DE5" w:rsidRDefault="00000000">
            <w:pPr>
              <w:jc w:val="center"/>
              <w:rPr>
                <w:sz w:val="21"/>
                <w:szCs w:val="21"/>
              </w:rPr>
            </w:pPr>
            <w:r>
              <w:rPr>
                <w:rFonts w:ascii="Times New Roman" w:hAnsi="Times New Roman"/>
                <w:sz w:val="21"/>
                <w:szCs w:val="21"/>
              </w:rPr>
              <w:t>全球</w:t>
            </w:r>
          </w:p>
        </w:tc>
        <w:tc>
          <w:tcPr>
            <w:tcW w:w="1701" w:type="dxa"/>
            <w:tcBorders>
              <w:top w:val="nil"/>
              <w:left w:val="nil"/>
              <w:bottom w:val="nil"/>
              <w:right w:val="nil"/>
            </w:tcBorders>
            <w:tcMar>
              <w:top w:w="60" w:type="dxa"/>
              <w:left w:w="60" w:type="dxa"/>
              <w:bottom w:w="60" w:type="dxa"/>
              <w:right w:w="60" w:type="dxa"/>
            </w:tcMar>
            <w:vAlign w:val="center"/>
          </w:tcPr>
          <w:p w14:paraId="27A0F5B3" w14:textId="77777777" w:rsidR="00606DE5" w:rsidRDefault="00000000">
            <w:pPr>
              <w:jc w:val="center"/>
              <w:rPr>
                <w:sz w:val="21"/>
                <w:szCs w:val="21"/>
              </w:rPr>
            </w:pPr>
            <w:r>
              <w:rPr>
                <w:rFonts w:ascii="Times New Roman" w:hAnsi="Times New Roman"/>
                <w:sz w:val="21"/>
                <w:szCs w:val="21"/>
              </w:rPr>
              <w:t>1.38</w:t>
            </w:r>
          </w:p>
        </w:tc>
        <w:tc>
          <w:tcPr>
            <w:tcW w:w="1190" w:type="dxa"/>
            <w:tcBorders>
              <w:top w:val="nil"/>
              <w:left w:val="nil"/>
              <w:bottom w:val="nil"/>
              <w:right w:val="nil"/>
            </w:tcBorders>
            <w:tcMar>
              <w:top w:w="60" w:type="dxa"/>
              <w:left w:w="60" w:type="dxa"/>
              <w:bottom w:w="60" w:type="dxa"/>
              <w:right w:w="60" w:type="dxa"/>
            </w:tcMar>
            <w:vAlign w:val="center"/>
          </w:tcPr>
          <w:p w14:paraId="64FE98F6" w14:textId="77777777" w:rsidR="00606DE5" w:rsidRDefault="00000000">
            <w:pPr>
              <w:jc w:val="center"/>
              <w:rPr>
                <w:sz w:val="21"/>
                <w:szCs w:val="21"/>
              </w:rPr>
            </w:pPr>
            <w:r>
              <w:rPr>
                <w:rFonts w:ascii="Times New Roman" w:hAnsi="Times New Roman"/>
                <w:sz w:val="21"/>
                <w:szCs w:val="21"/>
              </w:rPr>
              <w:t>5.1</w:t>
            </w:r>
          </w:p>
        </w:tc>
        <w:tc>
          <w:tcPr>
            <w:tcW w:w="1587" w:type="dxa"/>
            <w:tcBorders>
              <w:top w:val="nil"/>
              <w:left w:val="nil"/>
              <w:bottom w:val="nil"/>
              <w:right w:val="nil"/>
            </w:tcBorders>
            <w:tcMar>
              <w:top w:w="60" w:type="dxa"/>
              <w:left w:w="60" w:type="dxa"/>
              <w:bottom w:w="60" w:type="dxa"/>
              <w:right w:w="60" w:type="dxa"/>
            </w:tcMar>
            <w:vAlign w:val="center"/>
          </w:tcPr>
          <w:p w14:paraId="163EF368" w14:textId="77777777" w:rsidR="00606DE5" w:rsidRDefault="00000000">
            <w:pPr>
              <w:jc w:val="center"/>
              <w:rPr>
                <w:sz w:val="21"/>
                <w:szCs w:val="21"/>
              </w:rPr>
            </w:pPr>
            <w:r>
              <w:rPr>
                <w:rFonts w:ascii="Times New Roman" w:hAnsi="Times New Roman"/>
                <w:sz w:val="21"/>
                <w:szCs w:val="21"/>
              </w:rPr>
              <w:t>0.322</w:t>
            </w:r>
          </w:p>
        </w:tc>
        <w:tc>
          <w:tcPr>
            <w:tcW w:w="2211" w:type="dxa"/>
            <w:tcBorders>
              <w:top w:val="nil"/>
              <w:left w:val="nil"/>
              <w:bottom w:val="nil"/>
              <w:right w:val="nil"/>
            </w:tcBorders>
            <w:tcMar>
              <w:top w:w="60" w:type="dxa"/>
              <w:left w:w="60" w:type="dxa"/>
              <w:bottom w:w="60" w:type="dxa"/>
              <w:right w:w="60" w:type="dxa"/>
            </w:tcMar>
            <w:vAlign w:val="center"/>
          </w:tcPr>
          <w:p w14:paraId="080C8EB0" w14:textId="77777777" w:rsidR="00606DE5" w:rsidRDefault="00000000">
            <w:pPr>
              <w:jc w:val="center"/>
              <w:rPr>
                <w:sz w:val="21"/>
                <w:szCs w:val="21"/>
              </w:rPr>
            </w:pPr>
            <w:r>
              <w:rPr>
                <w:rFonts w:ascii="Times New Roman" w:hAnsi="Times New Roman"/>
                <w:sz w:val="21"/>
                <w:szCs w:val="21"/>
              </w:rPr>
              <w:t>Yao et al., 2024</w:t>
            </w:r>
          </w:p>
        </w:tc>
      </w:tr>
      <w:bookmarkEnd w:id="46"/>
      <w:tr w:rsidR="00606DE5" w14:paraId="3CFC542E"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4DA9DAFD" w14:textId="77777777" w:rsidR="00606DE5" w:rsidRDefault="00000000">
            <w:pPr>
              <w:jc w:val="center"/>
              <w:rPr>
                <w:sz w:val="21"/>
                <w:szCs w:val="21"/>
              </w:rPr>
            </w:pPr>
            <w:r>
              <w:rPr>
                <w:rFonts w:ascii="Times New Roman" w:hAnsi="Times New Roman"/>
                <w:sz w:val="21"/>
                <w:szCs w:val="21"/>
              </w:rPr>
              <w:t>玉米</w:t>
            </w:r>
          </w:p>
        </w:tc>
        <w:tc>
          <w:tcPr>
            <w:tcW w:w="963" w:type="dxa"/>
            <w:tcBorders>
              <w:top w:val="nil"/>
              <w:left w:val="nil"/>
              <w:bottom w:val="nil"/>
              <w:right w:val="nil"/>
            </w:tcBorders>
            <w:tcMar>
              <w:top w:w="60" w:type="dxa"/>
              <w:left w:w="60" w:type="dxa"/>
              <w:bottom w:w="60" w:type="dxa"/>
              <w:right w:w="60" w:type="dxa"/>
            </w:tcMar>
            <w:vAlign w:val="center"/>
          </w:tcPr>
          <w:p w14:paraId="084308A3" w14:textId="77777777" w:rsidR="00606DE5" w:rsidRDefault="00000000">
            <w:pPr>
              <w:jc w:val="center"/>
              <w:rPr>
                <w:sz w:val="21"/>
                <w:szCs w:val="21"/>
              </w:rPr>
            </w:pPr>
            <w:r>
              <w:rPr>
                <w:rFonts w:ascii="Times New Roman" w:hAnsi="Times New Roman"/>
                <w:sz w:val="21"/>
                <w:szCs w:val="21"/>
              </w:rPr>
              <w:t>黄土高原</w:t>
            </w:r>
          </w:p>
        </w:tc>
        <w:tc>
          <w:tcPr>
            <w:tcW w:w="1701" w:type="dxa"/>
            <w:tcBorders>
              <w:top w:val="nil"/>
              <w:left w:val="nil"/>
              <w:bottom w:val="nil"/>
              <w:right w:val="nil"/>
            </w:tcBorders>
            <w:tcMar>
              <w:top w:w="60" w:type="dxa"/>
              <w:left w:w="60" w:type="dxa"/>
              <w:bottom w:w="60" w:type="dxa"/>
              <w:right w:w="60" w:type="dxa"/>
            </w:tcMar>
            <w:vAlign w:val="center"/>
          </w:tcPr>
          <w:p w14:paraId="0EAEF7D6" w14:textId="77777777" w:rsidR="00606DE5" w:rsidRDefault="00000000">
            <w:pPr>
              <w:jc w:val="center"/>
              <w:rPr>
                <w:sz w:val="21"/>
                <w:szCs w:val="21"/>
              </w:rPr>
            </w:pPr>
            <w:r>
              <w:rPr>
                <w:rFonts w:ascii="Times New Roman" w:hAnsi="Times New Roman"/>
                <w:sz w:val="21"/>
                <w:szCs w:val="21"/>
              </w:rPr>
              <w:t>1.73 (0.26-4.95)</w:t>
            </w:r>
          </w:p>
        </w:tc>
        <w:tc>
          <w:tcPr>
            <w:tcW w:w="1190" w:type="dxa"/>
            <w:tcBorders>
              <w:top w:val="nil"/>
              <w:left w:val="nil"/>
              <w:bottom w:val="nil"/>
              <w:right w:val="nil"/>
            </w:tcBorders>
            <w:tcMar>
              <w:top w:w="60" w:type="dxa"/>
              <w:left w:w="60" w:type="dxa"/>
              <w:bottom w:w="60" w:type="dxa"/>
              <w:right w:w="60" w:type="dxa"/>
            </w:tcMar>
            <w:vAlign w:val="center"/>
          </w:tcPr>
          <w:p w14:paraId="69667D12" w14:textId="77777777" w:rsidR="00606DE5" w:rsidRDefault="00000000">
            <w:pPr>
              <w:jc w:val="center"/>
              <w:rPr>
                <w:sz w:val="21"/>
                <w:szCs w:val="21"/>
              </w:rPr>
            </w:pPr>
            <w:r>
              <w:rPr>
                <w:rFonts w:ascii="Times New Roman" w:hAnsi="Times New Roman"/>
                <w:sz w:val="21"/>
                <w:szCs w:val="21"/>
              </w:rPr>
              <w:t>11.1 (3.5-21.4)</w:t>
            </w:r>
          </w:p>
        </w:tc>
        <w:tc>
          <w:tcPr>
            <w:tcW w:w="1587" w:type="dxa"/>
            <w:tcBorders>
              <w:top w:val="nil"/>
              <w:left w:val="nil"/>
              <w:bottom w:val="nil"/>
              <w:right w:val="nil"/>
            </w:tcBorders>
            <w:tcMar>
              <w:top w:w="60" w:type="dxa"/>
              <w:left w:w="60" w:type="dxa"/>
              <w:bottom w:w="60" w:type="dxa"/>
              <w:right w:w="60" w:type="dxa"/>
            </w:tcMar>
            <w:vAlign w:val="center"/>
          </w:tcPr>
          <w:p w14:paraId="1BD8FB73" w14:textId="77777777" w:rsidR="00606DE5" w:rsidRDefault="00000000">
            <w:pPr>
              <w:jc w:val="center"/>
              <w:rPr>
                <w:sz w:val="21"/>
                <w:szCs w:val="21"/>
              </w:rPr>
            </w:pPr>
            <w:r>
              <w:rPr>
                <w:rFonts w:ascii="Times New Roman" w:hAnsi="Times New Roman"/>
                <w:sz w:val="21"/>
                <w:szCs w:val="21"/>
              </w:rPr>
              <w:t>0.20 (0.02-0.98)</w:t>
            </w:r>
          </w:p>
        </w:tc>
        <w:tc>
          <w:tcPr>
            <w:tcW w:w="2211" w:type="dxa"/>
            <w:tcBorders>
              <w:top w:val="nil"/>
              <w:left w:val="nil"/>
              <w:bottom w:val="nil"/>
              <w:right w:val="nil"/>
            </w:tcBorders>
            <w:tcMar>
              <w:top w:w="60" w:type="dxa"/>
              <w:left w:w="60" w:type="dxa"/>
              <w:bottom w:w="60" w:type="dxa"/>
              <w:right w:w="60" w:type="dxa"/>
            </w:tcMar>
            <w:vAlign w:val="center"/>
          </w:tcPr>
          <w:p w14:paraId="6E33316F" w14:textId="77777777" w:rsidR="00606DE5" w:rsidRDefault="00000000">
            <w:pPr>
              <w:jc w:val="center"/>
              <w:rPr>
                <w:sz w:val="21"/>
                <w:szCs w:val="21"/>
              </w:rPr>
            </w:pPr>
            <w:r>
              <w:rPr>
                <w:rFonts w:ascii="Times New Roman" w:hAnsi="Times New Roman"/>
                <w:sz w:val="21"/>
                <w:szCs w:val="21"/>
              </w:rPr>
              <w:t>本研究</w:t>
            </w:r>
          </w:p>
        </w:tc>
      </w:tr>
      <w:tr w:rsidR="00606DE5" w14:paraId="1E366F8D"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37362EEB" w14:textId="77777777" w:rsidR="00606DE5" w:rsidRDefault="00606DE5">
            <w:pPr>
              <w:jc w:val="center"/>
              <w:rPr>
                <w:sz w:val="21"/>
                <w:szCs w:val="21"/>
              </w:rPr>
            </w:pPr>
          </w:p>
        </w:tc>
        <w:tc>
          <w:tcPr>
            <w:tcW w:w="963" w:type="dxa"/>
            <w:tcBorders>
              <w:top w:val="nil"/>
              <w:left w:val="nil"/>
              <w:bottom w:val="nil"/>
              <w:right w:val="nil"/>
            </w:tcBorders>
            <w:tcMar>
              <w:top w:w="60" w:type="dxa"/>
              <w:left w:w="60" w:type="dxa"/>
              <w:bottom w:w="60" w:type="dxa"/>
              <w:right w:w="60" w:type="dxa"/>
            </w:tcMar>
            <w:vAlign w:val="center"/>
          </w:tcPr>
          <w:p w14:paraId="34B2CEC7" w14:textId="77777777" w:rsidR="00606DE5" w:rsidRDefault="00000000">
            <w:pPr>
              <w:jc w:val="center"/>
              <w:rPr>
                <w:sz w:val="21"/>
                <w:szCs w:val="21"/>
              </w:rPr>
            </w:pPr>
            <w:r>
              <w:rPr>
                <w:rFonts w:ascii="Times New Roman" w:hAnsi="Times New Roman"/>
                <w:sz w:val="21"/>
                <w:szCs w:val="21"/>
              </w:rPr>
              <w:t>华北平原</w:t>
            </w:r>
          </w:p>
        </w:tc>
        <w:tc>
          <w:tcPr>
            <w:tcW w:w="1701" w:type="dxa"/>
            <w:tcBorders>
              <w:top w:val="nil"/>
              <w:left w:val="nil"/>
              <w:bottom w:val="nil"/>
              <w:right w:val="nil"/>
            </w:tcBorders>
            <w:tcMar>
              <w:top w:w="60" w:type="dxa"/>
              <w:left w:w="60" w:type="dxa"/>
              <w:bottom w:w="60" w:type="dxa"/>
              <w:right w:w="60" w:type="dxa"/>
            </w:tcMar>
            <w:vAlign w:val="center"/>
          </w:tcPr>
          <w:p w14:paraId="4AB3873A" w14:textId="77777777" w:rsidR="00606DE5" w:rsidRDefault="00000000">
            <w:pPr>
              <w:jc w:val="center"/>
              <w:rPr>
                <w:sz w:val="21"/>
                <w:szCs w:val="21"/>
              </w:rPr>
            </w:pPr>
            <w:r>
              <w:rPr>
                <w:rFonts w:ascii="Times New Roman" w:hAnsi="Times New Roman"/>
                <w:sz w:val="21"/>
                <w:szCs w:val="21"/>
              </w:rPr>
              <w:t>3.30</w:t>
            </w:r>
          </w:p>
        </w:tc>
        <w:tc>
          <w:tcPr>
            <w:tcW w:w="1190" w:type="dxa"/>
            <w:tcBorders>
              <w:top w:val="nil"/>
              <w:left w:val="nil"/>
              <w:bottom w:val="nil"/>
              <w:right w:val="nil"/>
            </w:tcBorders>
            <w:tcMar>
              <w:top w:w="60" w:type="dxa"/>
              <w:left w:w="60" w:type="dxa"/>
              <w:bottom w:w="60" w:type="dxa"/>
              <w:right w:w="60" w:type="dxa"/>
            </w:tcMar>
            <w:vAlign w:val="center"/>
          </w:tcPr>
          <w:p w14:paraId="64579B3A" w14:textId="77777777" w:rsidR="00606DE5" w:rsidRDefault="00000000">
            <w:pPr>
              <w:jc w:val="center"/>
              <w:rPr>
                <w:sz w:val="21"/>
                <w:szCs w:val="21"/>
              </w:rPr>
            </w:pPr>
            <w:r>
              <w:rPr>
                <w:rFonts w:ascii="Times New Roman" w:hAnsi="Times New Roman"/>
                <w:sz w:val="21"/>
                <w:szCs w:val="21"/>
              </w:rPr>
              <w:t>8.8</w:t>
            </w:r>
          </w:p>
        </w:tc>
        <w:tc>
          <w:tcPr>
            <w:tcW w:w="1587" w:type="dxa"/>
            <w:tcBorders>
              <w:top w:val="nil"/>
              <w:left w:val="nil"/>
              <w:bottom w:val="nil"/>
              <w:right w:val="nil"/>
            </w:tcBorders>
            <w:tcMar>
              <w:top w:w="60" w:type="dxa"/>
              <w:left w:w="60" w:type="dxa"/>
              <w:bottom w:w="60" w:type="dxa"/>
              <w:right w:w="60" w:type="dxa"/>
            </w:tcMar>
            <w:vAlign w:val="center"/>
          </w:tcPr>
          <w:p w14:paraId="0FEAF423" w14:textId="77777777" w:rsidR="00606DE5" w:rsidRDefault="00606DE5">
            <w:pPr>
              <w:jc w:val="center"/>
              <w:rPr>
                <w:sz w:val="21"/>
                <w:szCs w:val="21"/>
              </w:rPr>
            </w:pPr>
          </w:p>
        </w:tc>
        <w:tc>
          <w:tcPr>
            <w:tcW w:w="2211" w:type="dxa"/>
            <w:tcBorders>
              <w:top w:val="nil"/>
              <w:left w:val="nil"/>
              <w:bottom w:val="nil"/>
              <w:right w:val="nil"/>
            </w:tcBorders>
            <w:tcMar>
              <w:top w:w="60" w:type="dxa"/>
              <w:left w:w="60" w:type="dxa"/>
              <w:bottom w:w="60" w:type="dxa"/>
              <w:right w:w="60" w:type="dxa"/>
            </w:tcMar>
            <w:vAlign w:val="center"/>
          </w:tcPr>
          <w:p w14:paraId="43A4A40D" w14:textId="77777777" w:rsidR="00606DE5" w:rsidRDefault="00000000">
            <w:pPr>
              <w:jc w:val="center"/>
              <w:rPr>
                <w:sz w:val="21"/>
                <w:szCs w:val="21"/>
              </w:rPr>
            </w:pPr>
            <w:r>
              <w:rPr>
                <w:rFonts w:ascii="Times New Roman" w:hAnsi="Times New Roman"/>
                <w:sz w:val="21"/>
                <w:szCs w:val="21"/>
              </w:rPr>
              <w:t>Xu et al., 2017</w:t>
            </w:r>
          </w:p>
        </w:tc>
      </w:tr>
      <w:tr w:rsidR="00606DE5" w14:paraId="1871A1D7"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29622C1F" w14:textId="77777777" w:rsidR="00606DE5" w:rsidRDefault="00606DE5">
            <w:pPr>
              <w:jc w:val="center"/>
              <w:rPr>
                <w:sz w:val="21"/>
                <w:szCs w:val="21"/>
              </w:rPr>
            </w:pPr>
          </w:p>
        </w:tc>
        <w:tc>
          <w:tcPr>
            <w:tcW w:w="963" w:type="dxa"/>
            <w:tcBorders>
              <w:top w:val="nil"/>
              <w:left w:val="nil"/>
              <w:bottom w:val="nil"/>
              <w:right w:val="nil"/>
            </w:tcBorders>
            <w:tcMar>
              <w:top w:w="60" w:type="dxa"/>
              <w:left w:w="60" w:type="dxa"/>
              <w:bottom w:w="60" w:type="dxa"/>
              <w:right w:w="60" w:type="dxa"/>
            </w:tcMar>
            <w:vAlign w:val="center"/>
          </w:tcPr>
          <w:p w14:paraId="36436812" w14:textId="77777777" w:rsidR="00606DE5" w:rsidRDefault="00000000">
            <w:pPr>
              <w:jc w:val="center"/>
              <w:rPr>
                <w:sz w:val="21"/>
                <w:szCs w:val="21"/>
              </w:rPr>
            </w:pPr>
            <w:r>
              <w:rPr>
                <w:rFonts w:ascii="Times New Roman" w:hAnsi="Times New Roman"/>
                <w:sz w:val="21"/>
                <w:szCs w:val="21"/>
              </w:rPr>
              <w:t>全球</w:t>
            </w:r>
          </w:p>
        </w:tc>
        <w:tc>
          <w:tcPr>
            <w:tcW w:w="1701" w:type="dxa"/>
            <w:tcBorders>
              <w:top w:val="nil"/>
              <w:left w:val="nil"/>
              <w:bottom w:val="nil"/>
              <w:right w:val="nil"/>
            </w:tcBorders>
            <w:tcMar>
              <w:top w:w="60" w:type="dxa"/>
              <w:left w:w="60" w:type="dxa"/>
              <w:bottom w:w="60" w:type="dxa"/>
              <w:right w:w="60" w:type="dxa"/>
            </w:tcMar>
            <w:vAlign w:val="center"/>
          </w:tcPr>
          <w:p w14:paraId="52FC46F7" w14:textId="77777777" w:rsidR="00606DE5" w:rsidRDefault="00000000">
            <w:pPr>
              <w:jc w:val="center"/>
              <w:rPr>
                <w:sz w:val="21"/>
                <w:szCs w:val="21"/>
              </w:rPr>
            </w:pPr>
            <w:r>
              <w:rPr>
                <w:rFonts w:ascii="Times New Roman" w:hAnsi="Times New Roman"/>
                <w:sz w:val="21"/>
                <w:szCs w:val="21"/>
              </w:rPr>
              <w:t>3.01</w:t>
            </w:r>
          </w:p>
        </w:tc>
        <w:tc>
          <w:tcPr>
            <w:tcW w:w="1190" w:type="dxa"/>
            <w:tcBorders>
              <w:top w:val="nil"/>
              <w:left w:val="nil"/>
              <w:bottom w:val="nil"/>
              <w:right w:val="nil"/>
            </w:tcBorders>
            <w:tcMar>
              <w:top w:w="60" w:type="dxa"/>
              <w:left w:w="60" w:type="dxa"/>
              <w:bottom w:w="60" w:type="dxa"/>
              <w:right w:w="60" w:type="dxa"/>
            </w:tcMar>
            <w:vAlign w:val="center"/>
          </w:tcPr>
          <w:p w14:paraId="333B5610" w14:textId="77777777" w:rsidR="00606DE5" w:rsidRDefault="00000000">
            <w:pPr>
              <w:jc w:val="center"/>
              <w:rPr>
                <w:sz w:val="21"/>
                <w:szCs w:val="21"/>
              </w:rPr>
            </w:pPr>
            <w:r>
              <w:rPr>
                <w:rFonts w:ascii="Times New Roman" w:hAnsi="Times New Roman"/>
                <w:sz w:val="21"/>
                <w:szCs w:val="21"/>
              </w:rPr>
              <w:t>8.0</w:t>
            </w:r>
          </w:p>
        </w:tc>
        <w:tc>
          <w:tcPr>
            <w:tcW w:w="1587" w:type="dxa"/>
            <w:tcBorders>
              <w:top w:val="nil"/>
              <w:left w:val="nil"/>
              <w:bottom w:val="nil"/>
              <w:right w:val="nil"/>
            </w:tcBorders>
            <w:tcMar>
              <w:top w:w="60" w:type="dxa"/>
              <w:left w:w="60" w:type="dxa"/>
              <w:bottom w:w="60" w:type="dxa"/>
              <w:right w:w="60" w:type="dxa"/>
            </w:tcMar>
            <w:vAlign w:val="center"/>
          </w:tcPr>
          <w:p w14:paraId="06615F9C" w14:textId="77777777" w:rsidR="00606DE5" w:rsidRDefault="00606DE5">
            <w:pPr>
              <w:jc w:val="center"/>
              <w:rPr>
                <w:sz w:val="21"/>
                <w:szCs w:val="21"/>
              </w:rPr>
            </w:pPr>
          </w:p>
        </w:tc>
        <w:tc>
          <w:tcPr>
            <w:tcW w:w="2211" w:type="dxa"/>
            <w:tcBorders>
              <w:top w:val="nil"/>
              <w:left w:val="nil"/>
              <w:bottom w:val="nil"/>
              <w:right w:val="nil"/>
            </w:tcBorders>
            <w:tcMar>
              <w:top w:w="60" w:type="dxa"/>
              <w:left w:w="60" w:type="dxa"/>
              <w:bottom w:w="60" w:type="dxa"/>
              <w:right w:w="60" w:type="dxa"/>
            </w:tcMar>
            <w:vAlign w:val="center"/>
          </w:tcPr>
          <w:p w14:paraId="609D9533" w14:textId="77777777" w:rsidR="00606DE5" w:rsidRDefault="00000000">
            <w:pPr>
              <w:jc w:val="center"/>
              <w:rPr>
                <w:sz w:val="21"/>
                <w:szCs w:val="21"/>
              </w:rPr>
            </w:pPr>
            <w:r>
              <w:rPr>
                <w:rFonts w:ascii="Times New Roman" w:hAnsi="Times New Roman"/>
                <w:sz w:val="21"/>
                <w:szCs w:val="21"/>
              </w:rPr>
              <w:t>Linquist et al., 2012</w:t>
            </w:r>
          </w:p>
        </w:tc>
      </w:tr>
      <w:tr w:rsidR="00606DE5" w14:paraId="55758C94"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5A5A868D" w14:textId="77777777" w:rsidR="00606DE5" w:rsidRDefault="00606DE5">
            <w:pPr>
              <w:jc w:val="center"/>
              <w:rPr>
                <w:sz w:val="21"/>
                <w:szCs w:val="21"/>
              </w:rPr>
            </w:pPr>
          </w:p>
        </w:tc>
        <w:tc>
          <w:tcPr>
            <w:tcW w:w="963" w:type="dxa"/>
            <w:tcBorders>
              <w:top w:val="nil"/>
              <w:left w:val="nil"/>
              <w:bottom w:val="nil"/>
              <w:right w:val="nil"/>
            </w:tcBorders>
            <w:tcMar>
              <w:top w:w="60" w:type="dxa"/>
              <w:left w:w="60" w:type="dxa"/>
              <w:bottom w:w="60" w:type="dxa"/>
              <w:right w:w="60" w:type="dxa"/>
            </w:tcMar>
            <w:vAlign w:val="center"/>
          </w:tcPr>
          <w:p w14:paraId="5DE8BA12" w14:textId="77777777" w:rsidR="00606DE5" w:rsidRDefault="00000000">
            <w:pPr>
              <w:jc w:val="center"/>
              <w:rPr>
                <w:sz w:val="21"/>
                <w:szCs w:val="21"/>
              </w:rPr>
            </w:pPr>
            <w:r>
              <w:rPr>
                <w:rFonts w:ascii="Times New Roman" w:hAnsi="Times New Roman"/>
                <w:sz w:val="21"/>
                <w:szCs w:val="21"/>
              </w:rPr>
              <w:t>全球</w:t>
            </w:r>
          </w:p>
        </w:tc>
        <w:tc>
          <w:tcPr>
            <w:tcW w:w="1701" w:type="dxa"/>
            <w:tcBorders>
              <w:top w:val="nil"/>
              <w:left w:val="nil"/>
              <w:bottom w:val="nil"/>
              <w:right w:val="nil"/>
            </w:tcBorders>
            <w:tcMar>
              <w:top w:w="60" w:type="dxa"/>
              <w:left w:w="60" w:type="dxa"/>
              <w:bottom w:w="60" w:type="dxa"/>
              <w:right w:w="60" w:type="dxa"/>
            </w:tcMar>
            <w:vAlign w:val="center"/>
          </w:tcPr>
          <w:p w14:paraId="44371F21" w14:textId="77777777" w:rsidR="00606DE5" w:rsidRDefault="00000000">
            <w:pPr>
              <w:jc w:val="center"/>
              <w:rPr>
                <w:sz w:val="21"/>
                <w:szCs w:val="21"/>
              </w:rPr>
            </w:pPr>
            <w:r>
              <w:rPr>
                <w:rFonts w:ascii="Times New Roman" w:hAnsi="Times New Roman"/>
                <w:sz w:val="21"/>
                <w:szCs w:val="21"/>
              </w:rPr>
              <w:t>1.50</w:t>
            </w:r>
          </w:p>
        </w:tc>
        <w:tc>
          <w:tcPr>
            <w:tcW w:w="1190" w:type="dxa"/>
            <w:tcBorders>
              <w:top w:val="nil"/>
              <w:left w:val="nil"/>
              <w:bottom w:val="nil"/>
              <w:right w:val="nil"/>
            </w:tcBorders>
            <w:tcMar>
              <w:top w:w="60" w:type="dxa"/>
              <w:left w:w="60" w:type="dxa"/>
              <w:bottom w:w="60" w:type="dxa"/>
              <w:right w:w="60" w:type="dxa"/>
            </w:tcMar>
            <w:vAlign w:val="center"/>
          </w:tcPr>
          <w:p w14:paraId="11B1FF9F" w14:textId="77777777" w:rsidR="00606DE5" w:rsidRDefault="00000000">
            <w:pPr>
              <w:jc w:val="center"/>
              <w:rPr>
                <w:sz w:val="21"/>
                <w:szCs w:val="21"/>
              </w:rPr>
            </w:pPr>
            <w:r>
              <w:rPr>
                <w:rFonts w:ascii="Times New Roman" w:hAnsi="Times New Roman"/>
                <w:sz w:val="21"/>
                <w:szCs w:val="21"/>
              </w:rPr>
              <w:t>7.9</w:t>
            </w:r>
          </w:p>
        </w:tc>
        <w:tc>
          <w:tcPr>
            <w:tcW w:w="1587" w:type="dxa"/>
            <w:tcBorders>
              <w:top w:val="nil"/>
              <w:left w:val="nil"/>
              <w:bottom w:val="nil"/>
              <w:right w:val="nil"/>
            </w:tcBorders>
            <w:tcMar>
              <w:top w:w="60" w:type="dxa"/>
              <w:left w:w="60" w:type="dxa"/>
              <w:bottom w:w="60" w:type="dxa"/>
              <w:right w:w="60" w:type="dxa"/>
            </w:tcMar>
            <w:vAlign w:val="center"/>
          </w:tcPr>
          <w:p w14:paraId="74A826F0" w14:textId="77777777" w:rsidR="00606DE5" w:rsidRDefault="00000000">
            <w:pPr>
              <w:jc w:val="center"/>
              <w:rPr>
                <w:sz w:val="21"/>
                <w:szCs w:val="21"/>
              </w:rPr>
            </w:pPr>
            <w:r>
              <w:rPr>
                <w:rFonts w:ascii="Times New Roman" w:hAnsi="Times New Roman"/>
                <w:sz w:val="21"/>
                <w:szCs w:val="21"/>
              </w:rPr>
              <w:t>0.211</w:t>
            </w:r>
          </w:p>
        </w:tc>
        <w:tc>
          <w:tcPr>
            <w:tcW w:w="2211" w:type="dxa"/>
            <w:tcBorders>
              <w:top w:val="nil"/>
              <w:left w:val="nil"/>
              <w:bottom w:val="nil"/>
              <w:right w:val="nil"/>
            </w:tcBorders>
            <w:tcMar>
              <w:top w:w="60" w:type="dxa"/>
              <w:left w:w="60" w:type="dxa"/>
              <w:bottom w:w="60" w:type="dxa"/>
              <w:right w:w="60" w:type="dxa"/>
            </w:tcMar>
            <w:vAlign w:val="center"/>
          </w:tcPr>
          <w:p w14:paraId="71EABD85" w14:textId="77777777" w:rsidR="00606DE5" w:rsidRDefault="00000000">
            <w:pPr>
              <w:jc w:val="center"/>
              <w:rPr>
                <w:sz w:val="21"/>
                <w:szCs w:val="21"/>
              </w:rPr>
            </w:pPr>
            <w:r>
              <w:rPr>
                <w:rFonts w:ascii="Times New Roman" w:hAnsi="Times New Roman"/>
                <w:sz w:val="21"/>
                <w:szCs w:val="21"/>
              </w:rPr>
              <w:t>Yao et al., 2024</w:t>
            </w:r>
          </w:p>
        </w:tc>
      </w:tr>
      <w:tr w:rsidR="00606DE5" w14:paraId="013445F5"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199EEDF3" w14:textId="77777777" w:rsidR="00606DE5" w:rsidRDefault="00000000">
            <w:pPr>
              <w:jc w:val="center"/>
              <w:rPr>
                <w:sz w:val="21"/>
                <w:szCs w:val="21"/>
              </w:rPr>
            </w:pPr>
            <w:r>
              <w:rPr>
                <w:rFonts w:ascii="Times New Roman" w:hAnsi="Times New Roman"/>
                <w:sz w:val="21"/>
                <w:szCs w:val="21"/>
              </w:rPr>
              <w:t>果园</w:t>
            </w:r>
          </w:p>
        </w:tc>
        <w:tc>
          <w:tcPr>
            <w:tcW w:w="963" w:type="dxa"/>
            <w:tcBorders>
              <w:top w:val="nil"/>
              <w:left w:val="nil"/>
              <w:bottom w:val="nil"/>
              <w:right w:val="nil"/>
            </w:tcBorders>
            <w:tcMar>
              <w:top w:w="60" w:type="dxa"/>
              <w:left w:w="60" w:type="dxa"/>
              <w:bottom w:w="60" w:type="dxa"/>
              <w:right w:w="60" w:type="dxa"/>
            </w:tcMar>
            <w:vAlign w:val="center"/>
          </w:tcPr>
          <w:p w14:paraId="011B3123" w14:textId="77777777" w:rsidR="00606DE5" w:rsidRDefault="00000000">
            <w:pPr>
              <w:jc w:val="center"/>
              <w:rPr>
                <w:sz w:val="21"/>
                <w:szCs w:val="21"/>
              </w:rPr>
            </w:pPr>
            <w:r>
              <w:rPr>
                <w:rFonts w:ascii="Times New Roman" w:hAnsi="Times New Roman"/>
                <w:sz w:val="21"/>
                <w:szCs w:val="21"/>
              </w:rPr>
              <w:t>黄土高原</w:t>
            </w:r>
          </w:p>
        </w:tc>
        <w:tc>
          <w:tcPr>
            <w:tcW w:w="1701" w:type="dxa"/>
            <w:tcBorders>
              <w:top w:val="nil"/>
              <w:left w:val="nil"/>
              <w:bottom w:val="nil"/>
              <w:right w:val="nil"/>
            </w:tcBorders>
            <w:tcMar>
              <w:top w:w="60" w:type="dxa"/>
              <w:left w:w="60" w:type="dxa"/>
              <w:bottom w:w="60" w:type="dxa"/>
              <w:right w:w="60" w:type="dxa"/>
            </w:tcMar>
            <w:vAlign w:val="center"/>
          </w:tcPr>
          <w:p w14:paraId="0B38C57D" w14:textId="77777777" w:rsidR="00606DE5" w:rsidRDefault="00000000">
            <w:pPr>
              <w:jc w:val="center"/>
              <w:rPr>
                <w:sz w:val="21"/>
                <w:szCs w:val="21"/>
              </w:rPr>
            </w:pPr>
            <w:r>
              <w:rPr>
                <w:rFonts w:ascii="Times New Roman" w:hAnsi="Times New Roman"/>
                <w:sz w:val="21"/>
                <w:szCs w:val="21"/>
              </w:rPr>
              <w:t>2.97 (0.95-8.89)</w:t>
            </w:r>
          </w:p>
        </w:tc>
        <w:tc>
          <w:tcPr>
            <w:tcW w:w="1190" w:type="dxa"/>
            <w:tcBorders>
              <w:top w:val="nil"/>
              <w:left w:val="nil"/>
              <w:bottom w:val="nil"/>
              <w:right w:val="nil"/>
            </w:tcBorders>
            <w:tcMar>
              <w:top w:w="60" w:type="dxa"/>
              <w:left w:w="60" w:type="dxa"/>
              <w:bottom w:w="60" w:type="dxa"/>
              <w:right w:w="60" w:type="dxa"/>
            </w:tcMar>
            <w:vAlign w:val="center"/>
          </w:tcPr>
          <w:p w14:paraId="1BFD019D" w14:textId="77777777" w:rsidR="00606DE5" w:rsidRDefault="00000000">
            <w:pPr>
              <w:jc w:val="center"/>
              <w:rPr>
                <w:sz w:val="21"/>
                <w:szCs w:val="21"/>
              </w:rPr>
            </w:pPr>
            <w:r>
              <w:rPr>
                <w:rFonts w:ascii="Times New Roman" w:hAnsi="Times New Roman"/>
                <w:sz w:val="21"/>
                <w:szCs w:val="21"/>
              </w:rPr>
              <w:t>44.2 (12.0-93.4)</w:t>
            </w:r>
          </w:p>
        </w:tc>
        <w:tc>
          <w:tcPr>
            <w:tcW w:w="1587" w:type="dxa"/>
            <w:tcBorders>
              <w:top w:val="nil"/>
              <w:left w:val="nil"/>
              <w:bottom w:val="nil"/>
              <w:right w:val="nil"/>
            </w:tcBorders>
            <w:tcMar>
              <w:top w:w="60" w:type="dxa"/>
              <w:left w:w="60" w:type="dxa"/>
              <w:bottom w:w="60" w:type="dxa"/>
              <w:right w:w="60" w:type="dxa"/>
            </w:tcMar>
            <w:vAlign w:val="center"/>
          </w:tcPr>
          <w:p w14:paraId="5433A1AA" w14:textId="77777777" w:rsidR="00606DE5" w:rsidRDefault="00000000">
            <w:pPr>
              <w:jc w:val="center"/>
              <w:rPr>
                <w:sz w:val="21"/>
                <w:szCs w:val="21"/>
              </w:rPr>
            </w:pPr>
            <w:r>
              <w:rPr>
                <w:rFonts w:ascii="Times New Roman" w:hAnsi="Times New Roman"/>
                <w:sz w:val="21"/>
                <w:szCs w:val="21"/>
              </w:rPr>
              <w:t>0.06 (0.02-0.21)</w:t>
            </w:r>
          </w:p>
        </w:tc>
        <w:tc>
          <w:tcPr>
            <w:tcW w:w="2211" w:type="dxa"/>
            <w:tcBorders>
              <w:top w:val="nil"/>
              <w:left w:val="nil"/>
              <w:bottom w:val="nil"/>
              <w:right w:val="nil"/>
            </w:tcBorders>
            <w:tcMar>
              <w:top w:w="60" w:type="dxa"/>
              <w:left w:w="60" w:type="dxa"/>
              <w:bottom w:w="60" w:type="dxa"/>
              <w:right w:w="60" w:type="dxa"/>
            </w:tcMar>
            <w:vAlign w:val="center"/>
          </w:tcPr>
          <w:p w14:paraId="5BCDCCBD" w14:textId="77777777" w:rsidR="00606DE5" w:rsidRDefault="00000000">
            <w:pPr>
              <w:jc w:val="center"/>
              <w:rPr>
                <w:sz w:val="21"/>
                <w:szCs w:val="21"/>
              </w:rPr>
            </w:pPr>
            <w:r>
              <w:rPr>
                <w:rFonts w:ascii="Times New Roman" w:hAnsi="Times New Roman"/>
                <w:sz w:val="21"/>
                <w:szCs w:val="21"/>
              </w:rPr>
              <w:t>本研究</w:t>
            </w:r>
          </w:p>
        </w:tc>
      </w:tr>
      <w:tr w:rsidR="00606DE5" w14:paraId="53A55FFA"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4D6C6C92" w14:textId="77777777" w:rsidR="00606DE5" w:rsidRDefault="00606DE5">
            <w:pPr>
              <w:jc w:val="center"/>
              <w:rPr>
                <w:sz w:val="21"/>
                <w:szCs w:val="21"/>
              </w:rPr>
            </w:pPr>
          </w:p>
        </w:tc>
        <w:tc>
          <w:tcPr>
            <w:tcW w:w="963" w:type="dxa"/>
            <w:tcBorders>
              <w:top w:val="nil"/>
              <w:left w:val="nil"/>
              <w:bottom w:val="nil"/>
              <w:right w:val="nil"/>
            </w:tcBorders>
            <w:tcMar>
              <w:top w:w="60" w:type="dxa"/>
              <w:left w:w="60" w:type="dxa"/>
              <w:bottom w:w="60" w:type="dxa"/>
              <w:right w:w="60" w:type="dxa"/>
            </w:tcMar>
            <w:vAlign w:val="center"/>
          </w:tcPr>
          <w:p w14:paraId="538DE917" w14:textId="77777777" w:rsidR="00606DE5" w:rsidRDefault="00000000">
            <w:pPr>
              <w:jc w:val="center"/>
              <w:rPr>
                <w:sz w:val="21"/>
                <w:szCs w:val="21"/>
              </w:rPr>
            </w:pPr>
            <w:r>
              <w:rPr>
                <w:rFonts w:ascii="Times New Roman" w:hAnsi="Times New Roman"/>
                <w:sz w:val="21"/>
                <w:szCs w:val="21"/>
              </w:rPr>
              <w:t>全球</w:t>
            </w:r>
          </w:p>
        </w:tc>
        <w:tc>
          <w:tcPr>
            <w:tcW w:w="1701" w:type="dxa"/>
            <w:tcBorders>
              <w:top w:val="nil"/>
              <w:left w:val="nil"/>
              <w:bottom w:val="nil"/>
              <w:right w:val="nil"/>
            </w:tcBorders>
            <w:tcMar>
              <w:top w:w="60" w:type="dxa"/>
              <w:left w:w="60" w:type="dxa"/>
              <w:bottom w:w="60" w:type="dxa"/>
              <w:right w:w="60" w:type="dxa"/>
            </w:tcMar>
            <w:vAlign w:val="center"/>
          </w:tcPr>
          <w:p w14:paraId="06340AAD" w14:textId="77777777" w:rsidR="00606DE5" w:rsidRDefault="00000000">
            <w:pPr>
              <w:jc w:val="center"/>
              <w:rPr>
                <w:sz w:val="21"/>
                <w:szCs w:val="21"/>
              </w:rPr>
            </w:pPr>
            <w:r>
              <w:rPr>
                <w:rFonts w:ascii="Times New Roman" w:hAnsi="Times New Roman"/>
                <w:sz w:val="21"/>
                <w:szCs w:val="21"/>
              </w:rPr>
              <w:t>3.06 (-0.12-26.0)</w:t>
            </w:r>
          </w:p>
        </w:tc>
        <w:tc>
          <w:tcPr>
            <w:tcW w:w="1190" w:type="dxa"/>
            <w:tcBorders>
              <w:top w:val="nil"/>
              <w:left w:val="nil"/>
              <w:bottom w:val="nil"/>
              <w:right w:val="nil"/>
            </w:tcBorders>
            <w:tcMar>
              <w:top w:w="60" w:type="dxa"/>
              <w:left w:w="60" w:type="dxa"/>
              <w:bottom w:w="60" w:type="dxa"/>
              <w:right w:w="60" w:type="dxa"/>
            </w:tcMar>
            <w:vAlign w:val="center"/>
          </w:tcPr>
          <w:p w14:paraId="158A30DE" w14:textId="77777777" w:rsidR="00606DE5" w:rsidRDefault="00606DE5">
            <w:pPr>
              <w:jc w:val="center"/>
              <w:rPr>
                <w:sz w:val="21"/>
                <w:szCs w:val="21"/>
              </w:rPr>
            </w:pPr>
          </w:p>
        </w:tc>
        <w:tc>
          <w:tcPr>
            <w:tcW w:w="1587" w:type="dxa"/>
            <w:tcBorders>
              <w:top w:val="nil"/>
              <w:left w:val="nil"/>
              <w:bottom w:val="nil"/>
              <w:right w:val="nil"/>
            </w:tcBorders>
            <w:tcMar>
              <w:top w:w="60" w:type="dxa"/>
              <w:left w:w="60" w:type="dxa"/>
              <w:bottom w:w="60" w:type="dxa"/>
              <w:right w:w="60" w:type="dxa"/>
            </w:tcMar>
            <w:vAlign w:val="center"/>
          </w:tcPr>
          <w:p w14:paraId="718179F4" w14:textId="77777777" w:rsidR="00606DE5" w:rsidRDefault="00606DE5">
            <w:pPr>
              <w:jc w:val="center"/>
              <w:rPr>
                <w:sz w:val="21"/>
                <w:szCs w:val="21"/>
              </w:rPr>
            </w:pPr>
          </w:p>
        </w:tc>
        <w:tc>
          <w:tcPr>
            <w:tcW w:w="2211" w:type="dxa"/>
            <w:tcBorders>
              <w:top w:val="nil"/>
              <w:left w:val="nil"/>
              <w:bottom w:val="nil"/>
              <w:right w:val="nil"/>
            </w:tcBorders>
            <w:tcMar>
              <w:top w:w="60" w:type="dxa"/>
              <w:left w:w="60" w:type="dxa"/>
              <w:bottom w:w="60" w:type="dxa"/>
              <w:right w:w="60" w:type="dxa"/>
            </w:tcMar>
            <w:vAlign w:val="center"/>
          </w:tcPr>
          <w:p w14:paraId="0F308685" w14:textId="77777777" w:rsidR="00606DE5" w:rsidRDefault="00000000">
            <w:pPr>
              <w:jc w:val="center"/>
              <w:rPr>
                <w:sz w:val="21"/>
                <w:szCs w:val="21"/>
              </w:rPr>
            </w:pPr>
            <w:r>
              <w:rPr>
                <w:rFonts w:ascii="Times New Roman" w:hAnsi="Times New Roman"/>
                <w:sz w:val="21"/>
                <w:szCs w:val="21"/>
              </w:rPr>
              <w:t>Gu et al., 2019</w:t>
            </w:r>
          </w:p>
        </w:tc>
      </w:tr>
      <w:tr w:rsidR="00606DE5" w14:paraId="77D94572" w14:textId="77777777">
        <w:trPr>
          <w:jc w:val="center"/>
        </w:trPr>
        <w:tc>
          <w:tcPr>
            <w:tcW w:w="907" w:type="dxa"/>
            <w:tcBorders>
              <w:top w:val="nil"/>
              <w:left w:val="nil"/>
              <w:bottom w:val="single" w:sz="12" w:space="0" w:color="auto"/>
              <w:right w:val="nil"/>
            </w:tcBorders>
            <w:tcMar>
              <w:top w:w="60" w:type="dxa"/>
              <w:left w:w="60" w:type="dxa"/>
              <w:bottom w:w="60" w:type="dxa"/>
              <w:right w:w="60" w:type="dxa"/>
            </w:tcMar>
            <w:vAlign w:val="center"/>
          </w:tcPr>
          <w:p w14:paraId="0A5FD47D" w14:textId="77777777" w:rsidR="00606DE5" w:rsidRDefault="00606DE5">
            <w:pPr>
              <w:jc w:val="center"/>
              <w:rPr>
                <w:sz w:val="21"/>
                <w:szCs w:val="21"/>
              </w:rPr>
            </w:pPr>
          </w:p>
        </w:tc>
        <w:tc>
          <w:tcPr>
            <w:tcW w:w="963" w:type="dxa"/>
            <w:tcBorders>
              <w:top w:val="nil"/>
              <w:left w:val="nil"/>
              <w:bottom w:val="single" w:sz="12" w:space="0" w:color="auto"/>
              <w:right w:val="nil"/>
            </w:tcBorders>
            <w:tcMar>
              <w:top w:w="60" w:type="dxa"/>
              <w:left w:w="60" w:type="dxa"/>
              <w:bottom w:w="60" w:type="dxa"/>
              <w:right w:w="60" w:type="dxa"/>
            </w:tcMar>
            <w:vAlign w:val="center"/>
          </w:tcPr>
          <w:p w14:paraId="19676AA5" w14:textId="77777777" w:rsidR="00606DE5" w:rsidRDefault="00000000">
            <w:pPr>
              <w:jc w:val="center"/>
              <w:rPr>
                <w:sz w:val="21"/>
                <w:szCs w:val="21"/>
              </w:rPr>
            </w:pPr>
            <w:r>
              <w:rPr>
                <w:rFonts w:ascii="Times New Roman" w:hAnsi="Times New Roman"/>
                <w:sz w:val="21"/>
                <w:szCs w:val="21"/>
              </w:rPr>
              <w:t>全球</w:t>
            </w:r>
          </w:p>
        </w:tc>
        <w:tc>
          <w:tcPr>
            <w:tcW w:w="1701" w:type="dxa"/>
            <w:tcBorders>
              <w:top w:val="nil"/>
              <w:left w:val="nil"/>
              <w:bottom w:val="single" w:sz="12" w:space="0" w:color="auto"/>
              <w:right w:val="nil"/>
            </w:tcBorders>
            <w:tcMar>
              <w:top w:w="60" w:type="dxa"/>
              <w:left w:w="60" w:type="dxa"/>
              <w:bottom w:w="60" w:type="dxa"/>
              <w:right w:w="60" w:type="dxa"/>
            </w:tcMar>
            <w:vAlign w:val="center"/>
          </w:tcPr>
          <w:p w14:paraId="2F730E5D" w14:textId="77777777" w:rsidR="00606DE5" w:rsidRDefault="00000000">
            <w:pPr>
              <w:jc w:val="center"/>
              <w:rPr>
                <w:sz w:val="21"/>
                <w:szCs w:val="21"/>
              </w:rPr>
            </w:pPr>
            <w:r>
              <w:rPr>
                <w:rFonts w:ascii="Times New Roman" w:hAnsi="Times New Roman"/>
                <w:sz w:val="21"/>
                <w:szCs w:val="21"/>
              </w:rPr>
              <w:t>5.50</w:t>
            </w:r>
          </w:p>
        </w:tc>
        <w:tc>
          <w:tcPr>
            <w:tcW w:w="1190" w:type="dxa"/>
            <w:tcBorders>
              <w:top w:val="nil"/>
              <w:left w:val="nil"/>
              <w:bottom w:val="single" w:sz="12" w:space="0" w:color="auto"/>
              <w:right w:val="nil"/>
            </w:tcBorders>
            <w:tcMar>
              <w:top w:w="60" w:type="dxa"/>
              <w:left w:w="60" w:type="dxa"/>
              <w:bottom w:w="60" w:type="dxa"/>
              <w:right w:w="60" w:type="dxa"/>
            </w:tcMar>
            <w:vAlign w:val="center"/>
          </w:tcPr>
          <w:p w14:paraId="6BFAD821" w14:textId="77777777" w:rsidR="00606DE5" w:rsidRDefault="00606DE5">
            <w:pPr>
              <w:jc w:val="center"/>
              <w:rPr>
                <w:sz w:val="21"/>
                <w:szCs w:val="21"/>
              </w:rPr>
            </w:pPr>
          </w:p>
        </w:tc>
        <w:tc>
          <w:tcPr>
            <w:tcW w:w="1587" w:type="dxa"/>
            <w:tcBorders>
              <w:top w:val="nil"/>
              <w:left w:val="nil"/>
              <w:bottom w:val="single" w:sz="12" w:space="0" w:color="auto"/>
              <w:right w:val="nil"/>
            </w:tcBorders>
            <w:tcMar>
              <w:top w:w="60" w:type="dxa"/>
              <w:left w:w="60" w:type="dxa"/>
              <w:bottom w:w="60" w:type="dxa"/>
              <w:right w:w="60" w:type="dxa"/>
            </w:tcMar>
            <w:vAlign w:val="center"/>
          </w:tcPr>
          <w:p w14:paraId="11425BBC" w14:textId="77777777" w:rsidR="00606DE5" w:rsidRDefault="00606DE5">
            <w:pPr>
              <w:jc w:val="center"/>
              <w:rPr>
                <w:sz w:val="21"/>
                <w:szCs w:val="21"/>
              </w:rPr>
            </w:pPr>
          </w:p>
        </w:tc>
        <w:tc>
          <w:tcPr>
            <w:tcW w:w="2211" w:type="dxa"/>
            <w:tcBorders>
              <w:top w:val="nil"/>
              <w:left w:val="nil"/>
              <w:bottom w:val="single" w:sz="12" w:space="0" w:color="auto"/>
              <w:right w:val="nil"/>
            </w:tcBorders>
            <w:tcMar>
              <w:top w:w="60" w:type="dxa"/>
              <w:left w:w="60" w:type="dxa"/>
              <w:bottom w:w="60" w:type="dxa"/>
              <w:right w:w="60" w:type="dxa"/>
            </w:tcMar>
            <w:vAlign w:val="center"/>
          </w:tcPr>
          <w:p w14:paraId="39C5E46F" w14:textId="77777777" w:rsidR="00606DE5" w:rsidRDefault="00000000">
            <w:pPr>
              <w:jc w:val="center"/>
              <w:rPr>
                <w:sz w:val="21"/>
                <w:szCs w:val="21"/>
              </w:rPr>
            </w:pPr>
            <w:r>
              <w:rPr>
                <w:rFonts w:ascii="Times New Roman" w:hAnsi="Times New Roman"/>
                <w:sz w:val="21"/>
                <w:szCs w:val="21"/>
              </w:rPr>
              <w:t>Zhao et al., 2022</w:t>
            </w:r>
          </w:p>
        </w:tc>
      </w:tr>
    </w:tbl>
    <w:p w14:paraId="654A1F6C" w14:textId="77777777" w:rsidR="00606DE5" w:rsidRDefault="00606DE5">
      <w:pPr>
        <w:rPr>
          <w:lang w:val="en-US"/>
        </w:rPr>
      </w:pPr>
    </w:p>
    <w:p w14:paraId="67A4598F" w14:textId="77777777" w:rsidR="00606DE5" w:rsidRDefault="00000000">
      <w:pPr>
        <w:pStyle w:val="ac"/>
        <w:ind w:firstLineChars="83" w:firstLine="174"/>
        <w:jc w:val="center"/>
        <w:rPr>
          <w:sz w:val="21"/>
          <w:szCs w:val="21"/>
        </w:rPr>
      </w:pPr>
      <w:r>
        <w:rPr>
          <w:rFonts w:hint="eastAsia"/>
          <w:sz w:val="21"/>
          <w:szCs w:val="21"/>
        </w:rPr>
        <w:t>续</w:t>
      </w:r>
      <w:r>
        <w:rPr>
          <w:sz w:val="21"/>
          <w:szCs w:val="21"/>
        </w:rPr>
        <w:t>表</w:t>
      </w:r>
      <w:r>
        <w:rPr>
          <w:sz w:val="21"/>
          <w:szCs w:val="21"/>
        </w:rPr>
        <w:t xml:space="preserve"> 4-1 </w:t>
      </w:r>
      <w:r>
        <w:rPr>
          <w:sz w:val="21"/>
          <w:szCs w:val="21"/>
        </w:rPr>
        <w:t>黄土高原与其他区域农业土壤</w:t>
      </w:r>
      <w:r>
        <w:rPr>
          <w:sz w:val="21"/>
          <w:szCs w:val="21"/>
        </w:rPr>
        <w:t xml:space="preserve"> N₂O </w:t>
      </w:r>
      <w:r>
        <w:rPr>
          <w:sz w:val="21"/>
          <w:szCs w:val="21"/>
        </w:rPr>
        <w:t>排放、产量和产量尺度排放比较</w:t>
      </w:r>
    </w:p>
    <w:tbl>
      <w:tblPr>
        <w:tblW w:w="0" w:type="auto"/>
        <w:jc w:val="center"/>
        <w:tblLayout w:type="fixed"/>
        <w:tblLook w:val="04A0" w:firstRow="1" w:lastRow="0" w:firstColumn="1" w:lastColumn="0" w:noHBand="0" w:noVBand="1"/>
      </w:tblPr>
      <w:tblGrid>
        <w:gridCol w:w="1134"/>
        <w:gridCol w:w="1190"/>
        <w:gridCol w:w="1814"/>
        <w:gridCol w:w="1701"/>
        <w:gridCol w:w="2551"/>
      </w:tblGrid>
      <w:tr w:rsidR="00606DE5" w14:paraId="1D7B37FC" w14:textId="77777777">
        <w:trPr>
          <w:tblHeader/>
          <w:jc w:val="center"/>
        </w:trPr>
        <w:tc>
          <w:tcPr>
            <w:tcW w:w="1134"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270CAF4C" w14:textId="77777777" w:rsidR="00606DE5" w:rsidRDefault="00000000">
            <w:pPr>
              <w:jc w:val="center"/>
            </w:pPr>
            <w:r>
              <w:rPr>
                <w:rFonts w:ascii="Times New Roman" w:hAnsi="Times New Roman"/>
                <w:b/>
                <w:sz w:val="18"/>
              </w:rPr>
              <w:t>作物</w:t>
            </w:r>
            <w:r>
              <w:rPr>
                <w:rFonts w:ascii="Times New Roman" w:hAnsi="Times New Roman"/>
                <w:b/>
                <w:sz w:val="18"/>
              </w:rPr>
              <w:t>/</w:t>
            </w:r>
            <w:r>
              <w:rPr>
                <w:rFonts w:ascii="Times New Roman" w:hAnsi="Times New Roman"/>
                <w:b/>
                <w:sz w:val="18"/>
              </w:rPr>
              <w:t>系统</w:t>
            </w:r>
          </w:p>
        </w:tc>
        <w:tc>
          <w:tcPr>
            <w:tcW w:w="1190"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2CADC31D" w14:textId="77777777" w:rsidR="00606DE5" w:rsidRDefault="00000000">
            <w:pPr>
              <w:jc w:val="center"/>
            </w:pPr>
            <w:r>
              <w:rPr>
                <w:rFonts w:ascii="Times New Roman" w:hAnsi="Times New Roman"/>
                <w:b/>
                <w:sz w:val="18"/>
              </w:rPr>
              <w:t>空间尺度</w:t>
            </w:r>
          </w:p>
        </w:tc>
        <w:tc>
          <w:tcPr>
            <w:tcW w:w="1814"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2122F479" w14:textId="77777777" w:rsidR="00606DE5" w:rsidRDefault="00000000">
            <w:pPr>
              <w:jc w:val="center"/>
              <w:rPr>
                <w:rFonts w:ascii="Times New Roman" w:hAnsi="Times New Roman"/>
                <w:b/>
                <w:sz w:val="18"/>
              </w:rPr>
            </w:pPr>
            <w:r>
              <w:rPr>
                <w:rFonts w:ascii="Times New Roman" w:hAnsi="Times New Roman"/>
                <w:b/>
                <w:sz w:val="18"/>
              </w:rPr>
              <w:t>EF</w:t>
            </w:r>
          </w:p>
          <w:p w14:paraId="55097DA1" w14:textId="77777777" w:rsidR="00606DE5" w:rsidRDefault="00000000">
            <w:pPr>
              <w:jc w:val="center"/>
            </w:pPr>
            <w:r>
              <w:rPr>
                <w:rFonts w:ascii="Times New Roman" w:hAnsi="Times New Roman"/>
                <w:b/>
                <w:sz w:val="18"/>
              </w:rPr>
              <w:t>%</w:t>
            </w:r>
          </w:p>
        </w:tc>
        <w:tc>
          <w:tcPr>
            <w:tcW w:w="170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682561C0" w14:textId="77777777" w:rsidR="00606DE5" w:rsidRDefault="00000000">
            <w:pPr>
              <w:jc w:val="center"/>
              <w:rPr>
                <w:rFonts w:ascii="Times New Roman" w:hAnsi="Times New Roman"/>
                <w:b/>
                <w:sz w:val="18"/>
              </w:rPr>
            </w:pPr>
            <w:r>
              <w:rPr>
                <w:rFonts w:ascii="Times New Roman" w:hAnsi="Times New Roman"/>
                <w:b/>
                <w:sz w:val="18"/>
              </w:rPr>
              <w:t>排放系数</w:t>
            </w:r>
          </w:p>
          <w:p w14:paraId="7D2401E6" w14:textId="77777777" w:rsidR="00606DE5" w:rsidRDefault="00000000">
            <w:pPr>
              <w:jc w:val="center"/>
            </w:pPr>
            <w:r>
              <w:rPr>
                <w:rFonts w:ascii="Times New Roman" w:hAnsi="Times New Roman"/>
                <w:b/>
                <w:sz w:val="18"/>
              </w:rPr>
              <w:t>%</w:t>
            </w:r>
          </w:p>
        </w:tc>
        <w:tc>
          <w:tcPr>
            <w:tcW w:w="255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6969DE1F" w14:textId="77777777" w:rsidR="00606DE5" w:rsidRDefault="00000000">
            <w:pPr>
              <w:jc w:val="center"/>
            </w:pPr>
            <w:r>
              <w:rPr>
                <w:rFonts w:ascii="Times New Roman" w:hAnsi="Times New Roman"/>
                <w:b/>
                <w:sz w:val="18"/>
              </w:rPr>
              <w:t>参考文献</w:t>
            </w:r>
          </w:p>
        </w:tc>
      </w:tr>
      <w:tr w:rsidR="00606DE5" w14:paraId="41EDEEB5"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1B1F8788" w14:textId="77777777" w:rsidR="00606DE5" w:rsidRDefault="00000000">
            <w:pPr>
              <w:jc w:val="center"/>
              <w:rPr>
                <w:sz w:val="21"/>
                <w:szCs w:val="21"/>
              </w:rPr>
            </w:pPr>
            <w:r>
              <w:rPr>
                <w:rFonts w:ascii="Times New Roman" w:hAnsi="Times New Roman"/>
                <w:sz w:val="21"/>
                <w:szCs w:val="21"/>
              </w:rPr>
              <w:t>春小麦</w:t>
            </w:r>
          </w:p>
        </w:tc>
        <w:tc>
          <w:tcPr>
            <w:tcW w:w="1190" w:type="dxa"/>
            <w:tcBorders>
              <w:top w:val="nil"/>
              <w:left w:val="nil"/>
              <w:bottom w:val="nil"/>
              <w:right w:val="nil"/>
            </w:tcBorders>
            <w:tcMar>
              <w:top w:w="60" w:type="dxa"/>
              <w:left w:w="60" w:type="dxa"/>
              <w:bottom w:w="60" w:type="dxa"/>
              <w:right w:w="60" w:type="dxa"/>
            </w:tcMar>
            <w:vAlign w:val="center"/>
          </w:tcPr>
          <w:p w14:paraId="239F1CBD" w14:textId="77777777" w:rsidR="00606DE5" w:rsidRDefault="00000000">
            <w:pPr>
              <w:jc w:val="center"/>
              <w:rPr>
                <w:sz w:val="21"/>
                <w:szCs w:val="21"/>
              </w:rPr>
            </w:pPr>
            <w:r>
              <w:rPr>
                <w:rFonts w:ascii="Times New Roman" w:hAnsi="Times New Roman"/>
                <w:sz w:val="21"/>
                <w:szCs w:val="21"/>
              </w:rPr>
              <w:t>黄土高原</w:t>
            </w:r>
          </w:p>
        </w:tc>
        <w:tc>
          <w:tcPr>
            <w:tcW w:w="1814" w:type="dxa"/>
            <w:tcBorders>
              <w:top w:val="nil"/>
              <w:left w:val="nil"/>
              <w:bottom w:val="nil"/>
              <w:right w:val="nil"/>
            </w:tcBorders>
            <w:tcMar>
              <w:top w:w="60" w:type="dxa"/>
              <w:left w:w="60" w:type="dxa"/>
              <w:bottom w:w="60" w:type="dxa"/>
              <w:right w:w="60" w:type="dxa"/>
            </w:tcMar>
            <w:vAlign w:val="center"/>
          </w:tcPr>
          <w:p w14:paraId="2A1E3835" w14:textId="77777777" w:rsidR="00606DE5" w:rsidRDefault="00000000">
            <w:pPr>
              <w:jc w:val="center"/>
              <w:rPr>
                <w:sz w:val="21"/>
                <w:szCs w:val="21"/>
              </w:rPr>
            </w:pPr>
            <w:r>
              <w:rPr>
                <w:rFonts w:ascii="Times New Roman" w:hAnsi="Times New Roman"/>
                <w:sz w:val="21"/>
                <w:szCs w:val="21"/>
              </w:rPr>
              <w:t>0.32 (-0.11-1.45)</w:t>
            </w:r>
          </w:p>
        </w:tc>
        <w:tc>
          <w:tcPr>
            <w:tcW w:w="1701" w:type="dxa"/>
            <w:tcBorders>
              <w:top w:val="nil"/>
              <w:left w:val="nil"/>
              <w:bottom w:val="nil"/>
              <w:right w:val="nil"/>
            </w:tcBorders>
            <w:tcMar>
              <w:top w:w="60" w:type="dxa"/>
              <w:left w:w="60" w:type="dxa"/>
              <w:bottom w:w="60" w:type="dxa"/>
              <w:right w:w="60" w:type="dxa"/>
            </w:tcMar>
            <w:vAlign w:val="center"/>
          </w:tcPr>
          <w:p w14:paraId="645F0FE9" w14:textId="77777777" w:rsidR="00606DE5" w:rsidRDefault="00000000">
            <w:pPr>
              <w:jc w:val="center"/>
              <w:rPr>
                <w:sz w:val="21"/>
                <w:szCs w:val="21"/>
              </w:rPr>
            </w:pPr>
            <w:r>
              <w:rPr>
                <w:rFonts w:ascii="Times New Roman" w:hAnsi="Times New Roman"/>
                <w:sz w:val="21"/>
                <w:szCs w:val="21"/>
              </w:rPr>
              <w:t>0.35</w:t>
            </w:r>
          </w:p>
        </w:tc>
        <w:tc>
          <w:tcPr>
            <w:tcW w:w="2551" w:type="dxa"/>
            <w:tcBorders>
              <w:top w:val="nil"/>
              <w:left w:val="nil"/>
              <w:bottom w:val="nil"/>
              <w:right w:val="nil"/>
            </w:tcBorders>
            <w:tcMar>
              <w:top w:w="60" w:type="dxa"/>
              <w:left w:w="60" w:type="dxa"/>
              <w:bottom w:w="60" w:type="dxa"/>
              <w:right w:w="60" w:type="dxa"/>
            </w:tcMar>
            <w:vAlign w:val="center"/>
          </w:tcPr>
          <w:p w14:paraId="2DF24280" w14:textId="77777777" w:rsidR="00606DE5" w:rsidRDefault="00000000">
            <w:pPr>
              <w:jc w:val="center"/>
              <w:rPr>
                <w:sz w:val="21"/>
                <w:szCs w:val="21"/>
              </w:rPr>
            </w:pPr>
            <w:r>
              <w:rPr>
                <w:rFonts w:ascii="Times New Roman" w:hAnsi="Times New Roman"/>
                <w:sz w:val="21"/>
                <w:szCs w:val="21"/>
              </w:rPr>
              <w:t>本研究</w:t>
            </w:r>
          </w:p>
        </w:tc>
      </w:tr>
      <w:tr w:rsidR="00606DE5" w14:paraId="11EE4A47"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5FEB7729" w14:textId="77777777" w:rsidR="00606DE5" w:rsidRDefault="00000000">
            <w:pPr>
              <w:jc w:val="center"/>
              <w:rPr>
                <w:sz w:val="21"/>
                <w:szCs w:val="21"/>
              </w:rPr>
            </w:pPr>
            <w:r>
              <w:rPr>
                <w:rFonts w:ascii="Times New Roman" w:hAnsi="Times New Roman"/>
                <w:sz w:val="21"/>
                <w:szCs w:val="21"/>
              </w:rPr>
              <w:t>冬小麦</w:t>
            </w:r>
          </w:p>
        </w:tc>
        <w:tc>
          <w:tcPr>
            <w:tcW w:w="1190" w:type="dxa"/>
            <w:tcBorders>
              <w:top w:val="nil"/>
              <w:left w:val="nil"/>
              <w:bottom w:val="nil"/>
              <w:right w:val="nil"/>
            </w:tcBorders>
            <w:tcMar>
              <w:top w:w="60" w:type="dxa"/>
              <w:left w:w="60" w:type="dxa"/>
              <w:bottom w:w="60" w:type="dxa"/>
              <w:right w:w="60" w:type="dxa"/>
            </w:tcMar>
            <w:vAlign w:val="center"/>
          </w:tcPr>
          <w:p w14:paraId="67473ED4" w14:textId="77777777" w:rsidR="00606DE5" w:rsidRDefault="00000000">
            <w:pPr>
              <w:jc w:val="center"/>
              <w:rPr>
                <w:sz w:val="21"/>
                <w:szCs w:val="21"/>
              </w:rPr>
            </w:pPr>
            <w:r>
              <w:rPr>
                <w:rFonts w:ascii="Times New Roman" w:hAnsi="Times New Roman"/>
                <w:sz w:val="21"/>
                <w:szCs w:val="21"/>
              </w:rPr>
              <w:t>黄土高原</w:t>
            </w:r>
          </w:p>
        </w:tc>
        <w:tc>
          <w:tcPr>
            <w:tcW w:w="1814" w:type="dxa"/>
            <w:tcBorders>
              <w:top w:val="nil"/>
              <w:left w:val="nil"/>
              <w:bottom w:val="nil"/>
              <w:right w:val="nil"/>
            </w:tcBorders>
            <w:tcMar>
              <w:top w:w="60" w:type="dxa"/>
              <w:left w:w="60" w:type="dxa"/>
              <w:bottom w:w="60" w:type="dxa"/>
              <w:right w:w="60" w:type="dxa"/>
            </w:tcMar>
            <w:vAlign w:val="center"/>
          </w:tcPr>
          <w:p w14:paraId="33422A2D" w14:textId="77777777" w:rsidR="00606DE5" w:rsidRDefault="00000000">
            <w:pPr>
              <w:jc w:val="center"/>
              <w:rPr>
                <w:sz w:val="21"/>
                <w:szCs w:val="21"/>
              </w:rPr>
            </w:pPr>
            <w:r>
              <w:rPr>
                <w:rFonts w:ascii="Times New Roman" w:hAnsi="Times New Roman"/>
                <w:sz w:val="21"/>
                <w:szCs w:val="21"/>
              </w:rPr>
              <w:t>0.29 (0.16-0.39)</w:t>
            </w:r>
          </w:p>
        </w:tc>
        <w:tc>
          <w:tcPr>
            <w:tcW w:w="1701" w:type="dxa"/>
            <w:tcBorders>
              <w:top w:val="nil"/>
              <w:left w:val="nil"/>
              <w:bottom w:val="nil"/>
              <w:right w:val="nil"/>
            </w:tcBorders>
            <w:tcMar>
              <w:top w:w="60" w:type="dxa"/>
              <w:left w:w="60" w:type="dxa"/>
              <w:bottom w:w="60" w:type="dxa"/>
              <w:right w:w="60" w:type="dxa"/>
            </w:tcMar>
            <w:vAlign w:val="center"/>
          </w:tcPr>
          <w:p w14:paraId="0C58CE0D" w14:textId="77777777" w:rsidR="00606DE5" w:rsidRDefault="00000000">
            <w:pPr>
              <w:jc w:val="center"/>
              <w:rPr>
                <w:sz w:val="21"/>
                <w:szCs w:val="21"/>
              </w:rPr>
            </w:pPr>
            <w:r>
              <w:rPr>
                <w:rFonts w:ascii="Times New Roman" w:hAnsi="Times New Roman"/>
                <w:sz w:val="21"/>
                <w:szCs w:val="21"/>
              </w:rPr>
              <w:t>0.36</w:t>
            </w:r>
          </w:p>
        </w:tc>
        <w:tc>
          <w:tcPr>
            <w:tcW w:w="2551" w:type="dxa"/>
            <w:tcBorders>
              <w:top w:val="nil"/>
              <w:left w:val="nil"/>
              <w:bottom w:val="nil"/>
              <w:right w:val="nil"/>
            </w:tcBorders>
            <w:tcMar>
              <w:top w:w="60" w:type="dxa"/>
              <w:left w:w="60" w:type="dxa"/>
              <w:bottom w:w="60" w:type="dxa"/>
              <w:right w:w="60" w:type="dxa"/>
            </w:tcMar>
            <w:vAlign w:val="center"/>
          </w:tcPr>
          <w:p w14:paraId="45E58A0F" w14:textId="77777777" w:rsidR="00606DE5" w:rsidRDefault="00000000">
            <w:pPr>
              <w:jc w:val="center"/>
              <w:rPr>
                <w:sz w:val="21"/>
                <w:szCs w:val="21"/>
              </w:rPr>
            </w:pPr>
            <w:r>
              <w:rPr>
                <w:rFonts w:ascii="Times New Roman" w:hAnsi="Times New Roman"/>
                <w:sz w:val="21"/>
                <w:szCs w:val="21"/>
              </w:rPr>
              <w:t>本研究</w:t>
            </w:r>
          </w:p>
        </w:tc>
      </w:tr>
      <w:tr w:rsidR="00606DE5" w14:paraId="6D376190"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7DA43DB0" w14:textId="77777777" w:rsidR="00606DE5" w:rsidRDefault="00606DE5">
            <w:pPr>
              <w:jc w:val="center"/>
              <w:rPr>
                <w:sz w:val="21"/>
                <w:szCs w:val="21"/>
              </w:rPr>
            </w:pPr>
          </w:p>
        </w:tc>
        <w:tc>
          <w:tcPr>
            <w:tcW w:w="1190" w:type="dxa"/>
            <w:tcBorders>
              <w:top w:val="nil"/>
              <w:left w:val="nil"/>
              <w:bottom w:val="nil"/>
              <w:right w:val="nil"/>
            </w:tcBorders>
            <w:tcMar>
              <w:top w:w="60" w:type="dxa"/>
              <w:left w:w="60" w:type="dxa"/>
              <w:bottom w:w="60" w:type="dxa"/>
              <w:right w:w="60" w:type="dxa"/>
            </w:tcMar>
            <w:vAlign w:val="center"/>
          </w:tcPr>
          <w:p w14:paraId="20DF761C" w14:textId="77777777" w:rsidR="00606DE5" w:rsidRDefault="00000000">
            <w:pPr>
              <w:jc w:val="center"/>
              <w:rPr>
                <w:sz w:val="21"/>
                <w:szCs w:val="21"/>
              </w:rPr>
            </w:pPr>
            <w:r>
              <w:rPr>
                <w:rFonts w:ascii="Times New Roman" w:hAnsi="Times New Roman"/>
                <w:sz w:val="21"/>
                <w:szCs w:val="21"/>
              </w:rPr>
              <w:t>华北平原</w:t>
            </w:r>
          </w:p>
        </w:tc>
        <w:tc>
          <w:tcPr>
            <w:tcW w:w="1814" w:type="dxa"/>
            <w:tcBorders>
              <w:top w:val="nil"/>
              <w:left w:val="nil"/>
              <w:bottom w:val="nil"/>
              <w:right w:val="nil"/>
            </w:tcBorders>
            <w:tcMar>
              <w:top w:w="60" w:type="dxa"/>
              <w:left w:w="60" w:type="dxa"/>
              <w:bottom w:w="60" w:type="dxa"/>
              <w:right w:w="60" w:type="dxa"/>
            </w:tcMar>
            <w:vAlign w:val="center"/>
          </w:tcPr>
          <w:p w14:paraId="37C2DCAD" w14:textId="77777777" w:rsidR="00606DE5" w:rsidRDefault="00606DE5">
            <w:pPr>
              <w:jc w:val="center"/>
              <w:rPr>
                <w:sz w:val="21"/>
                <w:szCs w:val="21"/>
              </w:rPr>
            </w:pPr>
          </w:p>
        </w:tc>
        <w:tc>
          <w:tcPr>
            <w:tcW w:w="1701" w:type="dxa"/>
            <w:tcBorders>
              <w:top w:val="nil"/>
              <w:left w:val="nil"/>
              <w:bottom w:val="nil"/>
              <w:right w:val="nil"/>
            </w:tcBorders>
            <w:tcMar>
              <w:top w:w="60" w:type="dxa"/>
              <w:left w:w="60" w:type="dxa"/>
              <w:bottom w:w="60" w:type="dxa"/>
              <w:right w:w="60" w:type="dxa"/>
            </w:tcMar>
            <w:vAlign w:val="center"/>
          </w:tcPr>
          <w:p w14:paraId="49989DC8" w14:textId="77777777" w:rsidR="00606DE5" w:rsidRDefault="00606DE5">
            <w:pPr>
              <w:jc w:val="center"/>
              <w:rPr>
                <w:sz w:val="21"/>
                <w:szCs w:val="21"/>
              </w:rPr>
            </w:pPr>
          </w:p>
        </w:tc>
        <w:tc>
          <w:tcPr>
            <w:tcW w:w="2551" w:type="dxa"/>
            <w:tcBorders>
              <w:top w:val="nil"/>
              <w:left w:val="nil"/>
              <w:bottom w:val="nil"/>
              <w:right w:val="nil"/>
            </w:tcBorders>
            <w:tcMar>
              <w:top w:w="60" w:type="dxa"/>
              <w:left w:w="60" w:type="dxa"/>
              <w:bottom w:w="60" w:type="dxa"/>
              <w:right w:w="60" w:type="dxa"/>
            </w:tcMar>
            <w:vAlign w:val="center"/>
          </w:tcPr>
          <w:p w14:paraId="7EE9DFB0" w14:textId="77777777" w:rsidR="00606DE5" w:rsidRDefault="00000000">
            <w:pPr>
              <w:jc w:val="center"/>
              <w:rPr>
                <w:sz w:val="21"/>
                <w:szCs w:val="21"/>
              </w:rPr>
            </w:pPr>
            <w:r>
              <w:rPr>
                <w:rFonts w:ascii="Times New Roman" w:hAnsi="Times New Roman"/>
                <w:sz w:val="21"/>
                <w:szCs w:val="21"/>
              </w:rPr>
              <w:t>Xu et al., 2017</w:t>
            </w:r>
          </w:p>
        </w:tc>
      </w:tr>
      <w:tr w:rsidR="00606DE5" w14:paraId="15A3F90B"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00A6D078" w14:textId="77777777" w:rsidR="00606DE5" w:rsidRDefault="00606DE5">
            <w:pPr>
              <w:jc w:val="center"/>
              <w:rPr>
                <w:sz w:val="21"/>
                <w:szCs w:val="21"/>
              </w:rPr>
            </w:pPr>
          </w:p>
        </w:tc>
        <w:tc>
          <w:tcPr>
            <w:tcW w:w="1190" w:type="dxa"/>
            <w:tcBorders>
              <w:top w:val="nil"/>
              <w:left w:val="nil"/>
              <w:bottom w:val="nil"/>
              <w:right w:val="nil"/>
            </w:tcBorders>
            <w:tcMar>
              <w:top w:w="60" w:type="dxa"/>
              <w:left w:w="60" w:type="dxa"/>
              <w:bottom w:w="60" w:type="dxa"/>
              <w:right w:w="60" w:type="dxa"/>
            </w:tcMar>
            <w:vAlign w:val="center"/>
          </w:tcPr>
          <w:p w14:paraId="1A984883" w14:textId="77777777" w:rsidR="00606DE5" w:rsidRDefault="00000000">
            <w:pPr>
              <w:jc w:val="center"/>
              <w:rPr>
                <w:sz w:val="21"/>
                <w:szCs w:val="21"/>
              </w:rPr>
            </w:pPr>
            <w:r>
              <w:rPr>
                <w:rFonts w:ascii="Times New Roman" w:hAnsi="Times New Roman"/>
                <w:sz w:val="21"/>
                <w:szCs w:val="21"/>
              </w:rPr>
              <w:t>全球</w:t>
            </w:r>
          </w:p>
        </w:tc>
        <w:tc>
          <w:tcPr>
            <w:tcW w:w="1814" w:type="dxa"/>
            <w:tcBorders>
              <w:top w:val="nil"/>
              <w:left w:val="nil"/>
              <w:bottom w:val="nil"/>
              <w:right w:val="nil"/>
            </w:tcBorders>
            <w:tcMar>
              <w:top w:w="60" w:type="dxa"/>
              <w:left w:w="60" w:type="dxa"/>
              <w:bottom w:w="60" w:type="dxa"/>
              <w:right w:w="60" w:type="dxa"/>
            </w:tcMar>
            <w:vAlign w:val="center"/>
          </w:tcPr>
          <w:p w14:paraId="5F2296EA" w14:textId="77777777" w:rsidR="00606DE5" w:rsidRDefault="00606DE5">
            <w:pPr>
              <w:jc w:val="center"/>
              <w:rPr>
                <w:sz w:val="21"/>
                <w:szCs w:val="21"/>
              </w:rPr>
            </w:pPr>
          </w:p>
        </w:tc>
        <w:tc>
          <w:tcPr>
            <w:tcW w:w="1701" w:type="dxa"/>
            <w:tcBorders>
              <w:top w:val="nil"/>
              <w:left w:val="nil"/>
              <w:bottom w:val="nil"/>
              <w:right w:val="nil"/>
            </w:tcBorders>
            <w:tcMar>
              <w:top w:w="60" w:type="dxa"/>
              <w:left w:w="60" w:type="dxa"/>
              <w:bottom w:w="60" w:type="dxa"/>
              <w:right w:w="60" w:type="dxa"/>
            </w:tcMar>
            <w:vAlign w:val="center"/>
          </w:tcPr>
          <w:p w14:paraId="4D0485BB" w14:textId="77777777" w:rsidR="00606DE5" w:rsidRDefault="00000000">
            <w:pPr>
              <w:jc w:val="center"/>
              <w:rPr>
                <w:sz w:val="21"/>
                <w:szCs w:val="21"/>
              </w:rPr>
            </w:pPr>
            <w:r>
              <w:rPr>
                <w:rFonts w:ascii="Times New Roman" w:hAnsi="Times New Roman"/>
                <w:sz w:val="21"/>
                <w:szCs w:val="21"/>
              </w:rPr>
              <w:t>1.21</w:t>
            </w:r>
          </w:p>
        </w:tc>
        <w:tc>
          <w:tcPr>
            <w:tcW w:w="2551" w:type="dxa"/>
            <w:tcBorders>
              <w:top w:val="nil"/>
              <w:left w:val="nil"/>
              <w:bottom w:val="nil"/>
              <w:right w:val="nil"/>
            </w:tcBorders>
            <w:tcMar>
              <w:top w:w="60" w:type="dxa"/>
              <w:left w:w="60" w:type="dxa"/>
              <w:bottom w:w="60" w:type="dxa"/>
              <w:right w:w="60" w:type="dxa"/>
            </w:tcMar>
            <w:vAlign w:val="center"/>
          </w:tcPr>
          <w:p w14:paraId="418B3CB0" w14:textId="77777777" w:rsidR="00606DE5" w:rsidRDefault="00000000">
            <w:pPr>
              <w:jc w:val="center"/>
              <w:rPr>
                <w:sz w:val="21"/>
                <w:szCs w:val="21"/>
              </w:rPr>
            </w:pPr>
            <w:r>
              <w:rPr>
                <w:rFonts w:ascii="Times New Roman" w:hAnsi="Times New Roman"/>
                <w:sz w:val="21"/>
                <w:szCs w:val="21"/>
              </w:rPr>
              <w:t>Linquist et al., 2012</w:t>
            </w:r>
          </w:p>
        </w:tc>
      </w:tr>
      <w:tr w:rsidR="00606DE5" w14:paraId="6624AE6B"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4E95CAF3" w14:textId="77777777" w:rsidR="00606DE5" w:rsidRDefault="00606DE5">
            <w:pPr>
              <w:jc w:val="center"/>
              <w:rPr>
                <w:sz w:val="21"/>
                <w:szCs w:val="21"/>
              </w:rPr>
            </w:pPr>
          </w:p>
        </w:tc>
        <w:tc>
          <w:tcPr>
            <w:tcW w:w="1190" w:type="dxa"/>
            <w:tcBorders>
              <w:top w:val="nil"/>
              <w:left w:val="nil"/>
              <w:bottom w:val="nil"/>
              <w:right w:val="nil"/>
            </w:tcBorders>
            <w:tcMar>
              <w:top w:w="60" w:type="dxa"/>
              <w:left w:w="60" w:type="dxa"/>
              <w:bottom w:w="60" w:type="dxa"/>
              <w:right w:w="60" w:type="dxa"/>
            </w:tcMar>
            <w:vAlign w:val="center"/>
          </w:tcPr>
          <w:p w14:paraId="6397AFB5" w14:textId="77777777" w:rsidR="00606DE5" w:rsidRDefault="00000000">
            <w:pPr>
              <w:jc w:val="center"/>
              <w:rPr>
                <w:sz w:val="21"/>
                <w:szCs w:val="21"/>
              </w:rPr>
            </w:pPr>
            <w:r>
              <w:rPr>
                <w:rFonts w:ascii="Times New Roman" w:hAnsi="Times New Roman"/>
                <w:sz w:val="21"/>
                <w:szCs w:val="21"/>
              </w:rPr>
              <w:t>全球</w:t>
            </w:r>
          </w:p>
        </w:tc>
        <w:tc>
          <w:tcPr>
            <w:tcW w:w="1814" w:type="dxa"/>
            <w:tcBorders>
              <w:top w:val="nil"/>
              <w:left w:val="nil"/>
              <w:bottom w:val="nil"/>
              <w:right w:val="nil"/>
            </w:tcBorders>
            <w:tcMar>
              <w:top w:w="60" w:type="dxa"/>
              <w:left w:w="60" w:type="dxa"/>
              <w:bottom w:w="60" w:type="dxa"/>
              <w:right w:w="60" w:type="dxa"/>
            </w:tcMar>
            <w:vAlign w:val="center"/>
          </w:tcPr>
          <w:p w14:paraId="4D3C8E04" w14:textId="77777777" w:rsidR="00606DE5" w:rsidRDefault="00606DE5">
            <w:pPr>
              <w:jc w:val="center"/>
              <w:rPr>
                <w:sz w:val="21"/>
                <w:szCs w:val="21"/>
              </w:rPr>
            </w:pPr>
          </w:p>
        </w:tc>
        <w:tc>
          <w:tcPr>
            <w:tcW w:w="1701" w:type="dxa"/>
            <w:tcBorders>
              <w:top w:val="nil"/>
              <w:left w:val="nil"/>
              <w:bottom w:val="nil"/>
              <w:right w:val="nil"/>
            </w:tcBorders>
            <w:tcMar>
              <w:top w:w="60" w:type="dxa"/>
              <w:left w:w="60" w:type="dxa"/>
              <w:bottom w:w="60" w:type="dxa"/>
              <w:right w:w="60" w:type="dxa"/>
            </w:tcMar>
            <w:vAlign w:val="center"/>
          </w:tcPr>
          <w:p w14:paraId="2721126F" w14:textId="77777777" w:rsidR="00606DE5" w:rsidRDefault="00606DE5">
            <w:pPr>
              <w:jc w:val="center"/>
              <w:rPr>
                <w:sz w:val="21"/>
                <w:szCs w:val="21"/>
              </w:rPr>
            </w:pPr>
          </w:p>
        </w:tc>
        <w:tc>
          <w:tcPr>
            <w:tcW w:w="2551" w:type="dxa"/>
            <w:tcBorders>
              <w:top w:val="nil"/>
              <w:left w:val="nil"/>
              <w:bottom w:val="nil"/>
              <w:right w:val="nil"/>
            </w:tcBorders>
            <w:tcMar>
              <w:top w:w="60" w:type="dxa"/>
              <w:left w:w="60" w:type="dxa"/>
              <w:bottom w:w="60" w:type="dxa"/>
              <w:right w:w="60" w:type="dxa"/>
            </w:tcMar>
            <w:vAlign w:val="center"/>
          </w:tcPr>
          <w:p w14:paraId="3ACD0424" w14:textId="77777777" w:rsidR="00606DE5" w:rsidRDefault="00000000">
            <w:pPr>
              <w:jc w:val="center"/>
              <w:rPr>
                <w:sz w:val="21"/>
                <w:szCs w:val="21"/>
              </w:rPr>
            </w:pPr>
            <w:r>
              <w:rPr>
                <w:rFonts w:ascii="Times New Roman" w:hAnsi="Times New Roman"/>
                <w:sz w:val="21"/>
                <w:szCs w:val="21"/>
              </w:rPr>
              <w:t>Yao et al., 2024</w:t>
            </w:r>
          </w:p>
        </w:tc>
      </w:tr>
      <w:tr w:rsidR="00606DE5" w14:paraId="560167ED"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28443ACE" w14:textId="77777777" w:rsidR="00606DE5" w:rsidRDefault="00000000">
            <w:pPr>
              <w:jc w:val="center"/>
              <w:rPr>
                <w:sz w:val="21"/>
                <w:szCs w:val="21"/>
              </w:rPr>
            </w:pPr>
            <w:r>
              <w:rPr>
                <w:rFonts w:ascii="Times New Roman" w:hAnsi="Times New Roman"/>
                <w:sz w:val="21"/>
                <w:szCs w:val="21"/>
              </w:rPr>
              <w:t>玉米</w:t>
            </w:r>
          </w:p>
        </w:tc>
        <w:tc>
          <w:tcPr>
            <w:tcW w:w="1190" w:type="dxa"/>
            <w:tcBorders>
              <w:top w:val="nil"/>
              <w:left w:val="nil"/>
              <w:bottom w:val="nil"/>
              <w:right w:val="nil"/>
            </w:tcBorders>
            <w:tcMar>
              <w:top w:w="60" w:type="dxa"/>
              <w:left w:w="60" w:type="dxa"/>
              <w:bottom w:w="60" w:type="dxa"/>
              <w:right w:w="60" w:type="dxa"/>
            </w:tcMar>
            <w:vAlign w:val="center"/>
          </w:tcPr>
          <w:p w14:paraId="5C90B4F2" w14:textId="77777777" w:rsidR="00606DE5" w:rsidRDefault="00000000">
            <w:pPr>
              <w:jc w:val="center"/>
              <w:rPr>
                <w:sz w:val="21"/>
                <w:szCs w:val="21"/>
              </w:rPr>
            </w:pPr>
            <w:r>
              <w:rPr>
                <w:rFonts w:ascii="Times New Roman" w:hAnsi="Times New Roman"/>
                <w:sz w:val="21"/>
                <w:szCs w:val="21"/>
              </w:rPr>
              <w:t>黄土高原</w:t>
            </w:r>
          </w:p>
        </w:tc>
        <w:tc>
          <w:tcPr>
            <w:tcW w:w="1814" w:type="dxa"/>
            <w:tcBorders>
              <w:top w:val="nil"/>
              <w:left w:val="nil"/>
              <w:bottom w:val="nil"/>
              <w:right w:val="nil"/>
            </w:tcBorders>
            <w:tcMar>
              <w:top w:w="60" w:type="dxa"/>
              <w:left w:w="60" w:type="dxa"/>
              <w:bottom w:w="60" w:type="dxa"/>
              <w:right w:w="60" w:type="dxa"/>
            </w:tcMar>
            <w:vAlign w:val="center"/>
          </w:tcPr>
          <w:p w14:paraId="367A8606" w14:textId="77777777" w:rsidR="00606DE5" w:rsidRDefault="00000000">
            <w:pPr>
              <w:jc w:val="center"/>
              <w:rPr>
                <w:sz w:val="21"/>
                <w:szCs w:val="21"/>
              </w:rPr>
            </w:pPr>
            <w:r>
              <w:rPr>
                <w:rFonts w:ascii="Times New Roman" w:hAnsi="Times New Roman"/>
                <w:sz w:val="21"/>
                <w:szCs w:val="21"/>
              </w:rPr>
              <w:t>0.48 (0.11-1.27)</w:t>
            </w:r>
          </w:p>
        </w:tc>
        <w:tc>
          <w:tcPr>
            <w:tcW w:w="1701" w:type="dxa"/>
            <w:tcBorders>
              <w:top w:val="nil"/>
              <w:left w:val="nil"/>
              <w:bottom w:val="nil"/>
              <w:right w:val="nil"/>
            </w:tcBorders>
            <w:tcMar>
              <w:top w:w="60" w:type="dxa"/>
              <w:left w:w="60" w:type="dxa"/>
              <w:bottom w:w="60" w:type="dxa"/>
              <w:right w:w="60" w:type="dxa"/>
            </w:tcMar>
            <w:vAlign w:val="center"/>
          </w:tcPr>
          <w:p w14:paraId="1574736B" w14:textId="77777777" w:rsidR="00606DE5" w:rsidRDefault="00000000">
            <w:pPr>
              <w:jc w:val="center"/>
              <w:rPr>
                <w:sz w:val="21"/>
                <w:szCs w:val="21"/>
              </w:rPr>
            </w:pPr>
            <w:r>
              <w:rPr>
                <w:rFonts w:ascii="Times New Roman" w:hAnsi="Times New Roman"/>
                <w:sz w:val="21"/>
                <w:szCs w:val="21"/>
              </w:rPr>
              <w:t>0.33</w:t>
            </w:r>
          </w:p>
        </w:tc>
        <w:tc>
          <w:tcPr>
            <w:tcW w:w="2551" w:type="dxa"/>
            <w:tcBorders>
              <w:top w:val="nil"/>
              <w:left w:val="nil"/>
              <w:bottom w:val="nil"/>
              <w:right w:val="nil"/>
            </w:tcBorders>
            <w:tcMar>
              <w:top w:w="60" w:type="dxa"/>
              <w:left w:w="60" w:type="dxa"/>
              <w:bottom w:w="60" w:type="dxa"/>
              <w:right w:w="60" w:type="dxa"/>
            </w:tcMar>
            <w:vAlign w:val="center"/>
          </w:tcPr>
          <w:p w14:paraId="2F7C7E2E" w14:textId="77777777" w:rsidR="00606DE5" w:rsidRDefault="00000000">
            <w:pPr>
              <w:jc w:val="center"/>
              <w:rPr>
                <w:sz w:val="21"/>
                <w:szCs w:val="21"/>
              </w:rPr>
            </w:pPr>
            <w:r>
              <w:rPr>
                <w:rFonts w:ascii="Times New Roman" w:hAnsi="Times New Roman"/>
                <w:sz w:val="21"/>
                <w:szCs w:val="21"/>
              </w:rPr>
              <w:t>本研究</w:t>
            </w:r>
          </w:p>
        </w:tc>
      </w:tr>
      <w:tr w:rsidR="00606DE5" w14:paraId="5DF5CF03"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0EFCD84D" w14:textId="77777777" w:rsidR="00606DE5" w:rsidRDefault="00606DE5">
            <w:pPr>
              <w:jc w:val="center"/>
              <w:rPr>
                <w:sz w:val="21"/>
                <w:szCs w:val="21"/>
              </w:rPr>
            </w:pPr>
          </w:p>
        </w:tc>
        <w:tc>
          <w:tcPr>
            <w:tcW w:w="1190" w:type="dxa"/>
            <w:tcBorders>
              <w:top w:val="nil"/>
              <w:left w:val="nil"/>
              <w:bottom w:val="nil"/>
              <w:right w:val="nil"/>
            </w:tcBorders>
            <w:tcMar>
              <w:top w:w="60" w:type="dxa"/>
              <w:left w:w="60" w:type="dxa"/>
              <w:bottom w:w="60" w:type="dxa"/>
              <w:right w:w="60" w:type="dxa"/>
            </w:tcMar>
            <w:vAlign w:val="center"/>
          </w:tcPr>
          <w:p w14:paraId="1502B65A" w14:textId="77777777" w:rsidR="00606DE5" w:rsidRDefault="00000000">
            <w:pPr>
              <w:jc w:val="center"/>
              <w:rPr>
                <w:sz w:val="21"/>
                <w:szCs w:val="21"/>
              </w:rPr>
            </w:pPr>
            <w:r>
              <w:rPr>
                <w:rFonts w:ascii="Times New Roman" w:hAnsi="Times New Roman"/>
                <w:sz w:val="21"/>
                <w:szCs w:val="21"/>
              </w:rPr>
              <w:t>华北平原</w:t>
            </w:r>
          </w:p>
        </w:tc>
        <w:tc>
          <w:tcPr>
            <w:tcW w:w="1814" w:type="dxa"/>
            <w:tcBorders>
              <w:top w:val="nil"/>
              <w:left w:val="nil"/>
              <w:bottom w:val="nil"/>
              <w:right w:val="nil"/>
            </w:tcBorders>
            <w:tcMar>
              <w:top w:w="60" w:type="dxa"/>
              <w:left w:w="60" w:type="dxa"/>
              <w:bottom w:w="60" w:type="dxa"/>
              <w:right w:w="60" w:type="dxa"/>
            </w:tcMar>
            <w:vAlign w:val="center"/>
          </w:tcPr>
          <w:p w14:paraId="241A4CE6" w14:textId="77777777" w:rsidR="00606DE5" w:rsidRDefault="00606DE5">
            <w:pPr>
              <w:jc w:val="center"/>
              <w:rPr>
                <w:sz w:val="21"/>
                <w:szCs w:val="21"/>
              </w:rPr>
            </w:pPr>
          </w:p>
        </w:tc>
        <w:tc>
          <w:tcPr>
            <w:tcW w:w="1701" w:type="dxa"/>
            <w:tcBorders>
              <w:top w:val="nil"/>
              <w:left w:val="nil"/>
              <w:bottom w:val="nil"/>
              <w:right w:val="nil"/>
            </w:tcBorders>
            <w:tcMar>
              <w:top w:w="60" w:type="dxa"/>
              <w:left w:w="60" w:type="dxa"/>
              <w:bottom w:w="60" w:type="dxa"/>
              <w:right w:w="60" w:type="dxa"/>
            </w:tcMar>
            <w:vAlign w:val="center"/>
          </w:tcPr>
          <w:p w14:paraId="2004E1DB" w14:textId="77777777" w:rsidR="00606DE5" w:rsidRDefault="00606DE5">
            <w:pPr>
              <w:jc w:val="center"/>
              <w:rPr>
                <w:sz w:val="21"/>
                <w:szCs w:val="21"/>
              </w:rPr>
            </w:pPr>
          </w:p>
        </w:tc>
        <w:tc>
          <w:tcPr>
            <w:tcW w:w="2551" w:type="dxa"/>
            <w:tcBorders>
              <w:top w:val="nil"/>
              <w:left w:val="nil"/>
              <w:bottom w:val="nil"/>
              <w:right w:val="nil"/>
            </w:tcBorders>
            <w:tcMar>
              <w:top w:w="60" w:type="dxa"/>
              <w:left w:w="60" w:type="dxa"/>
              <w:bottom w:w="60" w:type="dxa"/>
              <w:right w:w="60" w:type="dxa"/>
            </w:tcMar>
            <w:vAlign w:val="center"/>
          </w:tcPr>
          <w:p w14:paraId="76596147" w14:textId="77777777" w:rsidR="00606DE5" w:rsidRDefault="00000000">
            <w:pPr>
              <w:jc w:val="center"/>
              <w:rPr>
                <w:sz w:val="21"/>
                <w:szCs w:val="21"/>
              </w:rPr>
            </w:pPr>
            <w:r>
              <w:rPr>
                <w:rFonts w:ascii="Times New Roman" w:hAnsi="Times New Roman"/>
                <w:sz w:val="21"/>
                <w:szCs w:val="21"/>
              </w:rPr>
              <w:t>Xu et al., 2017</w:t>
            </w:r>
          </w:p>
        </w:tc>
      </w:tr>
      <w:tr w:rsidR="00606DE5" w14:paraId="1D125A7D"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3A13876C" w14:textId="77777777" w:rsidR="00606DE5" w:rsidRDefault="00606DE5">
            <w:pPr>
              <w:jc w:val="center"/>
              <w:rPr>
                <w:sz w:val="21"/>
                <w:szCs w:val="21"/>
              </w:rPr>
            </w:pPr>
          </w:p>
        </w:tc>
        <w:tc>
          <w:tcPr>
            <w:tcW w:w="1190" w:type="dxa"/>
            <w:tcBorders>
              <w:top w:val="nil"/>
              <w:left w:val="nil"/>
              <w:bottom w:val="nil"/>
              <w:right w:val="nil"/>
            </w:tcBorders>
            <w:tcMar>
              <w:top w:w="60" w:type="dxa"/>
              <w:left w:w="60" w:type="dxa"/>
              <w:bottom w:w="60" w:type="dxa"/>
              <w:right w:w="60" w:type="dxa"/>
            </w:tcMar>
            <w:vAlign w:val="center"/>
          </w:tcPr>
          <w:p w14:paraId="1A3F1234" w14:textId="77777777" w:rsidR="00606DE5" w:rsidRDefault="00000000">
            <w:pPr>
              <w:jc w:val="center"/>
              <w:rPr>
                <w:sz w:val="21"/>
                <w:szCs w:val="21"/>
              </w:rPr>
            </w:pPr>
            <w:r>
              <w:rPr>
                <w:rFonts w:ascii="Times New Roman" w:hAnsi="Times New Roman"/>
                <w:sz w:val="21"/>
                <w:szCs w:val="21"/>
              </w:rPr>
              <w:t>全球</w:t>
            </w:r>
          </w:p>
        </w:tc>
        <w:tc>
          <w:tcPr>
            <w:tcW w:w="1814" w:type="dxa"/>
            <w:tcBorders>
              <w:top w:val="nil"/>
              <w:left w:val="nil"/>
              <w:bottom w:val="nil"/>
              <w:right w:val="nil"/>
            </w:tcBorders>
            <w:tcMar>
              <w:top w:w="60" w:type="dxa"/>
              <w:left w:w="60" w:type="dxa"/>
              <w:bottom w:w="60" w:type="dxa"/>
              <w:right w:w="60" w:type="dxa"/>
            </w:tcMar>
            <w:vAlign w:val="center"/>
          </w:tcPr>
          <w:p w14:paraId="00AA11D0" w14:textId="77777777" w:rsidR="00606DE5" w:rsidRDefault="00606DE5">
            <w:pPr>
              <w:jc w:val="center"/>
              <w:rPr>
                <w:sz w:val="21"/>
                <w:szCs w:val="21"/>
              </w:rPr>
            </w:pPr>
          </w:p>
        </w:tc>
        <w:tc>
          <w:tcPr>
            <w:tcW w:w="1701" w:type="dxa"/>
            <w:tcBorders>
              <w:top w:val="nil"/>
              <w:left w:val="nil"/>
              <w:bottom w:val="nil"/>
              <w:right w:val="nil"/>
            </w:tcBorders>
            <w:tcMar>
              <w:top w:w="60" w:type="dxa"/>
              <w:left w:w="60" w:type="dxa"/>
              <w:bottom w:w="60" w:type="dxa"/>
              <w:right w:w="60" w:type="dxa"/>
            </w:tcMar>
            <w:vAlign w:val="center"/>
          </w:tcPr>
          <w:p w14:paraId="1779FF87" w14:textId="77777777" w:rsidR="00606DE5" w:rsidRDefault="00000000">
            <w:pPr>
              <w:jc w:val="center"/>
              <w:rPr>
                <w:sz w:val="21"/>
                <w:szCs w:val="21"/>
              </w:rPr>
            </w:pPr>
            <w:r>
              <w:rPr>
                <w:rFonts w:ascii="Times New Roman" w:hAnsi="Times New Roman"/>
                <w:sz w:val="21"/>
                <w:szCs w:val="21"/>
              </w:rPr>
              <w:t>1.06</w:t>
            </w:r>
          </w:p>
        </w:tc>
        <w:tc>
          <w:tcPr>
            <w:tcW w:w="2551" w:type="dxa"/>
            <w:tcBorders>
              <w:top w:val="nil"/>
              <w:left w:val="nil"/>
              <w:bottom w:val="nil"/>
              <w:right w:val="nil"/>
            </w:tcBorders>
            <w:tcMar>
              <w:top w:w="60" w:type="dxa"/>
              <w:left w:w="60" w:type="dxa"/>
              <w:bottom w:w="60" w:type="dxa"/>
              <w:right w:w="60" w:type="dxa"/>
            </w:tcMar>
            <w:vAlign w:val="center"/>
          </w:tcPr>
          <w:p w14:paraId="3E4CA2E7" w14:textId="77777777" w:rsidR="00606DE5" w:rsidRDefault="00000000">
            <w:pPr>
              <w:jc w:val="center"/>
              <w:rPr>
                <w:sz w:val="21"/>
                <w:szCs w:val="21"/>
              </w:rPr>
            </w:pPr>
            <w:r>
              <w:rPr>
                <w:rFonts w:ascii="Times New Roman" w:hAnsi="Times New Roman"/>
                <w:sz w:val="21"/>
                <w:szCs w:val="21"/>
              </w:rPr>
              <w:t>Linquist et al., 2012</w:t>
            </w:r>
          </w:p>
        </w:tc>
      </w:tr>
      <w:tr w:rsidR="00606DE5" w14:paraId="1DF937A4"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6426321E" w14:textId="77777777" w:rsidR="00606DE5" w:rsidRDefault="00606DE5">
            <w:pPr>
              <w:jc w:val="center"/>
              <w:rPr>
                <w:sz w:val="21"/>
                <w:szCs w:val="21"/>
              </w:rPr>
            </w:pPr>
          </w:p>
        </w:tc>
        <w:tc>
          <w:tcPr>
            <w:tcW w:w="1190" w:type="dxa"/>
            <w:tcBorders>
              <w:top w:val="nil"/>
              <w:left w:val="nil"/>
              <w:bottom w:val="nil"/>
              <w:right w:val="nil"/>
            </w:tcBorders>
            <w:tcMar>
              <w:top w:w="60" w:type="dxa"/>
              <w:left w:w="60" w:type="dxa"/>
              <w:bottom w:w="60" w:type="dxa"/>
              <w:right w:w="60" w:type="dxa"/>
            </w:tcMar>
            <w:vAlign w:val="center"/>
          </w:tcPr>
          <w:p w14:paraId="285D9865" w14:textId="77777777" w:rsidR="00606DE5" w:rsidRDefault="00000000">
            <w:pPr>
              <w:jc w:val="center"/>
              <w:rPr>
                <w:sz w:val="21"/>
                <w:szCs w:val="21"/>
              </w:rPr>
            </w:pPr>
            <w:r>
              <w:rPr>
                <w:rFonts w:ascii="Times New Roman" w:hAnsi="Times New Roman"/>
                <w:sz w:val="21"/>
                <w:szCs w:val="21"/>
              </w:rPr>
              <w:t>全球</w:t>
            </w:r>
          </w:p>
        </w:tc>
        <w:tc>
          <w:tcPr>
            <w:tcW w:w="1814" w:type="dxa"/>
            <w:tcBorders>
              <w:top w:val="nil"/>
              <w:left w:val="nil"/>
              <w:bottom w:val="nil"/>
              <w:right w:val="nil"/>
            </w:tcBorders>
            <w:tcMar>
              <w:top w:w="60" w:type="dxa"/>
              <w:left w:w="60" w:type="dxa"/>
              <w:bottom w:w="60" w:type="dxa"/>
              <w:right w:w="60" w:type="dxa"/>
            </w:tcMar>
            <w:vAlign w:val="center"/>
          </w:tcPr>
          <w:p w14:paraId="29AC18F5" w14:textId="77777777" w:rsidR="00606DE5" w:rsidRDefault="00606DE5">
            <w:pPr>
              <w:jc w:val="center"/>
              <w:rPr>
                <w:sz w:val="21"/>
                <w:szCs w:val="21"/>
              </w:rPr>
            </w:pPr>
          </w:p>
        </w:tc>
        <w:tc>
          <w:tcPr>
            <w:tcW w:w="1701" w:type="dxa"/>
            <w:tcBorders>
              <w:top w:val="nil"/>
              <w:left w:val="nil"/>
              <w:bottom w:val="nil"/>
              <w:right w:val="nil"/>
            </w:tcBorders>
            <w:tcMar>
              <w:top w:w="60" w:type="dxa"/>
              <w:left w:w="60" w:type="dxa"/>
              <w:bottom w:w="60" w:type="dxa"/>
              <w:right w:w="60" w:type="dxa"/>
            </w:tcMar>
            <w:vAlign w:val="center"/>
          </w:tcPr>
          <w:p w14:paraId="4A4646AB" w14:textId="77777777" w:rsidR="00606DE5" w:rsidRDefault="00606DE5">
            <w:pPr>
              <w:jc w:val="center"/>
              <w:rPr>
                <w:sz w:val="21"/>
                <w:szCs w:val="21"/>
              </w:rPr>
            </w:pPr>
          </w:p>
        </w:tc>
        <w:tc>
          <w:tcPr>
            <w:tcW w:w="2551" w:type="dxa"/>
            <w:tcBorders>
              <w:top w:val="nil"/>
              <w:left w:val="nil"/>
              <w:bottom w:val="nil"/>
              <w:right w:val="nil"/>
            </w:tcBorders>
            <w:tcMar>
              <w:top w:w="60" w:type="dxa"/>
              <w:left w:w="60" w:type="dxa"/>
              <w:bottom w:w="60" w:type="dxa"/>
              <w:right w:w="60" w:type="dxa"/>
            </w:tcMar>
            <w:vAlign w:val="center"/>
          </w:tcPr>
          <w:p w14:paraId="0511FBE5" w14:textId="77777777" w:rsidR="00606DE5" w:rsidRDefault="00000000">
            <w:pPr>
              <w:jc w:val="center"/>
              <w:rPr>
                <w:sz w:val="21"/>
                <w:szCs w:val="21"/>
              </w:rPr>
            </w:pPr>
            <w:r>
              <w:rPr>
                <w:rFonts w:ascii="Times New Roman" w:hAnsi="Times New Roman"/>
                <w:sz w:val="21"/>
                <w:szCs w:val="21"/>
              </w:rPr>
              <w:t>Yao et al., 2024</w:t>
            </w:r>
          </w:p>
        </w:tc>
      </w:tr>
      <w:tr w:rsidR="00606DE5" w14:paraId="2A46CC22"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7CD851EF" w14:textId="77777777" w:rsidR="00606DE5" w:rsidRDefault="00000000">
            <w:pPr>
              <w:jc w:val="center"/>
              <w:rPr>
                <w:sz w:val="21"/>
                <w:szCs w:val="21"/>
              </w:rPr>
            </w:pPr>
            <w:r>
              <w:rPr>
                <w:rFonts w:ascii="Times New Roman" w:hAnsi="Times New Roman"/>
                <w:sz w:val="21"/>
                <w:szCs w:val="21"/>
              </w:rPr>
              <w:t>果园</w:t>
            </w:r>
          </w:p>
        </w:tc>
        <w:tc>
          <w:tcPr>
            <w:tcW w:w="1190" w:type="dxa"/>
            <w:tcBorders>
              <w:top w:val="nil"/>
              <w:left w:val="nil"/>
              <w:bottom w:val="nil"/>
              <w:right w:val="nil"/>
            </w:tcBorders>
            <w:tcMar>
              <w:top w:w="60" w:type="dxa"/>
              <w:left w:w="60" w:type="dxa"/>
              <w:bottom w:w="60" w:type="dxa"/>
              <w:right w:w="60" w:type="dxa"/>
            </w:tcMar>
            <w:vAlign w:val="center"/>
          </w:tcPr>
          <w:p w14:paraId="11CC4958" w14:textId="77777777" w:rsidR="00606DE5" w:rsidRDefault="00000000">
            <w:pPr>
              <w:jc w:val="center"/>
              <w:rPr>
                <w:sz w:val="21"/>
                <w:szCs w:val="21"/>
              </w:rPr>
            </w:pPr>
            <w:r>
              <w:rPr>
                <w:rFonts w:ascii="Times New Roman" w:hAnsi="Times New Roman"/>
                <w:sz w:val="21"/>
                <w:szCs w:val="21"/>
              </w:rPr>
              <w:t>黄土高原</w:t>
            </w:r>
          </w:p>
        </w:tc>
        <w:tc>
          <w:tcPr>
            <w:tcW w:w="1814" w:type="dxa"/>
            <w:tcBorders>
              <w:top w:val="nil"/>
              <w:left w:val="nil"/>
              <w:bottom w:val="nil"/>
              <w:right w:val="nil"/>
            </w:tcBorders>
            <w:tcMar>
              <w:top w:w="60" w:type="dxa"/>
              <w:left w:w="60" w:type="dxa"/>
              <w:bottom w:w="60" w:type="dxa"/>
              <w:right w:w="60" w:type="dxa"/>
            </w:tcMar>
            <w:vAlign w:val="center"/>
          </w:tcPr>
          <w:p w14:paraId="652670AF" w14:textId="77777777" w:rsidR="00606DE5" w:rsidRDefault="00000000">
            <w:pPr>
              <w:jc w:val="center"/>
              <w:rPr>
                <w:sz w:val="21"/>
                <w:szCs w:val="21"/>
              </w:rPr>
            </w:pPr>
            <w:r>
              <w:rPr>
                <w:rFonts w:ascii="Times New Roman" w:hAnsi="Times New Roman"/>
                <w:sz w:val="21"/>
                <w:szCs w:val="21"/>
              </w:rPr>
              <w:t>0.49 (0.08-1.61)</w:t>
            </w:r>
          </w:p>
        </w:tc>
        <w:tc>
          <w:tcPr>
            <w:tcW w:w="1701" w:type="dxa"/>
            <w:tcBorders>
              <w:top w:val="nil"/>
              <w:left w:val="nil"/>
              <w:bottom w:val="nil"/>
              <w:right w:val="nil"/>
            </w:tcBorders>
            <w:tcMar>
              <w:top w:w="60" w:type="dxa"/>
              <w:left w:w="60" w:type="dxa"/>
              <w:bottom w:w="60" w:type="dxa"/>
              <w:right w:w="60" w:type="dxa"/>
            </w:tcMar>
            <w:vAlign w:val="center"/>
          </w:tcPr>
          <w:p w14:paraId="0EBDE0DD" w14:textId="77777777" w:rsidR="00606DE5" w:rsidRDefault="00000000">
            <w:pPr>
              <w:jc w:val="center"/>
              <w:rPr>
                <w:sz w:val="21"/>
                <w:szCs w:val="21"/>
              </w:rPr>
            </w:pPr>
            <w:r>
              <w:rPr>
                <w:rFonts w:ascii="Times New Roman" w:hAnsi="Times New Roman"/>
                <w:sz w:val="21"/>
                <w:szCs w:val="21"/>
              </w:rPr>
              <w:t>0.38</w:t>
            </w:r>
          </w:p>
        </w:tc>
        <w:tc>
          <w:tcPr>
            <w:tcW w:w="2551" w:type="dxa"/>
            <w:tcBorders>
              <w:top w:val="nil"/>
              <w:left w:val="nil"/>
              <w:bottom w:val="nil"/>
              <w:right w:val="nil"/>
            </w:tcBorders>
            <w:tcMar>
              <w:top w:w="60" w:type="dxa"/>
              <w:left w:w="60" w:type="dxa"/>
              <w:bottom w:w="60" w:type="dxa"/>
              <w:right w:w="60" w:type="dxa"/>
            </w:tcMar>
            <w:vAlign w:val="center"/>
          </w:tcPr>
          <w:p w14:paraId="2568385B" w14:textId="77777777" w:rsidR="00606DE5" w:rsidRDefault="00000000">
            <w:pPr>
              <w:jc w:val="center"/>
              <w:rPr>
                <w:sz w:val="21"/>
                <w:szCs w:val="21"/>
              </w:rPr>
            </w:pPr>
            <w:r>
              <w:rPr>
                <w:rFonts w:ascii="Times New Roman" w:hAnsi="Times New Roman"/>
                <w:sz w:val="21"/>
                <w:szCs w:val="21"/>
              </w:rPr>
              <w:t>本研究</w:t>
            </w:r>
          </w:p>
        </w:tc>
      </w:tr>
      <w:tr w:rsidR="00606DE5" w14:paraId="7CBAE0A2" w14:textId="77777777">
        <w:trPr>
          <w:jc w:val="center"/>
        </w:trPr>
        <w:tc>
          <w:tcPr>
            <w:tcW w:w="1134" w:type="dxa"/>
            <w:tcBorders>
              <w:top w:val="nil"/>
              <w:left w:val="nil"/>
              <w:right w:val="nil"/>
            </w:tcBorders>
            <w:tcMar>
              <w:top w:w="60" w:type="dxa"/>
              <w:left w:w="60" w:type="dxa"/>
              <w:bottom w:w="60" w:type="dxa"/>
              <w:right w:w="60" w:type="dxa"/>
            </w:tcMar>
            <w:vAlign w:val="center"/>
          </w:tcPr>
          <w:p w14:paraId="7911FC5B" w14:textId="77777777" w:rsidR="00606DE5" w:rsidRDefault="00606DE5">
            <w:pPr>
              <w:jc w:val="center"/>
              <w:rPr>
                <w:sz w:val="21"/>
                <w:szCs w:val="21"/>
              </w:rPr>
            </w:pPr>
          </w:p>
        </w:tc>
        <w:tc>
          <w:tcPr>
            <w:tcW w:w="1190" w:type="dxa"/>
            <w:tcBorders>
              <w:top w:val="nil"/>
              <w:left w:val="nil"/>
              <w:right w:val="nil"/>
            </w:tcBorders>
            <w:tcMar>
              <w:top w:w="60" w:type="dxa"/>
              <w:left w:w="60" w:type="dxa"/>
              <w:bottom w:w="60" w:type="dxa"/>
              <w:right w:w="60" w:type="dxa"/>
            </w:tcMar>
            <w:vAlign w:val="center"/>
          </w:tcPr>
          <w:p w14:paraId="420B1E41" w14:textId="77777777" w:rsidR="00606DE5" w:rsidRDefault="00000000">
            <w:pPr>
              <w:jc w:val="center"/>
              <w:rPr>
                <w:sz w:val="21"/>
                <w:szCs w:val="21"/>
              </w:rPr>
            </w:pPr>
            <w:r>
              <w:rPr>
                <w:rFonts w:ascii="Times New Roman" w:hAnsi="Times New Roman"/>
                <w:sz w:val="21"/>
                <w:szCs w:val="21"/>
              </w:rPr>
              <w:t>全球</w:t>
            </w:r>
          </w:p>
        </w:tc>
        <w:tc>
          <w:tcPr>
            <w:tcW w:w="1814" w:type="dxa"/>
            <w:tcBorders>
              <w:top w:val="nil"/>
              <w:left w:val="nil"/>
              <w:right w:val="nil"/>
            </w:tcBorders>
            <w:tcMar>
              <w:top w:w="60" w:type="dxa"/>
              <w:left w:w="60" w:type="dxa"/>
              <w:bottom w:w="60" w:type="dxa"/>
              <w:right w:w="60" w:type="dxa"/>
            </w:tcMar>
            <w:vAlign w:val="center"/>
          </w:tcPr>
          <w:p w14:paraId="3F946C5E" w14:textId="77777777" w:rsidR="00606DE5" w:rsidRDefault="00000000">
            <w:pPr>
              <w:jc w:val="center"/>
              <w:rPr>
                <w:sz w:val="21"/>
                <w:szCs w:val="21"/>
              </w:rPr>
            </w:pPr>
            <w:r>
              <w:rPr>
                <w:rFonts w:ascii="Times New Roman" w:hAnsi="Times New Roman"/>
                <w:sz w:val="21"/>
                <w:szCs w:val="21"/>
              </w:rPr>
              <w:t>1.15 (-0.44-2.70)</w:t>
            </w:r>
          </w:p>
        </w:tc>
        <w:tc>
          <w:tcPr>
            <w:tcW w:w="1701" w:type="dxa"/>
            <w:tcBorders>
              <w:top w:val="nil"/>
              <w:left w:val="nil"/>
              <w:right w:val="nil"/>
            </w:tcBorders>
            <w:tcMar>
              <w:top w:w="60" w:type="dxa"/>
              <w:left w:w="60" w:type="dxa"/>
              <w:bottom w:w="60" w:type="dxa"/>
              <w:right w:w="60" w:type="dxa"/>
            </w:tcMar>
            <w:vAlign w:val="center"/>
          </w:tcPr>
          <w:p w14:paraId="3C0E3A4D" w14:textId="77777777" w:rsidR="00606DE5" w:rsidRDefault="00000000">
            <w:pPr>
              <w:jc w:val="center"/>
              <w:rPr>
                <w:sz w:val="21"/>
                <w:szCs w:val="21"/>
              </w:rPr>
            </w:pPr>
            <w:r>
              <w:rPr>
                <w:rFonts w:ascii="Times New Roman" w:hAnsi="Times New Roman"/>
                <w:sz w:val="21"/>
                <w:szCs w:val="21"/>
              </w:rPr>
              <w:t>1.36</w:t>
            </w:r>
          </w:p>
        </w:tc>
        <w:tc>
          <w:tcPr>
            <w:tcW w:w="2551" w:type="dxa"/>
            <w:tcBorders>
              <w:top w:val="nil"/>
              <w:left w:val="nil"/>
              <w:right w:val="nil"/>
            </w:tcBorders>
            <w:tcMar>
              <w:top w:w="60" w:type="dxa"/>
              <w:left w:w="60" w:type="dxa"/>
              <w:bottom w:w="60" w:type="dxa"/>
              <w:right w:w="60" w:type="dxa"/>
            </w:tcMar>
            <w:vAlign w:val="center"/>
          </w:tcPr>
          <w:p w14:paraId="08DF61E2" w14:textId="77777777" w:rsidR="00606DE5" w:rsidRDefault="00000000">
            <w:pPr>
              <w:jc w:val="center"/>
              <w:rPr>
                <w:sz w:val="21"/>
                <w:szCs w:val="21"/>
              </w:rPr>
            </w:pPr>
            <w:r>
              <w:rPr>
                <w:rFonts w:ascii="Times New Roman" w:hAnsi="Times New Roman"/>
                <w:sz w:val="21"/>
                <w:szCs w:val="21"/>
              </w:rPr>
              <w:t>Gu et al., 2019</w:t>
            </w:r>
          </w:p>
        </w:tc>
      </w:tr>
      <w:tr w:rsidR="00606DE5" w14:paraId="49F7314B" w14:textId="77777777">
        <w:trPr>
          <w:jc w:val="center"/>
        </w:trPr>
        <w:tc>
          <w:tcPr>
            <w:tcW w:w="1134" w:type="dxa"/>
            <w:tcBorders>
              <w:top w:val="nil"/>
              <w:left w:val="nil"/>
              <w:bottom w:val="single" w:sz="12" w:space="0" w:color="auto"/>
              <w:right w:val="nil"/>
            </w:tcBorders>
            <w:tcMar>
              <w:top w:w="60" w:type="dxa"/>
              <w:left w:w="60" w:type="dxa"/>
              <w:bottom w:w="60" w:type="dxa"/>
              <w:right w:w="60" w:type="dxa"/>
            </w:tcMar>
            <w:vAlign w:val="center"/>
          </w:tcPr>
          <w:p w14:paraId="28489646" w14:textId="77777777" w:rsidR="00606DE5" w:rsidRDefault="00606DE5">
            <w:pPr>
              <w:jc w:val="center"/>
              <w:rPr>
                <w:sz w:val="21"/>
                <w:szCs w:val="21"/>
              </w:rPr>
            </w:pPr>
          </w:p>
        </w:tc>
        <w:tc>
          <w:tcPr>
            <w:tcW w:w="1190" w:type="dxa"/>
            <w:tcBorders>
              <w:top w:val="nil"/>
              <w:left w:val="nil"/>
              <w:bottom w:val="single" w:sz="12" w:space="0" w:color="auto"/>
              <w:right w:val="nil"/>
            </w:tcBorders>
            <w:tcMar>
              <w:top w:w="60" w:type="dxa"/>
              <w:left w:w="60" w:type="dxa"/>
              <w:bottom w:w="60" w:type="dxa"/>
              <w:right w:w="60" w:type="dxa"/>
            </w:tcMar>
            <w:vAlign w:val="center"/>
          </w:tcPr>
          <w:p w14:paraId="03B9B2CE" w14:textId="77777777" w:rsidR="00606DE5" w:rsidRDefault="00000000">
            <w:pPr>
              <w:jc w:val="center"/>
              <w:rPr>
                <w:sz w:val="21"/>
                <w:szCs w:val="21"/>
              </w:rPr>
            </w:pPr>
            <w:r>
              <w:rPr>
                <w:rFonts w:ascii="Times New Roman" w:hAnsi="Times New Roman"/>
                <w:sz w:val="21"/>
                <w:szCs w:val="21"/>
              </w:rPr>
              <w:t>全球</w:t>
            </w:r>
          </w:p>
        </w:tc>
        <w:tc>
          <w:tcPr>
            <w:tcW w:w="1814" w:type="dxa"/>
            <w:tcBorders>
              <w:top w:val="nil"/>
              <w:left w:val="nil"/>
              <w:bottom w:val="single" w:sz="12" w:space="0" w:color="auto"/>
              <w:right w:val="nil"/>
            </w:tcBorders>
            <w:tcMar>
              <w:top w:w="60" w:type="dxa"/>
              <w:left w:w="60" w:type="dxa"/>
              <w:bottom w:w="60" w:type="dxa"/>
              <w:right w:w="60" w:type="dxa"/>
            </w:tcMar>
            <w:vAlign w:val="center"/>
          </w:tcPr>
          <w:p w14:paraId="060D453B" w14:textId="77777777" w:rsidR="00606DE5" w:rsidRDefault="00000000">
            <w:pPr>
              <w:jc w:val="center"/>
              <w:rPr>
                <w:sz w:val="21"/>
                <w:szCs w:val="21"/>
              </w:rPr>
            </w:pPr>
            <w:r>
              <w:rPr>
                <w:rFonts w:ascii="Times New Roman" w:hAnsi="Times New Roman"/>
                <w:sz w:val="21"/>
                <w:szCs w:val="21"/>
              </w:rPr>
              <w:t>1.39</w:t>
            </w:r>
          </w:p>
        </w:tc>
        <w:tc>
          <w:tcPr>
            <w:tcW w:w="1701" w:type="dxa"/>
            <w:tcBorders>
              <w:top w:val="nil"/>
              <w:left w:val="nil"/>
              <w:bottom w:val="single" w:sz="12" w:space="0" w:color="auto"/>
              <w:right w:val="nil"/>
            </w:tcBorders>
            <w:tcMar>
              <w:top w:w="60" w:type="dxa"/>
              <w:left w:w="60" w:type="dxa"/>
              <w:bottom w:w="60" w:type="dxa"/>
              <w:right w:w="60" w:type="dxa"/>
            </w:tcMar>
            <w:vAlign w:val="center"/>
          </w:tcPr>
          <w:p w14:paraId="4625AB58" w14:textId="77777777" w:rsidR="00606DE5" w:rsidRDefault="00000000">
            <w:pPr>
              <w:jc w:val="center"/>
              <w:rPr>
                <w:sz w:val="21"/>
                <w:szCs w:val="21"/>
              </w:rPr>
            </w:pPr>
            <w:r>
              <w:rPr>
                <w:rFonts w:ascii="Times New Roman" w:hAnsi="Times New Roman"/>
                <w:sz w:val="21"/>
                <w:szCs w:val="21"/>
              </w:rPr>
              <w:t>1.62</w:t>
            </w:r>
          </w:p>
        </w:tc>
        <w:tc>
          <w:tcPr>
            <w:tcW w:w="2551" w:type="dxa"/>
            <w:tcBorders>
              <w:top w:val="nil"/>
              <w:left w:val="nil"/>
              <w:bottom w:val="single" w:sz="12" w:space="0" w:color="auto"/>
              <w:right w:val="nil"/>
            </w:tcBorders>
            <w:tcMar>
              <w:top w:w="60" w:type="dxa"/>
              <w:left w:w="60" w:type="dxa"/>
              <w:bottom w:w="60" w:type="dxa"/>
              <w:right w:w="60" w:type="dxa"/>
            </w:tcMar>
            <w:vAlign w:val="center"/>
          </w:tcPr>
          <w:p w14:paraId="2E2B30AD" w14:textId="77777777" w:rsidR="00606DE5" w:rsidRDefault="00000000">
            <w:pPr>
              <w:jc w:val="center"/>
              <w:rPr>
                <w:sz w:val="21"/>
                <w:szCs w:val="21"/>
              </w:rPr>
            </w:pPr>
            <w:r>
              <w:rPr>
                <w:rFonts w:ascii="Times New Roman" w:hAnsi="Times New Roman"/>
                <w:sz w:val="21"/>
                <w:szCs w:val="21"/>
              </w:rPr>
              <w:t>Zhao et al., 2022</w:t>
            </w:r>
          </w:p>
        </w:tc>
      </w:tr>
    </w:tbl>
    <w:p w14:paraId="2B2AD8EC" w14:textId="77777777" w:rsidR="00606DE5" w:rsidRDefault="00000000">
      <w:pPr>
        <w:pStyle w:val="ac"/>
        <w:ind w:firstLine="480"/>
      </w:pPr>
      <w:r>
        <w:rPr>
          <w:rFonts w:hint="eastAsia"/>
        </w:rPr>
        <w:t>然而，黄土高原各作物的</w:t>
      </w:r>
      <w:r>
        <w:t>EF</w:t>
      </w:r>
      <w:r>
        <w:rPr>
          <w:rFonts w:hint="eastAsia"/>
        </w:rPr>
        <w:t>（</w:t>
      </w:r>
      <w:r>
        <w:t>0.29%—0.49%</w:t>
      </w:r>
      <w:r>
        <w:rPr>
          <w:rFonts w:hint="eastAsia"/>
        </w:rPr>
        <w:t>）约比全球尺度水平（</w:t>
      </w:r>
      <w:r>
        <w:t>0.58%—1.19%</w:t>
      </w:r>
      <w:r>
        <w:rPr>
          <w:rFonts w:hint="eastAsia"/>
        </w:rPr>
        <w:t>）低</w:t>
      </w:r>
      <w:r>
        <w:t>50%</w:t>
      </w:r>
      <w:r>
        <w:rPr>
          <w:rFonts w:hint="eastAsia"/>
        </w:rPr>
        <w:t>，排放系数（</w:t>
      </w:r>
      <w:r>
        <w:t>0.33%—0.38%</w:t>
      </w:r>
      <w:r>
        <w:rPr>
          <w:rFonts w:hint="eastAsia"/>
        </w:rPr>
        <w:t>）亦约比全球水平（</w:t>
      </w:r>
      <w:r>
        <w:t>1.06%—1.36%</w:t>
      </w:r>
      <w:r>
        <w:rPr>
          <w:rFonts w:hint="eastAsia"/>
        </w:rPr>
        <w:t>）低</w:t>
      </w:r>
      <w:r>
        <w:t>70%</w:t>
      </w:r>
      <w:r>
        <w:rPr>
          <w:rFonts w:hint="eastAsia"/>
        </w:rPr>
        <w:t>（表</w:t>
      </w:r>
      <w:r>
        <w:t>4-1</w:t>
      </w:r>
      <w:r>
        <w:rPr>
          <w:rFonts w:hint="eastAsia"/>
        </w:rPr>
        <w:t>）。这一差异的成因是多方面的。首先，较高的背景排放量（</w:t>
      </w:r>
      <w:r>
        <w:t>E₀</w:t>
      </w:r>
      <w:r>
        <w:rPr>
          <w:rFonts w:hint="eastAsia"/>
        </w:rPr>
        <w:t>）在一定程度上压低了区域</w:t>
      </w:r>
      <w:r>
        <w:t>EF</w:t>
      </w:r>
      <w:r>
        <w:rPr>
          <w:rFonts w:hint="eastAsia"/>
        </w:rPr>
        <w:t>和排放系数，尤其是春小麦和苹果果园的背景排放量（</w:t>
      </w:r>
      <w:r>
        <w:t>1.15—1.23 kg N ha⁻¹</w:t>
      </w:r>
      <w:r>
        <w:rPr>
          <w:rFonts w:hint="eastAsia"/>
        </w:rPr>
        <w:t>）</w:t>
      </w:r>
      <w:r>
        <w:t>比全球平均值（</w:t>
      </w:r>
      <w:r>
        <w:t>0.59—0.73 kg N ha</w:t>
      </w:r>
      <w:r>
        <w:rPr>
          <w:rFonts w:ascii="Cambria Math" w:eastAsia="Cambria Math" w:hAnsi="Cambria Math" w:cs="Cambria Math"/>
        </w:rPr>
        <w:t>⁻¹</w:t>
      </w:r>
      <w:r>
        <w:t>）高</w:t>
      </w:r>
      <w:r>
        <w:t>68%—102%</w:t>
      </w:r>
      <w:r>
        <w:t>（表</w:t>
      </w:r>
      <w:r>
        <w:t>4-1</w:t>
      </w:r>
      <w:r>
        <w:t>）。一般认为，高背景排放与土壤高肥力相关（</w:t>
      </w:r>
      <w:r>
        <w:t>Gu et al., 2009, 2007</w:t>
      </w:r>
      <w:r>
        <w:t>），但本研究区土壤有机碳含量偏低（表</w:t>
      </w:r>
      <w:r>
        <w:t>S1</w:t>
      </w:r>
      <w:r>
        <w:t>），表明高背景排放可能另有机制。其次，春玉米产量偏高（</w:t>
      </w:r>
      <w:r>
        <w:t>11.1 t ha</w:t>
      </w:r>
      <w:r>
        <w:rPr>
          <w:rFonts w:ascii="Cambria Math" w:eastAsia="Cambria Math" w:hAnsi="Cambria Math" w:cs="Cambria Math"/>
        </w:rPr>
        <w:t>⁻¹</w:t>
      </w:r>
      <w:r>
        <w:t>，全球玉米</w:t>
      </w:r>
      <w:r>
        <w:t>7.9—8.0 t ha</w:t>
      </w:r>
      <w:r>
        <w:rPr>
          <w:rFonts w:ascii="Cambria Math" w:eastAsia="Cambria Math" w:hAnsi="Cambria Math" w:cs="Cambria Math"/>
        </w:rPr>
        <w:t>⁻¹</w:t>
      </w:r>
      <w:r>
        <w:t>）共同导致其</w:t>
      </w:r>
      <w:r>
        <w:t>EF</w:t>
      </w:r>
      <w:r>
        <w:t>和排放系数相对偏低。此外，冬小麦生长季的低温干燥气候可能是其背景排放量、</w:t>
      </w:r>
      <w:r>
        <w:t>EF</w:t>
      </w:r>
      <w:r>
        <w:t>和排放系数偏小的重要调控因素。</w:t>
      </w:r>
    </w:p>
    <w:p w14:paraId="25D0A4EF" w14:textId="77777777" w:rsidR="00606DE5" w:rsidRDefault="00000000">
      <w:pPr>
        <w:pStyle w:val="ac"/>
        <w:ind w:firstLine="480"/>
      </w:pPr>
      <w:r>
        <w:t>春小麦的产量尺度排放（</w:t>
      </w:r>
      <w:r>
        <w:t>1.08 kg N t</w:t>
      </w:r>
      <w:r>
        <w:rPr>
          <w:rFonts w:ascii="Cambria Math" w:eastAsia="Cambria Math" w:hAnsi="Cambria Math" w:cs="Cambria Math"/>
        </w:rPr>
        <w:t>⁻¹</w:t>
      </w:r>
      <w:r>
        <w:t>）约为全球小麦均值（</w:t>
      </w:r>
      <w:r>
        <w:t>0.32—0.35 kg N t</w:t>
      </w:r>
      <w:r>
        <w:rPr>
          <w:rFonts w:ascii="Cambria Math" w:eastAsia="Cambria Math" w:hAnsi="Cambria Math" w:cs="Cambria Math"/>
        </w:rPr>
        <w:t>⁻¹</w:t>
      </w:r>
      <w:r>
        <w:t>）</w:t>
      </w:r>
      <w:r>
        <w:t>3</w:t>
      </w:r>
      <w:r>
        <w:t>倍以上，而冬小麦的产量尺度排放（</w:t>
      </w:r>
      <w:r>
        <w:t>0.17 kg N t</w:t>
      </w:r>
      <w:r>
        <w:rPr>
          <w:rFonts w:ascii="Cambria Math" w:eastAsia="Cambria Math" w:hAnsi="Cambria Math" w:cs="Cambria Math"/>
        </w:rPr>
        <w:t>⁻¹</w:t>
      </w:r>
      <w:r>
        <w:t>）则约</w:t>
      </w:r>
      <w:r>
        <w:t>50%</w:t>
      </w:r>
      <w:r>
        <w:t>低于全球小麦均值（表</w:t>
      </w:r>
      <w:r>
        <w:t>4-1</w:t>
      </w:r>
      <w:r>
        <w:t>）。春小麦产量尺度排放异常偏高，主要源于其籽粒产量极低（</w:t>
      </w:r>
      <w:r>
        <w:t>1.5 t ha</w:t>
      </w:r>
      <w:r>
        <w:rPr>
          <w:rFonts w:ascii="Cambria Math" w:eastAsia="Cambria Math" w:hAnsi="Cambria Math" w:cs="Cambria Math"/>
        </w:rPr>
        <w:t>⁻¹</w:t>
      </w:r>
      <w:r>
        <w:t>），仅为同区域冬小麦（</w:t>
      </w:r>
      <w:r>
        <w:t>5.4 t ha</w:t>
      </w:r>
      <w:r>
        <w:rPr>
          <w:rFonts w:ascii="Cambria Math" w:eastAsia="Cambria Math" w:hAnsi="Cambria Math" w:cs="Cambria Math"/>
        </w:rPr>
        <w:t>⁻¹</w:t>
      </w:r>
      <w:r>
        <w:t>）的三分之一左右。这一现象凸显了黄土高原春小麦种植体系高产减排协同研究的必要性。黄土高原冬小麦和春小麦</w:t>
      </w:r>
      <w:r>
        <w:t>N</w:t>
      </w:r>
      <w:r>
        <w:rPr>
          <w:rFonts w:ascii="Cambria Math" w:eastAsia="Cambria Math" w:hAnsi="Cambria Math" w:cs="Cambria Math"/>
        </w:rPr>
        <w:t>₂</w:t>
      </w:r>
      <w:r>
        <w:t>O</w:t>
      </w:r>
      <w:r>
        <w:t>排放特征的显著差异也提示，未来全球数据综合研究应将两类小麦分开分析。</w:t>
      </w:r>
    </w:p>
    <w:p w14:paraId="50543E70" w14:textId="77777777" w:rsidR="00606DE5" w:rsidRDefault="00000000" w:rsidP="007C0CF3">
      <w:pPr>
        <w:pStyle w:val="ad"/>
        <w:spacing w:before="240" w:after="120"/>
      </w:pPr>
      <w:bookmarkStart w:id="47" w:name="_Toc229090869"/>
      <w:bookmarkStart w:id="48" w:name="_Toc229245533"/>
      <w:r>
        <w:t xml:space="preserve">4.2 </w:t>
      </w:r>
      <w:r>
        <w:t>农作管理措施的减排效果评价</w:t>
      </w:r>
      <w:bookmarkEnd w:id="47"/>
      <w:bookmarkEnd w:id="48"/>
    </w:p>
    <w:p w14:paraId="4AEC31D1" w14:textId="77777777" w:rsidR="00606DE5" w:rsidRDefault="00000000">
      <w:pPr>
        <w:pStyle w:val="ac"/>
        <w:ind w:firstLine="480"/>
      </w:pPr>
      <w:r>
        <w:t>粪肥施用和秸秆还田均能促进作物增产，但对</w:t>
      </w:r>
      <w:r>
        <w:t>N₂O</w:t>
      </w:r>
      <w:r>
        <w:t>排放的影响截然不同。</w:t>
      </w:r>
      <w:r>
        <w:t>Meta</w:t>
      </w:r>
      <w:r>
        <w:t>分析结果表明，粪肥施用对</w:t>
      </w:r>
      <w:r>
        <w:t>N₂O</w:t>
      </w:r>
      <w:r>
        <w:t>排放无显著影响，而秸秆还田则使</w:t>
      </w:r>
      <w:r>
        <w:t>N₂O</w:t>
      </w:r>
      <w:r>
        <w:t>排放显著增加（图</w:t>
      </w:r>
      <w:r>
        <w:t>3-4</w:t>
      </w:r>
      <w:r>
        <w:t>）。这与已有全球</w:t>
      </w:r>
      <w:r>
        <w:t>Meta</w:t>
      </w:r>
      <w:r>
        <w:t>分析的结论一致，即有机物料的类型是调控</w:t>
      </w:r>
      <w:r>
        <w:t>N₂O</w:t>
      </w:r>
      <w:r>
        <w:t>排放响应的关键因素（</w:t>
      </w:r>
      <w:proofErr w:type="spellStart"/>
      <w:r>
        <w:t>Yangjin</w:t>
      </w:r>
      <w:proofErr w:type="spellEnd"/>
      <w:r>
        <w:t xml:space="preserve"> et al., 2021</w:t>
      </w:r>
      <w:r>
        <w:t>）。秸秆还田促进</w:t>
      </w:r>
      <w:r>
        <w:t>N₂O</w:t>
      </w:r>
      <w:r>
        <w:t>排放，主要是因为秸秆为土壤微生物提供了额外的有机碳底物和氮源，有利于反硝化过程的进行（</w:t>
      </w:r>
      <w:r>
        <w:t>Abalos et al., 2022; Shan and Yan, 2013</w:t>
      </w:r>
      <w:r>
        <w:t>）。相较于秸秆还田，粪肥施用能显著降低</w:t>
      </w:r>
      <w:r>
        <w:t>EF</w:t>
      </w:r>
      <w:r>
        <w:t>和产量尺度排放，综合减排增产效益更为突出，因此推荐将粪肥施用作为黄土高原有机物料投入的优先选择。</w:t>
      </w:r>
    </w:p>
    <w:p w14:paraId="624004AD" w14:textId="77777777" w:rsidR="00606DE5" w:rsidRDefault="00000000">
      <w:pPr>
        <w:pStyle w:val="ac"/>
        <w:ind w:firstLine="480"/>
      </w:pPr>
      <w:r>
        <w:lastRenderedPageBreak/>
        <w:t>覆盖措施对作物增产效果显著，但对</w:t>
      </w:r>
      <w:r>
        <w:t>N₂O</w:t>
      </w:r>
      <w:r>
        <w:t>排放的影响因覆盖材料不同而存在明显差异。地膜覆盖通过保墢增温显著提高了粮食产量（</w:t>
      </w:r>
      <w:r>
        <w:t>+24.1%</w:t>
      </w:r>
      <w:r>
        <w:t>），对</w:t>
      </w:r>
      <w:r>
        <w:t>N₂O</w:t>
      </w:r>
      <w:r>
        <w:t>排放的影响不显著，综合减少了产量尺度排放（</w:t>
      </w:r>
      <w:r>
        <w:t>−16.6%</w:t>
      </w:r>
      <w:r>
        <w:t>），表现出较好的增产减排协同效应。相反，秸秆覆盖使</w:t>
      </w:r>
      <w:r>
        <w:t>N₂O</w:t>
      </w:r>
      <w:r>
        <w:t>排放显著增加（</w:t>
      </w:r>
      <w:r>
        <w:t>+27.2%</w:t>
      </w:r>
      <w:r>
        <w:t>），对作物产量无显著促进作用，可能与秸秆覆盖向土壤输入了大量有机碳、激发了反硝化过程有关。上述结果与</w:t>
      </w:r>
      <w:r>
        <w:t>Wang et al.</w:t>
      </w:r>
      <w:r>
        <w:t>（</w:t>
      </w:r>
      <w:r>
        <w:t>2021</w:t>
      </w:r>
      <w:r>
        <w:t>）的全球</w:t>
      </w:r>
      <w:r>
        <w:t>Meta</w:t>
      </w:r>
      <w:r>
        <w:t>分析整体趋势吻合，但黄土高原的分覆盖材料差异更为显著。综合考量，推荐在黄土高原优先采用地膜覆盖而非秸秆覆盖。</w:t>
      </w:r>
    </w:p>
    <w:p w14:paraId="4D005450" w14:textId="77777777" w:rsidR="00606DE5" w:rsidRDefault="00000000">
      <w:pPr>
        <w:pStyle w:val="ac"/>
        <w:ind w:firstLine="480"/>
      </w:pPr>
      <w:r>
        <w:t>生物炭添加和施用增效肥料均能有效减少</w:t>
      </w:r>
      <w:r>
        <w:t>N₂O</w:t>
      </w:r>
      <w:r>
        <w:t>排放，但对作物产量无显著影响。值得关注的是，这一结果与其他地区的研究存在明显差异。全球</w:t>
      </w:r>
      <w:r>
        <w:t>Meta</w:t>
      </w:r>
      <w:r>
        <w:t>分析研究显示，生物炭在酸性土壤中的增产效应更为显著，主要通过改善土壤酸碱度实现增产（</w:t>
      </w:r>
      <w:r>
        <w:t>Jeffery et al., 2017</w:t>
      </w:r>
      <w:r>
        <w:t>）；而黄土高原土壤整体呈碱性（</w:t>
      </w:r>
      <w:r>
        <w:t>pH &gt; 7.5</w:t>
      </w:r>
      <w:r>
        <w:t>，表</w:t>
      </w:r>
      <w:r>
        <w:t>S1</w:t>
      </w:r>
      <w:r>
        <w:t>），生物炭的改良改善效应相对有限。尽管两类措施均能降低</w:t>
      </w:r>
      <w:r>
        <w:t>N₂O</w:t>
      </w:r>
      <w:r>
        <w:t>排放和产量尺度排放，但需注意黄土高原碱性土壤条件下可能存在的活性氮损失风险（如氨挥发和硝态氮淋洗）。</w:t>
      </w:r>
    </w:p>
    <w:p w14:paraId="20AF5762" w14:textId="77777777" w:rsidR="00606DE5" w:rsidRDefault="00000000">
      <w:pPr>
        <w:pStyle w:val="ac"/>
        <w:ind w:firstLine="480"/>
      </w:pPr>
      <w:r>
        <w:t>减量施氮在削减</w:t>
      </w:r>
      <w:r>
        <w:t>N₂O</w:t>
      </w:r>
      <w:r>
        <w:t>排放和产量尺度排放方面效果直接，但其产量效应取决于减氮幅度。当前</w:t>
      </w:r>
      <w:r>
        <w:t>Meta</w:t>
      </w:r>
      <w:r>
        <w:t>分析显示，减氮</w:t>
      </w:r>
      <w:r>
        <w:t>25%–50%</w:t>
      </w:r>
      <w:r>
        <w:t>可显著降低</w:t>
      </w:r>
      <w:r>
        <w:t>N₂O</w:t>
      </w:r>
      <w:r>
        <w:t>排放和产量尺度排放，且对作物产量的影响不显著；减氮</w:t>
      </w:r>
      <w:r>
        <w:t>&gt;50%</w:t>
      </w:r>
      <w:r>
        <w:t>虽然减排幅度更大，但会造成显著产量损失。需要注意的是，减氮</w:t>
      </w:r>
      <w:r>
        <w:t>&lt;25%</w:t>
      </w:r>
      <w:r>
        <w:t>亚组仅有</w:t>
      </w:r>
      <w:r>
        <w:t>2</w:t>
      </w:r>
      <w:r>
        <w:t>篇文献支持，未达到本研究设定的合并效应判断标准，因此不能据此得出其显著增产或稳定减排的结论。考虑到现行施氮量普遍较高（图</w:t>
      </w:r>
      <w:r>
        <w:t>3-1</w:t>
      </w:r>
      <w:r>
        <w:t>），适度减氮仍具有潜在的农学合理性，但其稳产增效作用还需要更多独立田间研究验证。因此，黄土高原减氮管理应避免过大幅度削减氮肥投入，在减排收益和产量风险之间保持审慎平衡。</w:t>
      </w:r>
    </w:p>
    <w:p w14:paraId="01B807AC" w14:textId="77777777" w:rsidR="00606DE5" w:rsidRDefault="00000000" w:rsidP="007C0CF3">
      <w:pPr>
        <w:pStyle w:val="ad"/>
        <w:spacing w:before="240" w:after="120"/>
      </w:pPr>
      <w:bookmarkStart w:id="49" w:name="_Toc229090870"/>
      <w:bookmarkStart w:id="50" w:name="_Toc229245534"/>
      <w:r>
        <w:t xml:space="preserve">4.3 </w:t>
      </w:r>
      <w:r>
        <w:t>研究的实践意义</w:t>
      </w:r>
      <w:bookmarkEnd w:id="49"/>
      <w:bookmarkEnd w:id="50"/>
    </w:p>
    <w:p w14:paraId="0C0B0663" w14:textId="77777777" w:rsidR="00606DE5" w:rsidRDefault="00000000">
      <w:pPr>
        <w:pStyle w:val="ac"/>
        <w:ind w:firstLine="480"/>
      </w:pPr>
      <w:r>
        <w:t>春玉米是黄土高原最重要的粮食作物，其产量均值（</w:t>
      </w:r>
      <w:r>
        <w:t>11.1 t ha⁻¹</w:t>
      </w:r>
      <w:r>
        <w:t>）明显高于全球玉米（</w:t>
      </w:r>
      <w:r>
        <w:t>7.9—8.0 t ha⁻¹</w:t>
      </w:r>
      <w:r>
        <w:t>），最高产量（</w:t>
      </w:r>
      <w:r>
        <w:t>11.9 t ha⁻¹</w:t>
      </w:r>
      <w:r>
        <w:t>）和农学最优施氮量（</w:t>
      </w:r>
      <w:r>
        <w:t>295 kg N ha⁻¹</w:t>
      </w:r>
      <w:r>
        <w:t>）均约比华北平原夏玉米高</w:t>
      </w:r>
      <w:r>
        <w:t>25%</w:t>
      </w:r>
      <w:r>
        <w:t>（</w:t>
      </w:r>
      <w:r>
        <w:t>Xu et al., 2017</w:t>
      </w:r>
      <w:r>
        <w:t>）。然而</w:t>
      </w:r>
      <w:r>
        <w:t>Meta</w:t>
      </w:r>
      <w:r>
        <w:t>分析结果表明，春玉米对减量施氮反应敏感，产量损失相较于春小麦更为显著（图</w:t>
      </w:r>
      <w:r>
        <w:t>3-5</w:t>
      </w:r>
      <w:r>
        <w:t>），说明黄土高原春玉米的高产维持高度依赖于集约化氮素管理。因此，在为春玉米制定减排策略时需对减氮幅度保持更为审慎的态度。</w:t>
      </w:r>
    </w:p>
    <w:p w14:paraId="1E00C096" w14:textId="77777777" w:rsidR="00606DE5" w:rsidRDefault="00000000">
      <w:pPr>
        <w:pStyle w:val="ac"/>
        <w:ind w:firstLine="480"/>
      </w:pPr>
      <w:r>
        <w:t>苹果果园是黄土高原</w:t>
      </w:r>
      <w:r>
        <w:t>N₂O</w:t>
      </w:r>
      <w:r>
        <w:t>排放的</w:t>
      </w:r>
      <w:r>
        <w:t>”</w:t>
      </w:r>
      <w:r>
        <w:t>热点</w:t>
      </w:r>
      <w:r>
        <w:t>”</w:t>
      </w:r>
      <w:r>
        <w:t>排放源，大规模</w:t>
      </w:r>
      <w:r>
        <w:t>”</w:t>
      </w:r>
      <w:r>
        <w:t>粮改果</w:t>
      </w:r>
      <w:r>
        <w:t>”</w:t>
      </w:r>
      <w:r>
        <w:t>土地利用转变可能显著增加区域</w:t>
      </w:r>
      <w:r>
        <w:t>N₂O</w:t>
      </w:r>
      <w:r>
        <w:t>排放总量。但进一步分析表明，苹果果园的高排放主要源于高施氮量驱动（图</w:t>
      </w:r>
      <w:r>
        <w:t>3-2</w:t>
      </w:r>
      <w:r>
        <w:t>），而各体系的</w:t>
      </w:r>
      <w:r>
        <w:t>EF</w:t>
      </w:r>
      <w:r>
        <w:t>和排放系数并无显著差异。这意味着优化苹果园的氮肥施用量是降低其</w:t>
      </w:r>
      <w:r>
        <w:t>N₂O</w:t>
      </w:r>
      <w:r>
        <w:t>排放的有效切入点，需在后续研究中优先建立苹果园的农学最优施氮量等关键参数。</w:t>
      </w:r>
    </w:p>
    <w:p w14:paraId="1DE902F1" w14:textId="764F6743" w:rsidR="007C0CF3" w:rsidRDefault="00000000">
      <w:pPr>
        <w:pStyle w:val="ac"/>
        <w:ind w:firstLine="480"/>
      </w:pPr>
      <w:r>
        <w:lastRenderedPageBreak/>
        <w:t>秸秆还田和秸秆覆盖是黄土高原中增加</w:t>
      </w:r>
      <w:r>
        <w:t>N₂O</w:t>
      </w:r>
      <w:r>
        <w:t>排放且未能降低产量尺度排放的两项管理措施，这一发现凸显了黄土高原合理管理作物秸秆、限制其对</w:t>
      </w:r>
      <w:r>
        <w:t>N₂O</w:t>
      </w:r>
      <w:r>
        <w:t>排放负向贡献的重要性。本研究提出，将作物秸秆经过牲畜过腹还田，即</w:t>
      </w:r>
      <w:r>
        <w:t>”</w:t>
      </w:r>
      <w:r>
        <w:t>秸秆过腹还田</w:t>
      </w:r>
      <w:r>
        <w:t>”</w:t>
      </w:r>
      <w:r>
        <w:t>可作为解决该问题的可行途径：一方面通过发展畜牧业提高农民收益，另一方面兼顾减少秸秆直接还田造成的温室气体排放，实现农牧结合、碳氮协同管理的新模式。在</w:t>
      </w:r>
      <w:r>
        <w:t>”</w:t>
      </w:r>
      <w:r>
        <w:t>双碳</w:t>
      </w:r>
      <w:r>
        <w:t>”</w:t>
      </w:r>
      <w:r>
        <w:t>战略目标和生态补偿政策的背景下，这一建议对推动黄土高原农业绿色转型具有重要的现实意义。</w:t>
      </w:r>
    </w:p>
    <w:p w14:paraId="785880BA" w14:textId="5F0940CE" w:rsidR="00606DE5" w:rsidRPr="007C0CF3" w:rsidRDefault="007C0CF3" w:rsidP="007C0CF3">
      <w:pPr>
        <w:rPr>
          <w:rFonts w:ascii="Times New Roman" w:hAnsi="Times New Roman" w:hint="eastAsia"/>
          <w:kern w:val="2"/>
          <w14:ligatures w14:val="standardContextual"/>
        </w:rPr>
      </w:pPr>
      <w:r>
        <w:br w:type="page"/>
      </w:r>
    </w:p>
    <w:p w14:paraId="0F229495" w14:textId="1E9CC505" w:rsidR="00606DE5" w:rsidRDefault="007C0CF3" w:rsidP="007C0CF3">
      <w:pPr>
        <w:pStyle w:val="af5"/>
        <w:spacing w:before="480" w:after="240"/>
      </w:pPr>
      <w:bookmarkStart w:id="51" w:name="_Toc229090871"/>
      <w:bookmarkStart w:id="52" w:name="_Toc229245535"/>
      <w:r>
        <w:rPr>
          <w:rFonts w:hint="eastAsia"/>
        </w:rPr>
        <w:lastRenderedPageBreak/>
        <w:t>第五章</w:t>
      </w:r>
      <w:r>
        <w:t xml:space="preserve"> </w:t>
      </w:r>
      <w:r>
        <w:t>结论与展望</w:t>
      </w:r>
      <w:bookmarkEnd w:id="51"/>
      <w:bookmarkEnd w:id="52"/>
    </w:p>
    <w:p w14:paraId="3CAADCBA" w14:textId="77777777" w:rsidR="00606DE5" w:rsidRDefault="00000000" w:rsidP="007C0CF3">
      <w:pPr>
        <w:pStyle w:val="ad"/>
        <w:spacing w:before="240" w:after="120"/>
      </w:pPr>
      <w:bookmarkStart w:id="53" w:name="_Toc229090872"/>
      <w:bookmarkStart w:id="54" w:name="_Toc229245536"/>
      <w:r>
        <w:t xml:space="preserve">5.1 </w:t>
      </w:r>
      <w:r>
        <w:t>主要结论</w:t>
      </w:r>
      <w:bookmarkEnd w:id="53"/>
      <w:bookmarkEnd w:id="54"/>
    </w:p>
    <w:p w14:paraId="01E29D6F" w14:textId="77777777" w:rsidR="00606DE5" w:rsidRDefault="00000000">
      <w:pPr>
        <w:pStyle w:val="ac"/>
        <w:ind w:firstLine="480"/>
      </w:pPr>
      <w:r>
        <w:t>本研究基于</w:t>
      </w:r>
      <w:r>
        <w:t>38</w:t>
      </w:r>
      <w:r>
        <w:t>篇同行评议文献（</w:t>
      </w:r>
      <w:r>
        <w:t>2006—2025</w:t>
      </w:r>
      <w:r>
        <w:t>年）构建的区域数据库（</w:t>
      </w:r>
      <w:r>
        <w:t>366</w:t>
      </w:r>
      <w:r>
        <w:t>条</w:t>
      </w:r>
      <w:r>
        <w:t>N₂O</w:t>
      </w:r>
      <w:r>
        <w:t>排放记录、</w:t>
      </w:r>
      <w:r>
        <w:t>311</w:t>
      </w:r>
      <w:r>
        <w:t>条作物产量记录），采用成对比较</w:t>
      </w:r>
      <w:r>
        <w:t>Meta</w:t>
      </w:r>
      <w:r>
        <w:t>分析方法，系统定量了黄土高原主要农业生态系统的</w:t>
      </w:r>
      <w:r>
        <w:t>N₂O</w:t>
      </w:r>
      <w:r>
        <w:t>排放特征，并综合评价了多种农作管理措施对</w:t>
      </w:r>
      <w:r>
        <w:t>N₂O</w:t>
      </w:r>
      <w:r>
        <w:t>排放、</w:t>
      </w:r>
      <w:r>
        <w:t>EF</w:t>
      </w:r>
      <w:r>
        <w:t>和产量尺度排放的净效应。主要结论如下：</w:t>
      </w:r>
    </w:p>
    <w:p w14:paraId="6DBE5CA0" w14:textId="77777777" w:rsidR="00606DE5" w:rsidRDefault="00000000">
      <w:pPr>
        <w:pStyle w:val="ac"/>
        <w:ind w:firstLine="480"/>
      </w:pPr>
      <w:r>
        <w:rPr>
          <w:rFonts w:hint="eastAsia"/>
        </w:rPr>
        <w:t>（</w:t>
      </w:r>
      <w:r>
        <w:t>1</w:t>
      </w:r>
      <w:r>
        <w:rPr>
          <w:rFonts w:hint="eastAsia"/>
        </w:rPr>
        <w:t>）苹果果园是黄土高原</w:t>
      </w:r>
      <w:r>
        <w:t>N₂O</w:t>
      </w:r>
      <w:r>
        <w:rPr>
          <w:rFonts w:hint="eastAsia"/>
        </w:rPr>
        <w:t>排放的高排放源，其</w:t>
      </w:r>
      <w:r>
        <w:t>N₂O</w:t>
      </w:r>
      <w:r>
        <w:rPr>
          <w:rFonts w:hint="eastAsia"/>
        </w:rPr>
        <w:t>排放均值（</w:t>
      </w:r>
      <w:r>
        <w:t>2.90 kg N ha⁻¹</w:t>
      </w:r>
      <w:r>
        <w:rPr>
          <w:rFonts w:hint="eastAsia"/>
        </w:rPr>
        <w:t>）比粮食作物高</w:t>
      </w:r>
      <w:r>
        <w:t>56%—224%</w:t>
      </w:r>
      <w:r>
        <w:rPr>
          <w:rFonts w:hint="eastAsia"/>
        </w:rPr>
        <w:t>，大规模</w:t>
      </w:r>
      <w:r>
        <w:t>”</w:t>
      </w:r>
      <w:r>
        <w:rPr>
          <w:rFonts w:hint="eastAsia"/>
        </w:rPr>
        <w:t>粮改果</w:t>
      </w:r>
      <w:r>
        <w:t>”</w:t>
      </w:r>
      <w:r>
        <w:rPr>
          <w:rFonts w:hint="eastAsia"/>
        </w:rPr>
        <w:t>可能显著增加区域</w:t>
      </w:r>
      <w:r>
        <w:t>N₂O</w:t>
      </w:r>
      <w:r>
        <w:rPr>
          <w:rFonts w:hint="eastAsia"/>
        </w:rPr>
        <w:t>排放总量。然而，各农业生态系统的</w:t>
      </w:r>
      <w:r>
        <w:t>EF</w:t>
      </w:r>
      <w:r>
        <w:rPr>
          <w:rFonts w:hint="eastAsia"/>
        </w:rPr>
        <w:t>和排放系数无显著差异，且均显著低于全球尺度均值，表明体系间差异主要由施氮量和产量水平驱动。</w:t>
      </w:r>
    </w:p>
    <w:p w14:paraId="3AF453E6" w14:textId="77777777" w:rsidR="00606DE5" w:rsidRDefault="00000000">
      <w:pPr>
        <w:pStyle w:val="ac"/>
        <w:ind w:firstLine="480"/>
      </w:pPr>
      <w:r>
        <w:t>（</w:t>
      </w:r>
      <w:r>
        <w:t>2</w:t>
      </w:r>
      <w:r>
        <w:t>）春小麦的产量尺度排放极高（</w:t>
      </w:r>
      <w:r>
        <w:t>1.08 kg N t⁻¹</w:t>
      </w:r>
      <w:r>
        <w:t>），约为全球小麦平均水平的</w:t>
      </w:r>
      <w:r>
        <w:t>3</w:t>
      </w:r>
      <w:r>
        <w:t>倍以上，主要源于其籽粒产量极低。黄土高原冬小麦和春小麦</w:t>
      </w:r>
      <w:r>
        <w:t>N₂O</w:t>
      </w:r>
      <w:r>
        <w:t>排放特征的显著差异，提示未来全球数据综合应将两类小麦分开分析。</w:t>
      </w:r>
    </w:p>
    <w:p w14:paraId="4A436D01" w14:textId="77777777" w:rsidR="00606DE5" w:rsidRDefault="00000000">
      <w:pPr>
        <w:pStyle w:val="ac"/>
        <w:ind w:firstLine="480"/>
      </w:pPr>
      <w:r>
        <w:t>（</w:t>
      </w:r>
      <w:r>
        <w:t>3</w:t>
      </w:r>
      <w:r>
        <w:t>）在所评价的管理措施中，减量施氮总体显著降低</w:t>
      </w:r>
      <w:r>
        <w:t>N₂O</w:t>
      </w:r>
      <w:r>
        <w:t>排放和产量尺度排放，但伴随一定产量下降，且对</w:t>
      </w:r>
      <w:r>
        <w:t>EF</w:t>
      </w:r>
      <w:r>
        <w:t>的总体影响不显著。减氮</w:t>
      </w:r>
      <w:r>
        <w:t>25%–50%</w:t>
      </w:r>
      <w:r>
        <w:t>可在不显著降低产量的情况下减少</w:t>
      </w:r>
      <w:r>
        <w:t>N₂O</w:t>
      </w:r>
      <w:r>
        <w:t>排放和产量尺度排放，减氮</w:t>
      </w:r>
      <w:r>
        <w:t>&gt;50%</w:t>
      </w:r>
      <w:r>
        <w:t>虽减排更强但产量损失显著；减氮</w:t>
      </w:r>
      <w:r>
        <w:t>&lt;25%</w:t>
      </w:r>
      <w:r>
        <w:t>亚组因支持文献不足，尚不能作合并效应判断。粪肥施用和地膜覆盖在增产的同时可降低产量尺度排放；生物炭添加和增效肥料施用可有效减少</w:t>
      </w:r>
      <w:r>
        <w:t>N₂O</w:t>
      </w:r>
      <w:r>
        <w:t>排放；而秸秆还田和秸秆覆盖则增加了</w:t>
      </w:r>
      <w:r>
        <w:t>N₂O</w:t>
      </w:r>
      <w:r>
        <w:t>排放而未带来减排效益。</w:t>
      </w:r>
    </w:p>
    <w:p w14:paraId="17B9A006" w14:textId="77777777" w:rsidR="00606DE5" w:rsidRDefault="00000000">
      <w:pPr>
        <w:pStyle w:val="ac"/>
        <w:ind w:firstLine="480"/>
      </w:pPr>
      <w:r>
        <w:t>（</w:t>
      </w:r>
      <w:r>
        <w:t>4</w:t>
      </w:r>
      <w:r>
        <w:t>）综合增产与减排效益，推荐粪肥施用和地膜覆盖作为黄土高原农业生态系统较稳健的优先管理措施；减量施氮应避免过大幅度，适度减氮的稳产减排效果仍需更多独立研究支持后再作为稳定推荐。</w:t>
      </w:r>
    </w:p>
    <w:p w14:paraId="473CC5CB" w14:textId="77777777" w:rsidR="00606DE5" w:rsidRDefault="00000000" w:rsidP="007C0CF3">
      <w:pPr>
        <w:pStyle w:val="ad"/>
        <w:spacing w:before="240" w:after="120"/>
      </w:pPr>
      <w:bookmarkStart w:id="55" w:name="_Toc229090873"/>
      <w:bookmarkStart w:id="56" w:name="_Toc229245537"/>
      <w:r>
        <w:t xml:space="preserve">5.2 </w:t>
      </w:r>
      <w:r>
        <w:t>研究局限与展望</w:t>
      </w:r>
      <w:bookmarkEnd w:id="55"/>
      <w:bookmarkEnd w:id="56"/>
    </w:p>
    <w:p w14:paraId="017CDEC2" w14:textId="77777777" w:rsidR="00606DE5" w:rsidRDefault="00000000">
      <w:pPr>
        <w:pStyle w:val="ac"/>
        <w:ind w:firstLine="480"/>
      </w:pPr>
      <w:r>
        <w:t>本研究在以下几个方面仍存局限性，有待未来工作进一步完善。第一，受现有文献数量限制，部分种植体系（尤其是苹果果园）和管理措施亚组的样本量相对有限，可能影响</w:t>
      </w:r>
      <w:r>
        <w:t>Meta</w:t>
      </w:r>
      <w:r>
        <w:t>分析结果的统计效力；随着黄土高原原位观测研究的持续积累，未来分析结论有望得到进一步检验和深化。第二，本研究数据库以旱作不灌溉或微灌种植体系为主，灌溉管理对黄土高原</w:t>
      </w:r>
      <w:r>
        <w:t>N₂O</w:t>
      </w:r>
      <w:r>
        <w:t>排放的影响尚难在本研究框架内系统评估；在具备水资条件的局部区域，灌溉诱导的土壤水分变化可能显著改变</w:t>
      </w:r>
      <w:r>
        <w:t>N₂O</w:t>
      </w:r>
      <w:r>
        <w:t>排放规律，値得专项研究。第三，本研究未能深入量化土壤理化性质、气候条件等环境变量对各管理措施减排效果的调控作用，这些潜在的交互效应有待通过增大数据量、引入结构方程模型等多</w:t>
      </w:r>
      <w:r>
        <w:lastRenderedPageBreak/>
        <w:t>元统计手段加以探索。第四，随着新型农业模式（如秸秆饲用过腹还田、果粮间作等）的推广，相关田间观测数据的积累将为未来的多情景比较研究奠定基础。</w:t>
      </w:r>
    </w:p>
    <w:p w14:paraId="2E7A5C12" w14:textId="77777777" w:rsidR="00606DE5" w:rsidRDefault="00606DE5">
      <w:pPr>
        <w:pStyle w:val="ac"/>
        <w:ind w:firstLine="480"/>
      </w:pPr>
    </w:p>
    <w:p w14:paraId="272ADCBC" w14:textId="77777777" w:rsidR="00606DE5" w:rsidRDefault="00606DE5">
      <w:pPr>
        <w:pStyle w:val="ac"/>
        <w:ind w:firstLine="480"/>
      </w:pPr>
    </w:p>
    <w:sectPr w:rsidR="00606DE5">
      <w:headerReference w:type="even" r:id="rId15"/>
      <w:headerReference w:type="default" r:id="rId16"/>
      <w:footerReference w:type="even" r:id="rId17"/>
      <w:footerReference w:type="default" r:id="rId18"/>
      <w:headerReference w:type="first" r:id="rId19"/>
      <w:footerReference w:type="first" r:id="rId20"/>
      <w:pgSz w:w="11906" w:h="16838"/>
      <w:pgMar w:top="1701" w:right="1474" w:bottom="1418" w:left="1474" w:header="851" w:footer="992"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456F5" w14:textId="77777777" w:rsidR="00A70F57" w:rsidRDefault="00A70F57">
      <w:r>
        <w:separator/>
      </w:r>
    </w:p>
  </w:endnote>
  <w:endnote w:type="continuationSeparator" w:id="0">
    <w:p w14:paraId="200983BF" w14:textId="77777777" w:rsidR="00A70F57" w:rsidRDefault="00A70F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5BF68" w14:textId="77777777" w:rsidR="00606DE5" w:rsidRDefault="00606DE5">
    <w:pPr>
      <w:tabs>
        <w:tab w:val="center" w:pos="4153"/>
        <w:tab w:val="right" w:pos="8306"/>
      </w:tabs>
      <w:rPr>
        <w:color w:val="000000"/>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E5A0E" w14:textId="77777777" w:rsidR="00606DE5" w:rsidRDefault="00606DE5">
    <w:pPr>
      <w:tabs>
        <w:tab w:val="center" w:pos="4153"/>
        <w:tab w:val="right" w:pos="8306"/>
      </w:tabs>
      <w:rPr>
        <w:color w:val="000000"/>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CE931" w14:textId="77777777" w:rsidR="00606DE5" w:rsidRDefault="00606DE5">
    <w:pPr>
      <w:tabs>
        <w:tab w:val="center" w:pos="4153"/>
        <w:tab w:val="right" w:pos="8306"/>
      </w:tabs>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5FC52" w14:textId="77777777" w:rsidR="00A70F57" w:rsidRDefault="00A70F57">
      <w:r>
        <w:separator/>
      </w:r>
    </w:p>
  </w:footnote>
  <w:footnote w:type="continuationSeparator" w:id="0">
    <w:p w14:paraId="04990074" w14:textId="77777777" w:rsidR="00A70F57" w:rsidRDefault="00A70F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A2C9A" w14:textId="77777777" w:rsidR="00606DE5" w:rsidRDefault="00606DE5">
    <w:pPr>
      <w:tabs>
        <w:tab w:val="center" w:pos="4153"/>
        <w:tab w:val="right" w:pos="8306"/>
      </w:tabs>
      <w:jc w:val="center"/>
      <w:rPr>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12070" w14:textId="77777777" w:rsidR="00606DE5" w:rsidRDefault="00606DE5">
    <w:pPr>
      <w:tabs>
        <w:tab w:val="center" w:pos="4153"/>
        <w:tab w:val="right" w:pos="8306"/>
      </w:tabs>
      <w:jc w:val="center"/>
      <w:rPr>
        <w:color w:val="00000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5CBB6" w14:textId="77777777" w:rsidR="00606DE5" w:rsidRDefault="00606DE5">
    <w:pPr>
      <w:tabs>
        <w:tab w:val="center" w:pos="4153"/>
        <w:tab w:val="right" w:pos="8306"/>
      </w:tabs>
      <w:jc w:val="center"/>
      <w:rPr>
        <w:color w:val="000000"/>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612"/>
    <w:rsid w:val="000112E1"/>
    <w:rsid w:val="00014F86"/>
    <w:rsid w:val="00022266"/>
    <w:rsid w:val="00043348"/>
    <w:rsid w:val="00065EBC"/>
    <w:rsid w:val="00066DCF"/>
    <w:rsid w:val="0006706A"/>
    <w:rsid w:val="00072879"/>
    <w:rsid w:val="000768B7"/>
    <w:rsid w:val="0008176D"/>
    <w:rsid w:val="00092B5B"/>
    <w:rsid w:val="000A367A"/>
    <w:rsid w:val="000B3443"/>
    <w:rsid w:val="000C3D85"/>
    <w:rsid w:val="000C54CA"/>
    <w:rsid w:val="000D5182"/>
    <w:rsid w:val="000E32FE"/>
    <w:rsid w:val="001202BB"/>
    <w:rsid w:val="001361DE"/>
    <w:rsid w:val="00180E58"/>
    <w:rsid w:val="00183BB1"/>
    <w:rsid w:val="00193444"/>
    <w:rsid w:val="00193BC6"/>
    <w:rsid w:val="00195F98"/>
    <w:rsid w:val="001A24A7"/>
    <w:rsid w:val="001A37E2"/>
    <w:rsid w:val="001E3C5D"/>
    <w:rsid w:val="001F59A1"/>
    <w:rsid w:val="002675C8"/>
    <w:rsid w:val="002903D6"/>
    <w:rsid w:val="002C75F9"/>
    <w:rsid w:val="002D14BA"/>
    <w:rsid w:val="002E6077"/>
    <w:rsid w:val="002F5237"/>
    <w:rsid w:val="003024DB"/>
    <w:rsid w:val="00304EE7"/>
    <w:rsid w:val="003268BD"/>
    <w:rsid w:val="00342CC2"/>
    <w:rsid w:val="00361566"/>
    <w:rsid w:val="00373D39"/>
    <w:rsid w:val="00380229"/>
    <w:rsid w:val="0039207E"/>
    <w:rsid w:val="00392095"/>
    <w:rsid w:val="003A4CC5"/>
    <w:rsid w:val="003A79CD"/>
    <w:rsid w:val="003E14E5"/>
    <w:rsid w:val="003E5B68"/>
    <w:rsid w:val="003E5CE6"/>
    <w:rsid w:val="003E5E4A"/>
    <w:rsid w:val="00401C6F"/>
    <w:rsid w:val="0040615F"/>
    <w:rsid w:val="00415584"/>
    <w:rsid w:val="00417372"/>
    <w:rsid w:val="00453710"/>
    <w:rsid w:val="004679C7"/>
    <w:rsid w:val="00467F85"/>
    <w:rsid w:val="004A2E38"/>
    <w:rsid w:val="004C67A3"/>
    <w:rsid w:val="0052438B"/>
    <w:rsid w:val="00560345"/>
    <w:rsid w:val="00573612"/>
    <w:rsid w:val="005B4E91"/>
    <w:rsid w:val="00606DE5"/>
    <w:rsid w:val="0069123B"/>
    <w:rsid w:val="00695E08"/>
    <w:rsid w:val="006E5126"/>
    <w:rsid w:val="006F43FC"/>
    <w:rsid w:val="00744223"/>
    <w:rsid w:val="0075405F"/>
    <w:rsid w:val="007713E9"/>
    <w:rsid w:val="007C0CF3"/>
    <w:rsid w:val="007C7C4F"/>
    <w:rsid w:val="007F2A0B"/>
    <w:rsid w:val="00822632"/>
    <w:rsid w:val="00834685"/>
    <w:rsid w:val="008370B0"/>
    <w:rsid w:val="00841F28"/>
    <w:rsid w:val="00850B1C"/>
    <w:rsid w:val="00872AA7"/>
    <w:rsid w:val="00874CE6"/>
    <w:rsid w:val="00890B53"/>
    <w:rsid w:val="008C135D"/>
    <w:rsid w:val="008C359D"/>
    <w:rsid w:val="00902A22"/>
    <w:rsid w:val="00926FAB"/>
    <w:rsid w:val="00930829"/>
    <w:rsid w:val="0094125D"/>
    <w:rsid w:val="00984438"/>
    <w:rsid w:val="00996A79"/>
    <w:rsid w:val="009C6C74"/>
    <w:rsid w:val="009D26A9"/>
    <w:rsid w:val="009E495C"/>
    <w:rsid w:val="009E7671"/>
    <w:rsid w:val="009F11E9"/>
    <w:rsid w:val="00A318AA"/>
    <w:rsid w:val="00A35BF5"/>
    <w:rsid w:val="00A42F6E"/>
    <w:rsid w:val="00A70F57"/>
    <w:rsid w:val="00A77143"/>
    <w:rsid w:val="00A921DE"/>
    <w:rsid w:val="00AA35C2"/>
    <w:rsid w:val="00AA5076"/>
    <w:rsid w:val="00AA64E0"/>
    <w:rsid w:val="00AA7955"/>
    <w:rsid w:val="00AD1B1C"/>
    <w:rsid w:val="00AF2F4E"/>
    <w:rsid w:val="00AF7E0B"/>
    <w:rsid w:val="00B03C58"/>
    <w:rsid w:val="00B11AEB"/>
    <w:rsid w:val="00B16269"/>
    <w:rsid w:val="00B217FC"/>
    <w:rsid w:val="00B27BB1"/>
    <w:rsid w:val="00B44997"/>
    <w:rsid w:val="00B80649"/>
    <w:rsid w:val="00B96082"/>
    <w:rsid w:val="00BA5168"/>
    <w:rsid w:val="00C122A7"/>
    <w:rsid w:val="00C72AC5"/>
    <w:rsid w:val="00CA4B7C"/>
    <w:rsid w:val="00CA7F87"/>
    <w:rsid w:val="00CC7518"/>
    <w:rsid w:val="00CD24A1"/>
    <w:rsid w:val="00CD3E82"/>
    <w:rsid w:val="00CD50E8"/>
    <w:rsid w:val="00CD604D"/>
    <w:rsid w:val="00CF3681"/>
    <w:rsid w:val="00D0753A"/>
    <w:rsid w:val="00D0780E"/>
    <w:rsid w:val="00D21D73"/>
    <w:rsid w:val="00D24284"/>
    <w:rsid w:val="00D32E25"/>
    <w:rsid w:val="00D5358D"/>
    <w:rsid w:val="00D73224"/>
    <w:rsid w:val="00D8482F"/>
    <w:rsid w:val="00DA44B7"/>
    <w:rsid w:val="00DD7D14"/>
    <w:rsid w:val="00DE753F"/>
    <w:rsid w:val="00DF788C"/>
    <w:rsid w:val="00E310EB"/>
    <w:rsid w:val="00E47139"/>
    <w:rsid w:val="00E477B2"/>
    <w:rsid w:val="00E94DC7"/>
    <w:rsid w:val="00EC59C0"/>
    <w:rsid w:val="00EC7DB5"/>
    <w:rsid w:val="00ED5E15"/>
    <w:rsid w:val="00ED7517"/>
    <w:rsid w:val="00EE1B78"/>
    <w:rsid w:val="00F07502"/>
    <w:rsid w:val="00F41D18"/>
    <w:rsid w:val="00F73723"/>
    <w:rsid w:val="00FA03F0"/>
    <w:rsid w:val="00FD230E"/>
    <w:rsid w:val="00FD4183"/>
    <w:rsid w:val="00FE18BD"/>
    <w:rsid w:val="00FF796E"/>
    <w:rsid w:val="6ADDB692"/>
    <w:rsid w:val="7FFA7C44"/>
    <w:rsid w:val="BF0F08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7CB600"/>
  <w15:docId w15:val="{92507042-9973-0B42-BAE6-7726885ED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lang w:val="en"/>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pPr>
      <w:ind w:left="1440"/>
    </w:pPr>
    <w:rPr>
      <w:rFonts w:asciiTheme="minorHAnsi" w:eastAsiaTheme="minorHAnsi"/>
      <w:sz w:val="18"/>
      <w:szCs w:val="18"/>
    </w:rPr>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TOC5">
    <w:name w:val="toc 5"/>
    <w:basedOn w:val="a"/>
    <w:next w:val="a"/>
    <w:autoRedefine/>
    <w:uiPriority w:val="39"/>
    <w:unhideWhenUsed/>
    <w:pPr>
      <w:ind w:left="960"/>
    </w:pPr>
    <w:rPr>
      <w:rFonts w:asciiTheme="minorHAnsi" w:eastAsiaTheme="minorHAnsi"/>
      <w:sz w:val="18"/>
      <w:szCs w:val="18"/>
    </w:rPr>
  </w:style>
  <w:style w:type="paragraph" w:styleId="TOC3">
    <w:name w:val="toc 3"/>
    <w:basedOn w:val="a"/>
    <w:next w:val="a"/>
    <w:autoRedefine/>
    <w:uiPriority w:val="39"/>
    <w:unhideWhenUsed/>
    <w:pPr>
      <w:ind w:left="480"/>
    </w:pPr>
    <w:rPr>
      <w:rFonts w:asciiTheme="minorHAnsi" w:eastAsiaTheme="minorHAnsi"/>
      <w:i/>
      <w:iCs/>
      <w:sz w:val="20"/>
      <w:szCs w:val="20"/>
    </w:rPr>
  </w:style>
  <w:style w:type="paragraph" w:styleId="TOC8">
    <w:name w:val="toc 8"/>
    <w:basedOn w:val="a"/>
    <w:next w:val="a"/>
    <w:autoRedefine/>
    <w:uiPriority w:val="39"/>
    <w:unhideWhenUsed/>
    <w:pPr>
      <w:ind w:left="1680"/>
    </w:pPr>
    <w:rPr>
      <w:rFonts w:asciiTheme="minorHAnsi" w:eastAsiaTheme="minorHAnsi"/>
      <w:sz w:val="18"/>
      <w:szCs w:val="18"/>
    </w:rPr>
  </w:style>
  <w:style w:type="paragraph" w:styleId="TOC1">
    <w:name w:val="toc 1"/>
    <w:basedOn w:val="a"/>
    <w:next w:val="a"/>
    <w:autoRedefine/>
    <w:uiPriority w:val="39"/>
    <w:unhideWhenUsed/>
    <w:pPr>
      <w:tabs>
        <w:tab w:val="right" w:leader="dot" w:pos="8958"/>
      </w:tabs>
      <w:spacing w:before="120" w:line="400" w:lineRule="exact"/>
    </w:pPr>
    <w:rPr>
      <w:rFonts w:asciiTheme="minorHAnsi" w:eastAsiaTheme="minorHAnsi"/>
      <w:b/>
      <w:bCs/>
      <w:caps/>
      <w:sz w:val="20"/>
      <w:szCs w:val="20"/>
    </w:rPr>
  </w:style>
  <w:style w:type="paragraph" w:styleId="TOC4">
    <w:name w:val="toc 4"/>
    <w:basedOn w:val="a"/>
    <w:next w:val="a"/>
    <w:autoRedefine/>
    <w:uiPriority w:val="39"/>
    <w:unhideWhenUsed/>
    <w:pPr>
      <w:ind w:left="720"/>
    </w:pPr>
    <w:rPr>
      <w:rFonts w:asciiTheme="minorHAnsi" w:eastAsiaTheme="minorHAnsi"/>
      <w:sz w:val="18"/>
      <w:szCs w:val="18"/>
    </w:rPr>
  </w:style>
  <w:style w:type="paragraph" w:styleId="a4">
    <w:name w:val="Subtitle"/>
    <w:basedOn w:val="a"/>
    <w:next w:val="a"/>
    <w:link w:val="a5"/>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6">
    <w:name w:val="toc 6"/>
    <w:basedOn w:val="a"/>
    <w:next w:val="a"/>
    <w:autoRedefine/>
    <w:uiPriority w:val="39"/>
    <w:unhideWhenUsed/>
    <w:pPr>
      <w:ind w:left="1200"/>
    </w:pPr>
    <w:rPr>
      <w:rFonts w:asciiTheme="minorHAnsi" w:eastAsiaTheme="minorHAnsi"/>
      <w:sz w:val="18"/>
      <w:szCs w:val="18"/>
    </w:rPr>
  </w:style>
  <w:style w:type="paragraph" w:styleId="TOC2">
    <w:name w:val="toc 2"/>
    <w:basedOn w:val="a"/>
    <w:next w:val="a"/>
    <w:autoRedefine/>
    <w:uiPriority w:val="39"/>
    <w:unhideWhenUsed/>
    <w:pPr>
      <w:tabs>
        <w:tab w:val="right" w:leader="dot" w:pos="8948"/>
      </w:tabs>
      <w:spacing w:beforeLines="150" w:before="360" w:afterLines="100" w:after="240"/>
      <w:ind w:left="238"/>
      <w:jc w:val="center"/>
    </w:pPr>
    <w:rPr>
      <w:rFonts w:asciiTheme="minorHAnsi" w:eastAsiaTheme="minorHAnsi"/>
      <w:smallCaps/>
      <w:sz w:val="20"/>
      <w:szCs w:val="20"/>
    </w:rPr>
  </w:style>
  <w:style w:type="paragraph" w:styleId="TOC9">
    <w:name w:val="toc 9"/>
    <w:basedOn w:val="a"/>
    <w:next w:val="a"/>
    <w:autoRedefine/>
    <w:uiPriority w:val="39"/>
    <w:unhideWhenUsed/>
    <w:pPr>
      <w:ind w:left="1920"/>
    </w:pPr>
    <w:rPr>
      <w:rFonts w:asciiTheme="minorHAnsi" w:eastAsiaTheme="minorHAnsi"/>
      <w:sz w:val="18"/>
      <w:szCs w:val="18"/>
    </w:rPr>
  </w:style>
  <w:style w:type="paragraph" w:styleId="a6">
    <w:name w:val="Normal (Web)"/>
    <w:basedOn w:val="a"/>
    <w:uiPriority w:val="99"/>
    <w:unhideWhenUsed/>
    <w:pPr>
      <w:spacing w:before="100" w:beforeAutospacing="1" w:after="100" w:afterAutospacing="1"/>
    </w:pPr>
    <w:rPr>
      <w:lang w:val="en-US"/>
    </w:rPr>
  </w:style>
  <w:style w:type="paragraph" w:styleId="a7">
    <w:name w:val="Title"/>
    <w:basedOn w:val="a"/>
    <w:next w:val="a"/>
    <w:link w:val="a8"/>
    <w:uiPriority w:val="10"/>
    <w:qFormat/>
    <w:pPr>
      <w:spacing w:after="80"/>
      <w:contextualSpacing/>
      <w:jc w:val="center"/>
    </w:pPr>
    <w:rPr>
      <w:rFonts w:asciiTheme="majorHAnsi" w:eastAsiaTheme="majorEastAsia" w:hAnsiTheme="majorHAnsi" w:cstheme="majorBidi"/>
      <w:spacing w:val="-10"/>
      <w:kern w:val="28"/>
      <w:sz w:val="56"/>
      <w:szCs w:val="56"/>
    </w:rPr>
  </w:style>
  <w:style w:type="table" w:styleId="a9">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Pr>
      <w:color w:val="467886" w:themeColor="hyperlink"/>
      <w:u w:val="single"/>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paragraph" w:customStyle="1" w:styleId="ab">
    <w:name w:val="毕业论文二级标题"/>
    <w:basedOn w:val="3"/>
    <w:next w:val="ac"/>
    <w:qFormat/>
    <w:rsid w:val="003E5E4A"/>
    <w:pPr>
      <w:spacing w:beforeLines="50" w:before="50" w:after="0" w:line="400" w:lineRule="exact"/>
    </w:pPr>
    <w:rPr>
      <w:rFonts w:ascii="Times New Roman" w:eastAsia="黑体" w:hAnsi="Times New Roman"/>
      <w:color w:val="000000" w:themeColor="text1"/>
      <w:kern w:val="2"/>
      <w:sz w:val="28"/>
      <w:szCs w:val="24"/>
      <w14:ligatures w14:val="standardContextual"/>
    </w:rPr>
  </w:style>
  <w:style w:type="paragraph" w:customStyle="1" w:styleId="ac">
    <w:name w:val="毕业论文正文"/>
    <w:basedOn w:val="a"/>
    <w:qFormat/>
    <w:rsid w:val="007C0CF3"/>
    <w:pPr>
      <w:spacing w:line="400" w:lineRule="exact"/>
      <w:ind w:firstLineChars="200" w:firstLine="200"/>
      <w:jc w:val="both"/>
    </w:pPr>
    <w:rPr>
      <w:rFonts w:ascii="Times New Roman" w:hAnsi="Times New Roman"/>
      <w:kern w:val="2"/>
      <w14:ligatures w14:val="standardContextual"/>
    </w:rPr>
  </w:style>
  <w:style w:type="paragraph" w:customStyle="1" w:styleId="ad">
    <w:name w:val="毕业论文一级标题"/>
    <w:basedOn w:val="2"/>
    <w:next w:val="ac"/>
    <w:qFormat/>
    <w:rsid w:val="003E5E4A"/>
    <w:pPr>
      <w:spacing w:beforeLines="100" w:before="100" w:afterLines="50" w:after="50" w:line="400" w:lineRule="exact"/>
    </w:pPr>
    <w:rPr>
      <w:rFonts w:ascii="Times New Roman" w:eastAsia="黑体" w:hAnsi="Times New Roman"/>
      <w:color w:val="000000" w:themeColor="text1"/>
      <w:sz w:val="30"/>
    </w:rPr>
  </w:style>
  <w:style w:type="paragraph" w:customStyle="1" w:styleId="ae">
    <w:name w:val="毕业论文三级标题"/>
    <w:basedOn w:val="4"/>
    <w:next w:val="ac"/>
    <w:qFormat/>
    <w:rsid w:val="003E5E4A"/>
    <w:pPr>
      <w:spacing w:line="420" w:lineRule="exact"/>
    </w:pPr>
    <w:rPr>
      <w:rFonts w:ascii="Times New Roman" w:eastAsia="黑体" w:hAnsi="Times New Roman"/>
      <w:color w:val="000000" w:themeColor="text1"/>
      <w:kern w:val="2"/>
      <w:sz w:val="24"/>
      <w:szCs w:val="24"/>
      <w14:ligatures w14:val="standardContextual"/>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cstheme="majorBidi"/>
      <w:color w:val="0F4761" w:themeColor="accent1" w:themeShade="BF"/>
      <w:sz w:val="28"/>
      <w:szCs w:val="28"/>
    </w:rPr>
  </w:style>
  <w:style w:type="character" w:customStyle="1" w:styleId="50">
    <w:name w:val="标题 5 字符"/>
    <w:basedOn w:val="a0"/>
    <w:link w:val="5"/>
    <w:uiPriority w:val="9"/>
    <w:semiHidden/>
    <w:rPr>
      <w:rFonts w:cstheme="majorBidi"/>
      <w:color w:val="0F4761" w:themeColor="accent1" w:themeShade="BF"/>
      <w:sz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8">
    <w:name w:val="标题 字符"/>
    <w:basedOn w:val="a0"/>
    <w:link w:val="a7"/>
    <w:uiPriority w:val="10"/>
    <w:rPr>
      <w:rFonts w:asciiTheme="majorHAnsi" w:eastAsiaTheme="majorEastAsia" w:hAnsiTheme="majorHAnsi" w:cstheme="majorBidi"/>
      <w:spacing w:val="-10"/>
      <w:kern w:val="28"/>
      <w:sz w:val="56"/>
      <w:szCs w:val="56"/>
    </w:rPr>
  </w:style>
  <w:style w:type="character" w:customStyle="1" w:styleId="a5">
    <w:name w:val="副标题 字符"/>
    <w:basedOn w:val="a0"/>
    <w:link w:val="a4"/>
    <w:uiPriority w:val="11"/>
    <w:rPr>
      <w:rFonts w:asciiTheme="majorHAnsi" w:eastAsiaTheme="majorEastAsia" w:hAnsiTheme="majorHAnsi" w:cstheme="majorBidi"/>
      <w:color w:val="595959" w:themeColor="text1" w:themeTint="A6"/>
      <w:spacing w:val="15"/>
      <w:sz w:val="28"/>
      <w:szCs w:val="28"/>
    </w:rPr>
  </w:style>
  <w:style w:type="paragraph" w:styleId="af">
    <w:name w:val="Quote"/>
    <w:basedOn w:val="a"/>
    <w:next w:val="a"/>
    <w:link w:val="af0"/>
    <w:uiPriority w:val="29"/>
    <w:qFormat/>
    <w:pPr>
      <w:spacing w:before="160"/>
      <w:jc w:val="center"/>
    </w:pPr>
    <w:rPr>
      <w:i/>
      <w:iCs/>
      <w:color w:val="404040" w:themeColor="text1" w:themeTint="BF"/>
    </w:rPr>
  </w:style>
  <w:style w:type="character" w:customStyle="1" w:styleId="af0">
    <w:name w:val="引用 字符"/>
    <w:basedOn w:val="a0"/>
    <w:link w:val="af"/>
    <w:uiPriority w:val="29"/>
    <w:rPr>
      <w:i/>
      <w:iCs/>
      <w:color w:val="404040" w:themeColor="text1" w:themeTint="BF"/>
    </w:rPr>
  </w:style>
  <w:style w:type="paragraph" w:styleId="af1">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2">
    <w:name w:val="Intense Quote"/>
    <w:basedOn w:val="a"/>
    <w:next w:val="a"/>
    <w:link w:val="af3"/>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3">
    <w:name w:val="明显引用 字符"/>
    <w:basedOn w:val="a0"/>
    <w:link w:val="af2"/>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paragraph" w:customStyle="1" w:styleId="TOC10">
    <w:name w:val="TOC 标题1"/>
    <w:basedOn w:val="1"/>
    <w:next w:val="a"/>
    <w:uiPriority w:val="39"/>
    <w:unhideWhenUsed/>
    <w:qFormat/>
    <w:pPr>
      <w:spacing w:after="0" w:line="276" w:lineRule="auto"/>
      <w:outlineLvl w:val="9"/>
    </w:pPr>
    <w:rPr>
      <w:b/>
      <w:bCs/>
      <w:sz w:val="28"/>
      <w:szCs w:val="28"/>
      <w:lang w:val="en-US"/>
    </w:rPr>
  </w:style>
  <w:style w:type="character" w:customStyle="1" w:styleId="13">
    <w:name w:val="未处理的提及1"/>
    <w:basedOn w:val="a0"/>
    <w:uiPriority w:val="99"/>
    <w:semiHidden/>
    <w:unhideWhenUsed/>
    <w:rPr>
      <w:color w:val="605E5C"/>
      <w:shd w:val="clear" w:color="auto" w:fill="E1DFDD"/>
    </w:rPr>
  </w:style>
  <w:style w:type="character" w:styleId="af4">
    <w:name w:val="Placeholder Text"/>
    <w:basedOn w:val="a0"/>
    <w:uiPriority w:val="99"/>
    <w:unhideWhenUsed/>
    <w:rPr>
      <w:color w:val="666666"/>
    </w:rPr>
  </w:style>
  <w:style w:type="paragraph" w:customStyle="1" w:styleId="af5">
    <w:name w:val="毕业论文章标题"/>
    <w:basedOn w:val="1"/>
    <w:next w:val="ac"/>
    <w:qFormat/>
    <w:rsid w:val="003E5E4A"/>
    <w:pPr>
      <w:spacing w:beforeLines="200" w:before="200" w:afterLines="100" w:after="100" w:line="400" w:lineRule="exact"/>
      <w:jc w:val="center"/>
      <w:outlineLvl w:val="1"/>
    </w:pPr>
    <w:rPr>
      <w:rFonts w:ascii="Times New Roman" w:eastAsia="黑体" w:hAnsi="Times New Roman"/>
      <w:color w:val="000000" w:themeColor="text1"/>
      <w:kern w:val="2"/>
      <w:sz w:val="32"/>
      <w:szCs w:val="24"/>
      <w14:ligatures w14:val="standardContextual"/>
    </w:rPr>
  </w:style>
  <w:style w:type="paragraph" w:styleId="af6">
    <w:name w:val="annotation text"/>
    <w:basedOn w:val="a"/>
    <w:link w:val="af7"/>
    <w:uiPriority w:val="99"/>
    <w:unhideWhenUsed/>
    <w:qFormat/>
    <w:rsid w:val="002E6077"/>
    <w:pPr>
      <w:widowControl w:val="0"/>
      <w:spacing w:line="400" w:lineRule="exact"/>
      <w:ind w:firstLineChars="200" w:firstLine="200"/>
    </w:pPr>
    <w:rPr>
      <w:rFonts w:ascii="Times New Roman" w:hAnsi="Times New Roman" w:cs="Times New Roman"/>
      <w:kern w:val="2"/>
      <w:lang w:val="en-US"/>
    </w:rPr>
  </w:style>
  <w:style w:type="character" w:customStyle="1" w:styleId="af7">
    <w:name w:val="批注文字 字符"/>
    <w:basedOn w:val="a0"/>
    <w:link w:val="af6"/>
    <w:uiPriority w:val="99"/>
    <w:qFormat/>
    <w:rsid w:val="002E6077"/>
    <w:rPr>
      <w:rFonts w:ascii="Times New Roman" w:eastAsia="宋体" w:hAnsi="Times New Roman" w:cs="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05F96E5-185B-7B4B-84BF-C05E141EF380}">
  <we:reference id="wa200010453" version="1.0.0.1" store="zh-CN" storeType="OMEX"/>
  <we:alternateReferences>
    <we:reference id="WA200010453" version="1.0.0.1" store="" storeType="OMEX"/>
  </we:alternateReferences>
  <we:properties>
    <we:property name="claude.fileId" value="&quot;b9e06bdf-31c5-4521-982a-d0cd3ab7db7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C6F63CC6-E642-AD40-80EF-12EE338AC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31</Pages>
  <Words>11399</Words>
  <Characters>14250</Characters>
  <Application>Microsoft Office Word</Application>
  <DocSecurity>0</DocSecurity>
  <Lines>1425</Lines>
  <Paragraphs>1349</Paragraphs>
  <ScaleCrop>false</ScaleCrop>
  <Company/>
  <LinksUpToDate>false</LinksUpToDate>
  <CharactersWithSpaces>24300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Xingjian Zou</dc:creator>
  <cp:lastModifiedBy>Xingjian Zou</cp:lastModifiedBy>
  <cp:revision>17</cp:revision>
  <dcterms:created xsi:type="dcterms:W3CDTF">2026-05-08T09:41:00Z</dcterms:created>
  <dcterms:modified xsi:type="dcterms:W3CDTF">2026-05-09T11:11:00Z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2052-12.1.24709.24709</vt:lpwstr>
  </property>
  <property fmtid="{D5CDD505-2E9C-101B-9397-08002B2CF9AE}" pid="3" name="ICV">
    <vt:lpwstr>CF2098D92EED655F26BBFC69F8E2F2BF_42</vt:lpwstr>
  </property>
</Properties>
</file>