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Vue引入脚手架目录结构</w:t>
      </w:r>
      <w:r>
        <w:rPr>
          <w:rFonts w:hint="eastAsia"/>
          <w:b/>
          <w:bCs/>
          <w:lang w:val="en-US" w:eastAsia="zh-CN"/>
        </w:rPr>
        <w:t>：</w:t>
      </w:r>
    </w:p>
    <w:p>
      <w:r>
        <w:drawing>
          <wp:inline distT="0" distB="0" distL="114300" distR="114300">
            <wp:extent cx="1188085" cy="160210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</w:t>
      </w:r>
      <w:r>
        <w:drawing>
          <wp:inline distT="0" distB="0" distL="114300" distR="114300">
            <wp:extent cx="1544955" cy="2447925"/>
            <wp:effectExtent l="0" t="0" r="171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图1-结构示例图</w:t>
      </w:r>
    </w:p>
    <w:p>
      <w:pPr>
        <w:ind w:left="0" w:leftChars="0"/>
      </w:pPr>
    </w:p>
    <w:p>
      <w:pPr>
        <w:ind w:left="0" w:leftChars="0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97155</wp:posOffset>
                </wp:positionV>
                <wp:extent cx="12065" cy="273685"/>
                <wp:effectExtent l="158115" t="74295" r="172720" b="139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29130" y="4181475"/>
                          <a:ext cx="12065" cy="27368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1.9pt;margin-top:7.65pt;height:21.55pt;width:0.95pt;z-index:251659264;mso-width-relative:page;mso-height-relative:page;" filled="f" stroked="t" coordsize="21600,21600" o:gfxdata="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hDfAk1gAAAAkBAAAPAAAAAAAAAAEAIAAAACIAAABkcnMvZG93bnJl&#10;di54bWxQSwECFAAUAAAACACHTuJA39v/e/8BAACqAwAADgAAAAAAAAABACAAAAAlAQAAZHJzL2Uy&#10;b0RvYy54bWxQSwUGAAAAAAYABgBZAQAAlgUAAAAA&#10;">
                <v:fill on="f" focussize="0,0"/>
                <v:stroke weight="6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项目名称/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left="0" w:left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目录结够</w:t>
            </w:r>
          </w:p>
        </w:tc>
        <w:tc>
          <w:tcPr>
            <w:tcW w:w="4261" w:type="dxa"/>
          </w:tcPr>
          <w:p>
            <w:pPr>
              <w:ind w:left="0" w:left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left="0" w:left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(唯一不被打包的文件----</w:t>
            </w: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无须编译的文件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完整index.html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（注意：共有的资源不要引入index.html文件-------</w:t>
            </w:r>
            <w:r>
              <w:rPr>
                <w:rFonts w:hint="eastAsia"/>
              </w:rPr>
              <w:t>bootstrap.min.css; jquer</w:t>
            </w:r>
            <w:r>
              <w:t>y-1.11.3.min.js; bootstrap.min.js</w:t>
            </w:r>
            <w:r>
              <w:rPr>
                <w:rFonts w:hint="eastAsia"/>
                <w:lang w:val="en-US" w:eastAsia="zh-CN"/>
              </w:rPr>
              <w:t>等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imgs文件夹</w:t>
            </w:r>
          </w:p>
          <w:p>
            <w:pPr>
              <w:numPr>
                <w:ilvl w:val="0"/>
                <w:numId w:val="2"/>
              </w:numPr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  <w:p>
            <w:pPr>
              <w:numPr>
                <w:ilvl w:val="0"/>
                <w:numId w:val="2"/>
              </w:numPr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第三方已编译+压缩的css+js文件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83185</wp:posOffset>
                      </wp:positionV>
                      <wp:extent cx="0" cy="690880"/>
                      <wp:effectExtent l="53975" t="0" r="60325" b="1397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524635" y="5771515"/>
                                <a:ext cx="0" cy="6908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.05pt;margin-top:6.55pt;height:54.4pt;width:0pt;z-index:251658240;mso-width-relative:page;mso-height-relative:page;" filled="f" stroked="t" coordsize="21600,21600" o:gfxdata="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oq0qRtQAAAAIAQAADwAAAAAAAAABACAAAAAiAAAAZHJzL2Rvd25yZXYueG1sUEsBAhQA&#10;FAAAAAgAh07iQFoPD6j2AQAAnAMAAA4AAAAAAAAAAQAgAAAAIwEAAGRycy9lMm9Eb2MueG1sUEsF&#10;BgAAAAAGAAYAWQEAAIsFAAAAAA==&#10;">
                      <v:fill on="f" focussize="0,0"/>
                      <v:stroke weight="1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 xml:space="preserve">src 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自己编写的代码</w:t>
            </w:r>
            <w:r>
              <w:rPr>
                <w:rFonts w:hint="eastAsia"/>
                <w:vertAlign w:val="baseline"/>
                <w:lang w:val="en-US" w:eastAsia="zh-CN"/>
              </w:rPr>
              <w:t>，该目录下的代码--会被编译、打包、压缩。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left="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/assets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left="0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保存共有的css样式+js脚本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/components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3"/>
              </w:numPr>
              <w:tabs>
                <w:tab w:val="left" w:pos="312"/>
              </w:tabs>
              <w:ind w:left="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全局组件（MyHeader.vue）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312"/>
              </w:tabs>
              <w:ind w:left="0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独立复杂的组件（轮播图）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/views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left="0"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所有的页面组件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example：</w:t>
            </w:r>
            <w:r>
              <w:rPr>
                <w:rFonts w:hint="eastAsia"/>
                <w:lang w:val="en-US" w:eastAsia="zh-CN"/>
              </w:rPr>
              <w:t>i</w:t>
            </w:r>
            <w:r>
              <w:t>ndex.vue</w:t>
            </w:r>
            <w:r>
              <w:rPr>
                <w:rFonts w:hint="eastAsia"/>
                <w:lang w:val="en-US" w:eastAsia="zh-CN"/>
              </w:rPr>
              <w:t xml:space="preserve">  、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d</w:t>
            </w:r>
            <w:r>
              <w:t>etails.vu</w:t>
            </w:r>
            <w:r>
              <w:rPr>
                <w:rFonts w:hint="eastAsia"/>
                <w:lang w:val="en-US" w:eastAsia="zh-CN"/>
              </w:rPr>
              <w:t>e、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left="0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t xml:space="preserve">ogin.vue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 xml:space="preserve">  p</w:t>
            </w:r>
            <w:r>
              <w:t>roducts.vue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/App.vue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left="0" w:leftChars="0"/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主界面</w:t>
            </w:r>
            <w:r>
              <w:rPr>
                <w:rFonts w:hint="eastAsia"/>
                <w:color w:val="FF0000"/>
                <w:lang w:val="en-US" w:eastAsia="zh-CN"/>
              </w:rPr>
              <w:br w:type="textWrapping"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相当与之前的&lt;div id=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&gt;&lt;/div&gt;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left="0" w:leftChars="0"/>
              <w:jc w:val="both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其中，内容由用&lt;router-view/&gt;</w:t>
            </w:r>
            <w:r>
              <w:rPr>
                <w:rFonts w:hint="eastAsia"/>
                <w:color w:val="000000" w:themeColor="text1"/>
                <w:highlight w:val="green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占位</w:t>
            </w:r>
            <w:r>
              <w:rPr>
                <w:rFonts w:hint="eastAsia"/>
                <w:color w:val="000000" w:themeColor="text1"/>
                <w:highlight w:val="green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highlight w:val="green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内容：</w:t>
            </w: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由页面组件组成--替换占位--结果：</w:t>
            </w: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达到同一页面---切换页面的效果</w:t>
            </w: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highlight w:val="yellow"/>
              </w:rPr>
              <w:t>App.vue+main.js=</w:t>
            </w:r>
            <w:r>
              <w:rPr>
                <w:highlight w:val="yellow"/>
              </w:rPr>
              <w:t>以前的一个Vue页面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/main.js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left="0" w:leftChars="0"/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是主界面的new Vue()</w:t>
            </w:r>
            <w:r>
              <w:rPr>
                <w:rFonts w:hint="eastAsia"/>
                <w:color w:val="FF0000"/>
                <w:lang w:val="en-US" w:eastAsia="zh-CN"/>
              </w:rPr>
              <w:br w:type="textWrapping"/>
            </w:r>
            <w:r>
              <w:rPr>
                <w:rFonts w:hint="eastAsia"/>
                <w:color w:val="FF0000"/>
                <w:lang w:val="en-US" w:eastAsia="zh-CN"/>
              </w:rPr>
              <w:t>整个程序的入口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/router.js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left="0" w:leftChars="0"/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路由器+路由字典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/store.js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left="0" w:leftChars="0"/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存储</w:t>
            </w:r>
            <w:r>
              <w:rPr>
                <w:rFonts w:hint="eastAsia"/>
                <w:color w:val="FF0000"/>
                <w:highlight w:val="green"/>
                <w:lang w:val="en-US" w:eastAsia="zh-CN"/>
              </w:rPr>
              <w:t>Vuex组件</w:t>
            </w:r>
            <w:r>
              <w:rPr>
                <w:rFonts w:hint="eastAsia"/>
                <w:color w:val="FF0000"/>
                <w:lang w:val="en-US" w:eastAsia="zh-CN"/>
              </w:rPr>
              <w:t>的数据+方法的文件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vue文件: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  <w:p>
    <w:pPr>
      <w:pStyle w:val="3"/>
    </w:pPr>
  </w:p>
  <w:p>
    <w:pPr>
      <w:pStyle w:val="3"/>
    </w:pPr>
  </w:p>
  <w:p>
    <w:pPr>
      <w:pStyle w:val="3"/>
    </w:pPr>
  </w:p>
  <w:p>
    <w:pPr>
      <w:pStyle w:val="3"/>
    </w:pPr>
  </w:p>
  <w:p>
    <w:pPr>
      <w:pStyle w:val="3"/>
      <w:numPr>
        <w:ilvl w:val="0"/>
        <w:numId w:val="1"/>
      </w:numPr>
      <w:rPr>
        <w:rFonts w:hint="eastAsia"/>
        <w:lang w:val="en-US" w:eastAsia="zh-CN"/>
      </w:rPr>
    </w:pPr>
    <w:r>
      <w:rPr>
        <w:rFonts w:hint="eastAsia"/>
        <w:lang w:val="en-US" w:eastAsia="zh-CN"/>
      </w:rPr>
      <w:t>安装Vue脚手架  npm i -g @vue/cli</w:t>
    </w:r>
  </w:p>
  <w:p>
    <w:pPr>
      <w:pStyle w:val="3"/>
      <w:numPr>
        <w:ilvl w:val="0"/>
        <w:numId w:val="1"/>
      </w:numPr>
      <w:rPr>
        <w:rFonts w:hint="default"/>
        <w:lang w:val="en-US" w:eastAsia="zh-CN"/>
      </w:rPr>
    </w:pPr>
    <w:r>
      <w:rPr>
        <w:rFonts w:hint="eastAsia"/>
        <w:lang w:val="en-US" w:eastAsia="zh-CN"/>
      </w:rPr>
      <w:t>创建Vue脚手架代码 Vue create 文件名</w:t>
    </w:r>
  </w:p>
  <w:p>
    <w:pPr>
      <w:pStyle w:val="3"/>
      <w:widowControl w:val="0"/>
      <w:numPr>
        <w:numId w:val="0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napToGrid w:val="0"/>
      <w:spacing w:line="240" w:lineRule="auto"/>
      <w:jc w:val="both"/>
      <w:outlineLvl w:val="9"/>
      <w:rPr>
        <w:rFonts w:hint="default"/>
        <w:lang w:val="en-US" w:eastAsia="zh-CN"/>
      </w:rPr>
    </w:pPr>
    <w:r>
      <w:rPr>
        <w:rFonts w:hint="eastAsia"/>
        <w:lang w:val="en-US" w:eastAsia="zh-CN"/>
      </w:rPr>
      <w:t xml:space="preserve">  bable -- 将.vue 文件--转换为--js文件</w:t>
    </w:r>
    <w:bookmarkStart w:id="0" w:name="_GoBack"/>
    <w:bookmarkEnd w:id="0"/>
  </w:p>
  <w:p>
    <w:pPr>
      <w:pStyle w:val="3"/>
      <w:widowControl w:val="0"/>
      <w:numPr>
        <w:numId w:val="0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napToGrid w:val="0"/>
      <w:spacing w:line="240" w:lineRule="auto"/>
      <w:jc w:val="both"/>
      <w:outlineLvl w:val="9"/>
      <w:rPr>
        <w:rFonts w:hint="default"/>
        <w:lang w:val="en-US" w:eastAsia="zh-CN"/>
      </w:rPr>
    </w:pPr>
  </w:p>
  <w:p>
    <w:pPr>
      <w:pStyle w:val="3"/>
      <w:widowControl w:val="0"/>
      <w:numPr>
        <w:numId w:val="0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napToGrid w:val="0"/>
      <w:spacing w:line="240" w:lineRule="auto"/>
      <w:jc w:val="both"/>
      <w:outlineLvl w:val="9"/>
      <w:rPr>
        <w:rFonts w:hint="default"/>
        <w:lang w:val="en-US" w:eastAsia="zh-CN"/>
      </w:rPr>
    </w:pPr>
  </w:p>
  <w:p>
    <w:pPr>
      <w:pStyle w:val="3"/>
      <w:widowControl w:val="0"/>
      <w:numPr>
        <w:numId w:val="0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napToGrid w:val="0"/>
      <w:spacing w:line="240" w:lineRule="auto"/>
      <w:jc w:val="both"/>
      <w:outlineLvl w:val="9"/>
      <w:rPr>
        <w:rFonts w:hint="default"/>
        <w:lang w:val="en-US" w:eastAsia="zh-CN"/>
      </w:rPr>
    </w:pPr>
  </w:p>
  <w:p>
    <w:pPr>
      <w:pStyle w:val="3"/>
      <w:widowControl w:val="0"/>
      <w:numPr>
        <w:numId w:val="0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napToGrid w:val="0"/>
      <w:spacing w:line="240" w:lineRule="auto"/>
      <w:jc w:val="both"/>
      <w:outlineLvl w:val="9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CBD41C"/>
    <w:multiLevelType w:val="singleLevel"/>
    <w:tmpl w:val="B9CBD4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30AA79"/>
    <w:multiLevelType w:val="singleLevel"/>
    <w:tmpl w:val="E130AA7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DC5C5E2"/>
    <w:multiLevelType w:val="singleLevel"/>
    <w:tmpl w:val="4DC5C5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01ADF"/>
    <w:rsid w:val="032C1BC3"/>
    <w:rsid w:val="06E16789"/>
    <w:rsid w:val="08F01ADF"/>
    <w:rsid w:val="0DEE6086"/>
    <w:rsid w:val="12C95433"/>
    <w:rsid w:val="1422692C"/>
    <w:rsid w:val="1473656A"/>
    <w:rsid w:val="14A868A7"/>
    <w:rsid w:val="153C0E96"/>
    <w:rsid w:val="1A0A14DE"/>
    <w:rsid w:val="1B014379"/>
    <w:rsid w:val="1C9C44BC"/>
    <w:rsid w:val="1DA819F5"/>
    <w:rsid w:val="1F7A337E"/>
    <w:rsid w:val="1F820AFD"/>
    <w:rsid w:val="1F9C0696"/>
    <w:rsid w:val="25CB7034"/>
    <w:rsid w:val="28AD6A7D"/>
    <w:rsid w:val="29606A81"/>
    <w:rsid w:val="2BD12CD2"/>
    <w:rsid w:val="2CC2793C"/>
    <w:rsid w:val="30566EB1"/>
    <w:rsid w:val="317D02AF"/>
    <w:rsid w:val="35DE0C74"/>
    <w:rsid w:val="372D3A8A"/>
    <w:rsid w:val="39132128"/>
    <w:rsid w:val="3C260AA2"/>
    <w:rsid w:val="3C831E01"/>
    <w:rsid w:val="3DCF4B5F"/>
    <w:rsid w:val="400C3E29"/>
    <w:rsid w:val="44651800"/>
    <w:rsid w:val="46164AE2"/>
    <w:rsid w:val="4D11075A"/>
    <w:rsid w:val="4E8F0E70"/>
    <w:rsid w:val="4F3A1213"/>
    <w:rsid w:val="534B63A5"/>
    <w:rsid w:val="5AE81F78"/>
    <w:rsid w:val="5B827942"/>
    <w:rsid w:val="5C0F6DF4"/>
    <w:rsid w:val="5CCE01BD"/>
    <w:rsid w:val="5D8146E6"/>
    <w:rsid w:val="5DFC0F20"/>
    <w:rsid w:val="5E135E43"/>
    <w:rsid w:val="5E24259B"/>
    <w:rsid w:val="60711827"/>
    <w:rsid w:val="62FA60E4"/>
    <w:rsid w:val="652D33DE"/>
    <w:rsid w:val="69A024D2"/>
    <w:rsid w:val="6AA6228A"/>
    <w:rsid w:val="6D0F3DF1"/>
    <w:rsid w:val="6E615E42"/>
    <w:rsid w:val="702E6FC4"/>
    <w:rsid w:val="71A723F0"/>
    <w:rsid w:val="74586FD7"/>
    <w:rsid w:val="75F44017"/>
    <w:rsid w:val="79A86CFF"/>
    <w:rsid w:val="7CA57106"/>
    <w:rsid w:val="7F05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2019-07-25T04:58:00Z</dcterms:created>
  <dc:creator>web</dc:creator>
  <cp:lastModifiedBy>天净若风</cp:lastModifiedBy>
  <dcterms:modified xsi:type="dcterms:W3CDTF">2019-07-25T16:27:14Z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