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386A" w14:textId="77777777" w:rsidR="002D0E14" w:rsidRPr="003E17A2" w:rsidRDefault="00000000">
      <w:pPr>
        <w:pStyle w:val="1"/>
        <w:rPr>
          <w:rFonts w:ascii="標楷體" w:eastAsia="標楷體" w:hAnsi="標楷體"/>
        </w:rPr>
      </w:pPr>
      <w:r w:rsidRPr="003E17A2">
        <w:rPr>
          <w:rFonts w:ascii="標楷體" w:eastAsia="標楷體" w:hAnsi="標楷體"/>
        </w:rPr>
        <w:t>致　謝</w:t>
      </w:r>
    </w:p>
    <w:p w14:paraId="3CB0EBA9"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專題研究得以完成，首先要感謝指導老師於研究方向、火場工程理論引用範圍，以及成果書寫作邏輯上所給予之持續指正。從最初「以網格化元胞自動機模擬火場逃生」構想的雛型討論，到後續反覆檢視物理公式取材是否符合消防工程文獻慣例，老師之提醒使本研究得以在有限時間內，將原本鬆散的程式雛型收斂為具備明確前提聲明與可驗證邊界之研究成果。</w:t>
      </w:r>
    </w:p>
    <w:p w14:paraId="6A4D923A"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其次要感謝競賽團隊全體成員：羅祺宗、李昱綺、梁倡瑋、林仲凱，在構想報告書、構想簡報與體驗示意模擬三份成果上所投入之心力，使本研究得以在完整之流程再造構想脈絡下，聚焦於物理驗證預測模擬單一子系統之量化分析。團隊於「解決未來問題能力競賽」歷次討論中所形成之問題定義、案例分析與系統架構，構成本研究第一章問題背景與第四章系統分析之重要依據來源。</w:t>
      </w:r>
    </w:p>
    <w:p w14:paraId="3CEFA120"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另感謝中原大學「第四屆解決未來問題能力競賽」主辦單位提供之競賽平台與評選機制，使本研究之構想得以在明確之時程與評選標準下逐步落地為可執行、可量化之模擬原型。亦感謝所有於過程中提供意見回饋之師長與同儕，其提問與質疑，往往是本研究得以持續修正物理假設、釐清模擬邊界之重要契機。</w:t>
      </w:r>
    </w:p>
    <w:p w14:paraId="50050B3C"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最後，感謝家人於研究撰寫期間之體諒與支持。本研究雖僅為競賽脈絡下之教育性原型，然其過程使研究者對火災工程、統計方法與軟體系統分析三者之交互關係，有更深一層之理解，謹以此文獻誌謝忱。</w:t>
      </w:r>
    </w:p>
    <w:p w14:paraId="6C8CE8FE" w14:textId="77777777" w:rsidR="002D0E14" w:rsidRPr="003E17A2" w:rsidRDefault="00000000">
      <w:pPr>
        <w:pStyle w:val="1"/>
        <w:pageBreakBefore/>
        <w:rPr>
          <w:rFonts w:ascii="標楷體" w:eastAsia="標楷體" w:hAnsi="標楷體"/>
        </w:rPr>
      </w:pPr>
      <w:r w:rsidRPr="003E17A2">
        <w:rPr>
          <w:rFonts w:ascii="標楷體" w:eastAsia="標楷體" w:hAnsi="標楷體"/>
        </w:rPr>
        <w:lastRenderedPageBreak/>
        <w:t>摘　要</w:t>
      </w:r>
    </w:p>
    <w:p w14:paraId="74D33D33"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研究以第四屆「解決未來問題能力競賽」中「公共場域火災決策支援系統」構想為前提，聚焦於該構想之物理驗證預測模擬子系統，嘗試以可量化之統計方法，檢驗「決策支援」與「決策支援＋備援主動控制」兩種介入機制，相較於「無系統介入」情境，對火場人員逃生表現之實際影響幅度。研究採網格化（grid-based）元胞自動機（Cellular Automaton）方法建立建築空間、人員移動與火災延燒之模擬環境，並以可用安全疏散時間（ASET）與所需安全疏散時間（RSET）為核心分析框架。</w:t>
      </w:r>
    </w:p>
    <w:p w14:paraId="66DFC124"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模擬器之物理與統計基礎，主要引用</w:t>
      </w:r>
      <w:proofErr w:type="spellEnd"/>
      <w:r w:rsidRPr="003E17A2">
        <w:rPr>
          <w:rFonts w:ascii="標楷體" w:eastAsia="標楷體" w:hAnsi="標楷體"/>
        </w:rPr>
        <w:t xml:space="preserve"> NFPA／SFPE Handbook </w:t>
      </w:r>
      <w:proofErr w:type="spellStart"/>
      <w:r w:rsidRPr="003E17A2">
        <w:rPr>
          <w:rFonts w:ascii="標楷體" w:eastAsia="標楷體" w:hAnsi="標楷體"/>
        </w:rPr>
        <w:t>之熱釋放率成長曲線、ISO</w:t>
      </w:r>
      <w:proofErr w:type="spellEnd"/>
      <w:r w:rsidRPr="003E17A2">
        <w:rPr>
          <w:rFonts w:ascii="標楷體" w:eastAsia="標楷體" w:hAnsi="標楷體"/>
        </w:rPr>
        <w:t xml:space="preserve"> 13571 </w:t>
      </w:r>
      <w:proofErr w:type="spellStart"/>
      <w:r w:rsidRPr="003E17A2">
        <w:rPr>
          <w:rFonts w:ascii="標楷體" w:eastAsia="標楷體" w:hAnsi="標楷體"/>
        </w:rPr>
        <w:t>之四判据危險條件與失能門檻、Purser</w:t>
      </w:r>
      <w:proofErr w:type="spellEnd"/>
      <w:r w:rsidRPr="003E17A2">
        <w:rPr>
          <w:rFonts w:ascii="標楷體" w:eastAsia="標楷體" w:hAnsi="標楷體"/>
        </w:rPr>
        <w:t xml:space="preserve"> </w:t>
      </w:r>
      <w:proofErr w:type="spellStart"/>
      <w:r w:rsidRPr="003E17A2">
        <w:rPr>
          <w:rFonts w:ascii="標楷體" w:eastAsia="標楷體" w:hAnsi="標楷體"/>
        </w:rPr>
        <w:t>之累積劑量（Fractional</w:t>
      </w:r>
      <w:proofErr w:type="spellEnd"/>
      <w:r w:rsidRPr="003E17A2">
        <w:rPr>
          <w:rFonts w:ascii="標楷體" w:eastAsia="標楷體" w:hAnsi="標楷體"/>
        </w:rPr>
        <w:t xml:space="preserve"> Effective </w:t>
      </w:r>
      <w:proofErr w:type="spellStart"/>
      <w:r w:rsidRPr="003E17A2">
        <w:rPr>
          <w:rFonts w:ascii="標楷體" w:eastAsia="標楷體" w:hAnsi="標楷體"/>
        </w:rPr>
        <w:t>Dose）模型、Weibull</w:t>
      </w:r>
      <w:proofErr w:type="spellEnd"/>
      <w:r w:rsidRPr="003E17A2">
        <w:rPr>
          <w:rFonts w:ascii="標楷體" w:eastAsia="標楷體" w:hAnsi="標楷體"/>
        </w:rPr>
        <w:t xml:space="preserve"> </w:t>
      </w:r>
      <w:proofErr w:type="spellStart"/>
      <w:r w:rsidRPr="003E17A2">
        <w:rPr>
          <w:rFonts w:ascii="標楷體" w:eastAsia="標楷體" w:hAnsi="標楷體"/>
        </w:rPr>
        <w:t>存活分布、孔口流量公式（Orifice</w:t>
      </w:r>
      <w:proofErr w:type="spellEnd"/>
      <w:r w:rsidRPr="003E17A2">
        <w:rPr>
          <w:rFonts w:ascii="標楷體" w:eastAsia="標楷體" w:hAnsi="標楷體"/>
        </w:rPr>
        <w:t xml:space="preserve"> Flow Equation）、Fick's Second Law </w:t>
      </w:r>
      <w:proofErr w:type="spellStart"/>
      <w:r w:rsidRPr="003E17A2">
        <w:rPr>
          <w:rFonts w:ascii="標楷體" w:eastAsia="標楷體" w:hAnsi="標楷體"/>
        </w:rPr>
        <w:t>有限差分擴散方程，以及</w:t>
      </w:r>
      <w:proofErr w:type="spellEnd"/>
      <w:r w:rsidRPr="003E17A2">
        <w:rPr>
          <w:rFonts w:ascii="標楷體" w:eastAsia="標楷體" w:hAnsi="標楷體"/>
        </w:rPr>
        <w:t xml:space="preserve"> </w:t>
      </w:r>
      <w:proofErr w:type="spellStart"/>
      <w:r w:rsidRPr="003E17A2">
        <w:rPr>
          <w:rFonts w:ascii="標楷體" w:eastAsia="標楷體" w:hAnsi="標楷體"/>
        </w:rPr>
        <w:t>Fruin／Predtechenskii-Milinskii</w:t>
      </w:r>
      <w:proofErr w:type="spellEnd"/>
      <w:r w:rsidRPr="003E17A2">
        <w:rPr>
          <w:rFonts w:ascii="標楷體" w:eastAsia="標楷體" w:hAnsi="標楷體"/>
        </w:rPr>
        <w:t xml:space="preserve"> 人流密度—步行速度基本圖等消防工程與火災動力學文獻中之經典公式與量級。研究同時明確區分「具文獻直接對應之算式與量級」與「純屬工程假設之系統參數」兩類數值，以避免模擬結果之過度宣稱。</w:t>
      </w:r>
    </w:p>
    <w:p w14:paraId="31016669"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研究之方法論分為四個部分：第一，於文獻探討中檢視網格化模擬方法之理論前提、優勢與侷限；第二，於可行性分析中檢驗本模擬之科學與邏輯前提是否成立、其結果是否具備可驗證性，以及其成果是否具有參考價值；第三，於系統分析中，以程式碼、文件與四十場情境之量化報表為依據，系統性拆解模擬器之元資料夾結構、程式執行流程、類別架構與輸出指標；第四，於結論中彙整量化模擬結果，包括不同建築類型（低矮建築與集合式公寓）、不同起火原因（意外、電器走火、化學、縱火）下，三種介入模式之逃生率、死亡率、系統嚴重失誤機率等關鍵指標之比較。</w:t>
      </w:r>
    </w:p>
    <w:p w14:paraId="1DC285F1"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量化結果顯示：建築垂直疏散距離為影響基礎逃生率之主要因素，而決策支援系統之介入，在基礎逃生率偏低之高樓層建築情境中，所帶來之邊際提升幅度相對更大；備援主動控制機制之邊際效益則因起火原因與樣本規模而呈現不穩定之波動。研究亦明確指出，本模擬之統計結果為特定簡化假設下之相對比較數據，非真實建築消防安全之法規依據，亦不宣稱可直接推論真實火場之存活率。本研究之貢獻在於提供一套具明確理論依據、亦誠實揭露其侷限之量化驗證方法，作為前述決策支援系統構想是否具備真實可行性之初步參考，並為後續消防專業驗證、真人受試研究與建築資料校</w:t>
      </w:r>
      <w:r w:rsidRPr="003E17A2">
        <w:rPr>
          <w:rFonts w:ascii="標楷體" w:eastAsia="標楷體" w:hAnsi="標楷體"/>
        </w:rPr>
        <w:lastRenderedPageBreak/>
        <w:t>正指出具體方向。</w:t>
      </w:r>
    </w:p>
    <w:p w14:paraId="4A992014" w14:textId="77777777" w:rsidR="002D0E14" w:rsidRPr="003E17A2" w:rsidRDefault="00000000">
      <w:pPr>
        <w:spacing w:after="160" w:line="360" w:lineRule="auto"/>
        <w:jc w:val="both"/>
        <w:rPr>
          <w:rFonts w:ascii="標楷體" w:eastAsia="標楷體" w:hAnsi="標楷體"/>
        </w:rPr>
      </w:pPr>
      <w:proofErr w:type="spellStart"/>
      <w:r w:rsidRPr="003E17A2">
        <w:rPr>
          <w:rFonts w:ascii="標楷體" w:eastAsia="標楷體" w:hAnsi="標楷體"/>
        </w:rPr>
        <w:t>關鍵詞：網格化模擬、元胞自動機、火場逃生、ASET／RSET、Purser</w:t>
      </w:r>
      <w:proofErr w:type="spellEnd"/>
      <w:r w:rsidRPr="003E17A2">
        <w:rPr>
          <w:rFonts w:ascii="標楷體" w:eastAsia="標楷體" w:hAnsi="標楷體"/>
        </w:rPr>
        <w:t xml:space="preserve"> </w:t>
      </w:r>
      <w:proofErr w:type="spellStart"/>
      <w:r w:rsidRPr="003E17A2">
        <w:rPr>
          <w:rFonts w:ascii="標楷體" w:eastAsia="標楷體" w:hAnsi="標楷體"/>
        </w:rPr>
        <w:t>劑量模型、決策支援系統、量化驗證</w:t>
      </w:r>
      <w:proofErr w:type="spellEnd"/>
      <w:r w:rsidRPr="003E17A2">
        <w:rPr>
          <w:rFonts w:ascii="標楷體" w:eastAsia="標楷體" w:hAnsi="標楷體"/>
        </w:rPr>
        <w:t>。</w:t>
      </w:r>
    </w:p>
    <w:p w14:paraId="6F707B93" w14:textId="77777777" w:rsidR="002D0E14" w:rsidRPr="003E17A2" w:rsidRDefault="00000000">
      <w:pPr>
        <w:pStyle w:val="1"/>
        <w:pageBreakBefore/>
        <w:rPr>
          <w:rFonts w:ascii="標楷體" w:eastAsia="標楷體" w:hAnsi="標楷體"/>
        </w:rPr>
      </w:pPr>
      <w:r w:rsidRPr="003E17A2">
        <w:rPr>
          <w:rFonts w:ascii="標楷體" w:eastAsia="標楷體" w:hAnsi="標楷體"/>
        </w:rPr>
        <w:lastRenderedPageBreak/>
        <w:t>Abstract</w:t>
      </w:r>
    </w:p>
    <w:p w14:paraId="4941AE36"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This study takes as its premise the “Public-Venue Fire Decision Support System” concept proposed for the Fourth “Future Problem-Solving Competition,” and focuses on the physics-based verification and prediction simulation subsystem of that concept. Using a quantifiable statistical method, this study examines the actual magnitude of the effect that two intervention mechanisms</w:t>
      </w:r>
      <w:proofErr w:type="gramStart"/>
      <w:r w:rsidRPr="003E17A2">
        <w:rPr>
          <w:rFonts w:ascii="標楷體" w:eastAsia="標楷體" w:hAnsi="標楷體"/>
        </w:rPr>
        <w:t>—“</w:t>
      </w:r>
      <w:proofErr w:type="gramEnd"/>
      <w:r w:rsidRPr="003E17A2">
        <w:rPr>
          <w:rFonts w:ascii="標楷體" w:eastAsia="標楷體" w:hAnsi="標楷體"/>
        </w:rPr>
        <w:t>decision support” and “decision support plus backup active control”—have on occupant evacuation performance during a fire, relative to a “no system intervention” baseline condition. The simulation adopts a grid-based Cellular Automaton approach to construct the building space, occupant movement, and fire-spread environment, and takes Available Safety Egress Time (ASET) and Required Safety Egress Time (RSET) as its core analytical framework.</w:t>
      </w:r>
    </w:p>
    <w:p w14:paraId="77C53889"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The physical and statistical basis of the simulator draws primarily on the heat release rate growth curves of the NFPA/SFPE Handbook, the four-criterion untenability conditions and incapacitation threshold of ISO 13571, Purser’s Fractional Effective Dose (FED) cumulative-dose model, the Weibull survival distribution, the orifice flow equation, the finite-difference formulation of Fick’s Second Law for smoke diffusion, and the Fruin/</w:t>
      </w:r>
      <w:proofErr w:type="spellStart"/>
      <w:r w:rsidRPr="003E17A2">
        <w:rPr>
          <w:rFonts w:ascii="標楷體" w:eastAsia="標楷體" w:hAnsi="標楷體"/>
        </w:rPr>
        <w:t>Predtechenskii-Milinskii</w:t>
      </w:r>
      <w:proofErr w:type="spellEnd"/>
      <w:r w:rsidRPr="003E17A2">
        <w:rPr>
          <w:rFonts w:ascii="標楷體" w:eastAsia="標楷體" w:hAnsi="標楷體"/>
        </w:rPr>
        <w:t xml:space="preserve"> walking-speed versus crowd-density fundamental diagrams drawn from the fire engineering and fire dynamics literature. The study explicitly distinguishes between formulas and magnitudes directly traceable to the literature and parameters that are purely engineering assumptions, in order to avoid overstating the significance of the simulation results.</w:t>
      </w:r>
    </w:p>
    <w:p w14:paraId="6416E7B0"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The methodology of this study comprises four parts. First, a literature review examines the theoretical premises, advantages, and limitations of the grid-based simulation method. Second, a feasibility analysis examines whether </w:t>
      </w:r>
      <w:r w:rsidRPr="003E17A2">
        <w:rPr>
          <w:rFonts w:ascii="標楷體" w:eastAsia="標楷體" w:hAnsi="標楷體"/>
        </w:rPr>
        <w:lastRenderedPageBreak/>
        <w:t>the scientific and logical premises of the simulation hold, whether its results are verifiable, and whether its outcomes carry genuine reference value. Third, a system analysis systematically decomposes the simulator’s meta-folder structure, program execution flow, class architecture, and output indicators, based on the source code, project documentation, and quantitative reports from forty simulated scenarios. Fourth, the conclusion synthesizes the quantitative simulation results, comparing key indicators such as escape rate, death rate, and system critical-mistake rate across the three intervention modes, under different building types (low-rise buildings and mid-rise apartment buildings) and different fire causes (accidental, electrical, chemical, and arson).</w:t>
      </w:r>
    </w:p>
    <w:p w14:paraId="5DC337F5"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The quantitative results indicate that a building’s vertical egress distance is the dominant factor governing the baseline escape rate, and that the marginal improvement contributed by the decision support system tends to be relatively larger in taller-building scenarios where the baseline escape rate is low. The marginal benefit of the backup active-control mechanism, by contrast, fluctuates depending on fire cause and sample size, and is not consistently additive. This study explicitly states that its statistical results are relative comparison data produced under specific simplifying assumptions, do not constitute a regulatory basis for real building fire safety, and do not claim to directly infer real-world fire survival rates. The contribution of this study lies in providing a quantitative verification method that is both grounded in an explicit theoretical basis and transparent about its own limitations, serving as a preliminary reference for assessing the practical feasibility of the aforementioned decision support system concept, and pointing toward concrete directions for subsequent fire-engineering validation, human-subject research, and building-data calibration.</w:t>
      </w:r>
    </w:p>
    <w:p w14:paraId="254696DC" w14:textId="77777777" w:rsidR="002D0E14" w:rsidRPr="003E17A2" w:rsidRDefault="00000000">
      <w:pPr>
        <w:spacing w:after="160" w:line="360" w:lineRule="auto"/>
        <w:jc w:val="both"/>
        <w:rPr>
          <w:rFonts w:ascii="標楷體" w:eastAsia="標楷體" w:hAnsi="標楷體"/>
        </w:rPr>
      </w:pPr>
      <w:r w:rsidRPr="003E17A2">
        <w:rPr>
          <w:rFonts w:ascii="標楷體" w:eastAsia="標楷體" w:hAnsi="標楷體"/>
        </w:rPr>
        <w:t xml:space="preserve">Keywords: grid-based simulation, cellular automaton, fire evacuation, </w:t>
      </w:r>
      <w:r w:rsidRPr="003E17A2">
        <w:rPr>
          <w:rFonts w:ascii="標楷體" w:eastAsia="標楷體" w:hAnsi="標楷體"/>
        </w:rPr>
        <w:lastRenderedPageBreak/>
        <w:t>ASET/RSET, Purser dose model, decision support system, quantitative verification.</w:t>
      </w:r>
    </w:p>
    <w:p w14:paraId="20163C22" w14:textId="77777777" w:rsidR="002D0E14" w:rsidRPr="003E17A2" w:rsidRDefault="00000000">
      <w:pPr>
        <w:pStyle w:val="1"/>
        <w:rPr>
          <w:rFonts w:ascii="標楷體" w:eastAsia="標楷體" w:hAnsi="標楷體"/>
        </w:rPr>
      </w:pPr>
      <w:r w:rsidRPr="003E17A2">
        <w:rPr>
          <w:rFonts w:ascii="標楷體" w:eastAsia="標楷體" w:hAnsi="標楷體"/>
        </w:rPr>
        <w:t>目　錄</w:t>
      </w:r>
    </w:p>
    <w:p w14:paraId="100D9F66" w14:textId="77777777" w:rsidR="002D0E14" w:rsidRPr="003E17A2" w:rsidRDefault="00000000">
      <w:pPr>
        <w:tabs>
          <w:tab w:val="right" w:leader="dot" w:pos="9350"/>
        </w:tabs>
        <w:spacing w:before="160" w:after="160"/>
        <w:rPr>
          <w:rFonts w:ascii="標楷體" w:eastAsia="標楷體" w:hAnsi="標楷體"/>
        </w:rPr>
      </w:pPr>
      <w:proofErr w:type="spellStart"/>
      <w:r w:rsidRPr="003E17A2">
        <w:rPr>
          <w:rFonts w:ascii="標楷體" w:eastAsia="標楷體" w:hAnsi="標楷體"/>
          <w:b/>
          <w:bCs/>
          <w:sz w:val="26"/>
          <w:szCs w:val="26"/>
        </w:rPr>
        <w:t>第一章</w:t>
      </w:r>
      <w:proofErr w:type="spellEnd"/>
      <w:r w:rsidRPr="003E17A2">
        <w:rPr>
          <w:rFonts w:ascii="標楷體" w:eastAsia="標楷體" w:hAnsi="標楷體"/>
          <w:b/>
          <w:bCs/>
          <w:sz w:val="26"/>
          <w:szCs w:val="26"/>
        </w:rPr>
        <w:t xml:space="preserve">　</w:t>
      </w:r>
      <w:proofErr w:type="spellStart"/>
      <w:r w:rsidRPr="003E17A2">
        <w:rPr>
          <w:rFonts w:ascii="標楷體" w:eastAsia="標楷體" w:hAnsi="標楷體"/>
          <w:b/>
          <w:bCs/>
          <w:sz w:val="26"/>
          <w:szCs w:val="26"/>
        </w:rPr>
        <w:t>緒論</w:t>
      </w:r>
      <w:proofErr w:type="spellEnd"/>
      <w:r w:rsidRPr="003E17A2">
        <w:rPr>
          <w:rFonts w:ascii="標楷體" w:eastAsia="標楷體" w:hAnsi="標楷體"/>
          <w:b/>
          <w:bCs/>
          <w:sz w:val="26"/>
          <w:szCs w:val="26"/>
        </w:rPr>
        <w:tab/>
        <w:t>1</w:t>
      </w:r>
    </w:p>
    <w:p w14:paraId="75A8C49F"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1.1　</w:t>
      </w:r>
      <w:proofErr w:type="spellStart"/>
      <w:r w:rsidRPr="003E17A2">
        <w:rPr>
          <w:rFonts w:ascii="標楷體" w:eastAsia="標楷體" w:hAnsi="標楷體"/>
        </w:rPr>
        <w:t>研究背景與動機</w:t>
      </w:r>
      <w:proofErr w:type="spellEnd"/>
      <w:r w:rsidRPr="003E17A2">
        <w:rPr>
          <w:rFonts w:ascii="標楷體" w:eastAsia="標楷體" w:hAnsi="標楷體"/>
        </w:rPr>
        <w:tab/>
        <w:t>1</w:t>
      </w:r>
    </w:p>
    <w:p w14:paraId="668C0D48"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1.2　</w:t>
      </w:r>
      <w:proofErr w:type="spellStart"/>
      <w:r w:rsidRPr="003E17A2">
        <w:rPr>
          <w:rFonts w:ascii="標楷體" w:eastAsia="標楷體" w:hAnsi="標楷體"/>
        </w:rPr>
        <w:t>所關注的問題</w:t>
      </w:r>
      <w:proofErr w:type="spellEnd"/>
      <w:r w:rsidRPr="003E17A2">
        <w:rPr>
          <w:rFonts w:ascii="標楷體" w:eastAsia="標楷體" w:hAnsi="標楷體"/>
        </w:rPr>
        <w:tab/>
        <w:t>2</w:t>
      </w:r>
    </w:p>
    <w:p w14:paraId="25E6775F"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1.3　</w:t>
      </w:r>
      <w:proofErr w:type="spellStart"/>
      <w:r w:rsidRPr="003E17A2">
        <w:rPr>
          <w:rFonts w:ascii="標楷體" w:eastAsia="標楷體" w:hAnsi="標楷體"/>
        </w:rPr>
        <w:t>基本名詞定義</w:t>
      </w:r>
      <w:proofErr w:type="spellEnd"/>
      <w:r w:rsidRPr="003E17A2">
        <w:rPr>
          <w:rFonts w:ascii="標楷體" w:eastAsia="標楷體" w:hAnsi="標楷體"/>
        </w:rPr>
        <w:tab/>
        <w:t>2</w:t>
      </w:r>
    </w:p>
    <w:p w14:paraId="157E46CA"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1.4　</w:t>
      </w:r>
      <w:proofErr w:type="spellStart"/>
      <w:r w:rsidRPr="003E17A2">
        <w:rPr>
          <w:rFonts w:ascii="標楷體" w:eastAsia="標楷體" w:hAnsi="標楷體"/>
        </w:rPr>
        <w:t>重要聲明</w:t>
      </w:r>
      <w:proofErr w:type="spellEnd"/>
      <w:r w:rsidRPr="003E17A2">
        <w:rPr>
          <w:rFonts w:ascii="標楷體" w:eastAsia="標楷體" w:hAnsi="標楷體"/>
        </w:rPr>
        <w:tab/>
        <w:t>3</w:t>
      </w:r>
    </w:p>
    <w:p w14:paraId="286E6D9B" w14:textId="77777777" w:rsidR="002D0E14" w:rsidRPr="003E17A2" w:rsidRDefault="00000000">
      <w:pPr>
        <w:tabs>
          <w:tab w:val="right" w:leader="dot" w:pos="9350"/>
        </w:tabs>
        <w:spacing w:before="160" w:after="160"/>
        <w:rPr>
          <w:rFonts w:ascii="標楷體" w:eastAsia="標楷體" w:hAnsi="標楷體"/>
        </w:rPr>
      </w:pPr>
      <w:proofErr w:type="spellStart"/>
      <w:r w:rsidRPr="003E17A2">
        <w:rPr>
          <w:rFonts w:ascii="標楷體" w:eastAsia="標楷體" w:hAnsi="標楷體"/>
          <w:b/>
          <w:bCs/>
          <w:sz w:val="26"/>
          <w:szCs w:val="26"/>
        </w:rPr>
        <w:t>第二章</w:t>
      </w:r>
      <w:proofErr w:type="spellEnd"/>
      <w:r w:rsidRPr="003E17A2">
        <w:rPr>
          <w:rFonts w:ascii="標楷體" w:eastAsia="標楷體" w:hAnsi="標楷體"/>
          <w:b/>
          <w:bCs/>
          <w:sz w:val="26"/>
          <w:szCs w:val="26"/>
        </w:rPr>
        <w:t xml:space="preserve">　</w:t>
      </w:r>
      <w:proofErr w:type="spellStart"/>
      <w:r w:rsidRPr="003E17A2">
        <w:rPr>
          <w:rFonts w:ascii="標楷體" w:eastAsia="標楷體" w:hAnsi="標楷體"/>
          <w:b/>
          <w:bCs/>
          <w:sz w:val="26"/>
          <w:szCs w:val="26"/>
        </w:rPr>
        <w:t>概念與文獻探討</w:t>
      </w:r>
      <w:proofErr w:type="spellEnd"/>
      <w:r w:rsidRPr="003E17A2">
        <w:rPr>
          <w:rFonts w:ascii="標楷體" w:eastAsia="標楷體" w:hAnsi="標楷體"/>
          <w:b/>
          <w:bCs/>
          <w:sz w:val="26"/>
          <w:szCs w:val="26"/>
        </w:rPr>
        <w:tab/>
        <w:t>4</w:t>
      </w:r>
    </w:p>
    <w:p w14:paraId="2F6F8BF5"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2.1　</w:t>
      </w:r>
      <w:proofErr w:type="spellStart"/>
      <w:r w:rsidRPr="003E17A2">
        <w:rPr>
          <w:rFonts w:ascii="標楷體" w:eastAsia="標楷體" w:hAnsi="標楷體"/>
        </w:rPr>
        <w:t>網格化模擬方法之基本概念</w:t>
      </w:r>
      <w:proofErr w:type="spellEnd"/>
      <w:r w:rsidRPr="003E17A2">
        <w:rPr>
          <w:rFonts w:ascii="標楷體" w:eastAsia="標楷體" w:hAnsi="標楷體"/>
        </w:rPr>
        <w:tab/>
        <w:t>4</w:t>
      </w:r>
    </w:p>
    <w:p w14:paraId="6558F5C4"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2.2　</w:t>
      </w:r>
      <w:proofErr w:type="spellStart"/>
      <w:r w:rsidRPr="003E17A2">
        <w:rPr>
          <w:rFonts w:ascii="標楷體" w:eastAsia="標楷體" w:hAnsi="標楷體"/>
        </w:rPr>
        <w:t>網格化方法之優勢與侷限分析</w:t>
      </w:r>
      <w:proofErr w:type="spellEnd"/>
      <w:r w:rsidRPr="003E17A2">
        <w:rPr>
          <w:rFonts w:ascii="標楷體" w:eastAsia="標楷體" w:hAnsi="標楷體"/>
        </w:rPr>
        <w:tab/>
        <w:t>4</w:t>
      </w:r>
    </w:p>
    <w:p w14:paraId="20D95026"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2.3　</w:t>
      </w:r>
      <w:proofErr w:type="spellStart"/>
      <w:r w:rsidRPr="003E17A2">
        <w:rPr>
          <w:rFonts w:ascii="標楷體" w:eastAsia="標楷體" w:hAnsi="標楷體"/>
        </w:rPr>
        <w:t>本模擬所需之前提理論</w:t>
      </w:r>
      <w:proofErr w:type="spellEnd"/>
      <w:r w:rsidRPr="003E17A2">
        <w:rPr>
          <w:rFonts w:ascii="標楷體" w:eastAsia="標楷體" w:hAnsi="標楷體"/>
        </w:rPr>
        <w:tab/>
        <w:t>6</w:t>
      </w:r>
    </w:p>
    <w:p w14:paraId="4BE48384" w14:textId="77777777" w:rsidR="002D0E14" w:rsidRPr="003E17A2" w:rsidRDefault="00000000">
      <w:pPr>
        <w:tabs>
          <w:tab w:val="right" w:leader="dot" w:pos="9350"/>
        </w:tabs>
        <w:spacing w:before="160" w:after="160"/>
        <w:rPr>
          <w:rFonts w:ascii="標楷體" w:eastAsia="標楷體" w:hAnsi="標楷體"/>
        </w:rPr>
      </w:pPr>
      <w:proofErr w:type="spellStart"/>
      <w:r w:rsidRPr="003E17A2">
        <w:rPr>
          <w:rFonts w:ascii="標楷體" w:eastAsia="標楷體" w:hAnsi="標楷體"/>
          <w:b/>
          <w:bCs/>
          <w:sz w:val="26"/>
          <w:szCs w:val="26"/>
        </w:rPr>
        <w:t>第三章</w:t>
      </w:r>
      <w:proofErr w:type="spellEnd"/>
      <w:r w:rsidRPr="003E17A2">
        <w:rPr>
          <w:rFonts w:ascii="標楷體" w:eastAsia="標楷體" w:hAnsi="標楷體"/>
          <w:b/>
          <w:bCs/>
          <w:sz w:val="26"/>
          <w:szCs w:val="26"/>
        </w:rPr>
        <w:t xml:space="preserve">　</w:t>
      </w:r>
      <w:proofErr w:type="spellStart"/>
      <w:r w:rsidRPr="003E17A2">
        <w:rPr>
          <w:rFonts w:ascii="標楷體" w:eastAsia="標楷體" w:hAnsi="標楷體"/>
          <w:b/>
          <w:bCs/>
          <w:sz w:val="26"/>
          <w:szCs w:val="26"/>
        </w:rPr>
        <w:t>可行性分析</w:t>
      </w:r>
      <w:proofErr w:type="spellEnd"/>
      <w:r w:rsidRPr="003E17A2">
        <w:rPr>
          <w:rFonts w:ascii="標楷體" w:eastAsia="標楷體" w:hAnsi="標楷體"/>
          <w:b/>
          <w:bCs/>
          <w:sz w:val="26"/>
          <w:szCs w:val="26"/>
        </w:rPr>
        <w:tab/>
        <w:t>8</w:t>
      </w:r>
    </w:p>
    <w:p w14:paraId="18964442"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3.1　</w:t>
      </w:r>
      <w:proofErr w:type="spellStart"/>
      <w:r w:rsidRPr="003E17A2">
        <w:rPr>
          <w:rFonts w:ascii="標楷體" w:eastAsia="標楷體" w:hAnsi="標楷體"/>
        </w:rPr>
        <w:t>科學與邏輯前提之檢驗</w:t>
      </w:r>
      <w:proofErr w:type="spellEnd"/>
      <w:r w:rsidRPr="003E17A2">
        <w:rPr>
          <w:rFonts w:ascii="標楷體" w:eastAsia="標楷體" w:hAnsi="標楷體"/>
        </w:rPr>
        <w:tab/>
        <w:t>8</w:t>
      </w:r>
    </w:p>
    <w:p w14:paraId="57C561A1"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3.2　</w:t>
      </w:r>
      <w:proofErr w:type="spellStart"/>
      <w:r w:rsidRPr="003E17A2">
        <w:rPr>
          <w:rFonts w:ascii="標楷體" w:eastAsia="標楷體" w:hAnsi="標楷體"/>
        </w:rPr>
        <w:t>模擬結果之可驗證性</w:t>
      </w:r>
      <w:proofErr w:type="spellEnd"/>
      <w:r w:rsidRPr="003E17A2">
        <w:rPr>
          <w:rFonts w:ascii="標楷體" w:eastAsia="標楷體" w:hAnsi="標楷體"/>
        </w:rPr>
        <w:tab/>
        <w:t>9</w:t>
      </w:r>
    </w:p>
    <w:p w14:paraId="4A3F4C88"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3.3　</w:t>
      </w:r>
      <w:proofErr w:type="spellStart"/>
      <w:r w:rsidRPr="003E17A2">
        <w:rPr>
          <w:rFonts w:ascii="標楷體" w:eastAsia="標楷體" w:hAnsi="標楷體"/>
        </w:rPr>
        <w:t>理論參考價值之評估</w:t>
      </w:r>
      <w:proofErr w:type="spellEnd"/>
      <w:r w:rsidRPr="003E17A2">
        <w:rPr>
          <w:rFonts w:ascii="標楷體" w:eastAsia="標楷體" w:hAnsi="標楷體"/>
        </w:rPr>
        <w:tab/>
        <w:t>10</w:t>
      </w:r>
    </w:p>
    <w:p w14:paraId="7967DE96" w14:textId="77777777" w:rsidR="002D0E14" w:rsidRPr="003E17A2" w:rsidRDefault="00000000">
      <w:pPr>
        <w:tabs>
          <w:tab w:val="right" w:leader="dot" w:pos="9350"/>
        </w:tabs>
        <w:spacing w:before="160" w:after="160"/>
        <w:rPr>
          <w:rFonts w:ascii="標楷體" w:eastAsia="標楷體" w:hAnsi="標楷體"/>
        </w:rPr>
      </w:pPr>
      <w:proofErr w:type="spellStart"/>
      <w:r w:rsidRPr="003E17A2">
        <w:rPr>
          <w:rFonts w:ascii="標楷體" w:eastAsia="標楷體" w:hAnsi="標楷體"/>
          <w:b/>
          <w:bCs/>
          <w:sz w:val="26"/>
          <w:szCs w:val="26"/>
        </w:rPr>
        <w:t>第四章</w:t>
      </w:r>
      <w:proofErr w:type="spellEnd"/>
      <w:r w:rsidRPr="003E17A2">
        <w:rPr>
          <w:rFonts w:ascii="標楷體" w:eastAsia="標楷體" w:hAnsi="標楷體"/>
          <w:b/>
          <w:bCs/>
          <w:sz w:val="26"/>
          <w:szCs w:val="26"/>
        </w:rPr>
        <w:t xml:space="preserve">　</w:t>
      </w:r>
      <w:proofErr w:type="spellStart"/>
      <w:r w:rsidRPr="003E17A2">
        <w:rPr>
          <w:rFonts w:ascii="標楷體" w:eastAsia="標楷體" w:hAnsi="標楷體"/>
          <w:b/>
          <w:bCs/>
          <w:sz w:val="26"/>
          <w:szCs w:val="26"/>
        </w:rPr>
        <w:t>系統分析</w:t>
      </w:r>
      <w:proofErr w:type="spellEnd"/>
      <w:r w:rsidRPr="003E17A2">
        <w:rPr>
          <w:rFonts w:ascii="標楷體" w:eastAsia="標楷體" w:hAnsi="標楷體"/>
          <w:b/>
          <w:bCs/>
          <w:sz w:val="26"/>
          <w:szCs w:val="26"/>
        </w:rPr>
        <w:tab/>
        <w:t>12</w:t>
      </w:r>
    </w:p>
    <w:p w14:paraId="20D310E3"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4.1　</w:t>
      </w:r>
      <w:proofErr w:type="spellStart"/>
      <w:r w:rsidRPr="003E17A2">
        <w:rPr>
          <w:rFonts w:ascii="標楷體" w:eastAsia="標楷體" w:hAnsi="標楷體"/>
        </w:rPr>
        <w:t>系統功能定位</w:t>
      </w:r>
      <w:proofErr w:type="spellEnd"/>
      <w:r w:rsidRPr="003E17A2">
        <w:rPr>
          <w:rFonts w:ascii="標楷體" w:eastAsia="標楷體" w:hAnsi="標楷體"/>
        </w:rPr>
        <w:tab/>
        <w:t>12</w:t>
      </w:r>
    </w:p>
    <w:p w14:paraId="5C3B999F"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4.2　</w:t>
      </w:r>
      <w:proofErr w:type="spellStart"/>
      <w:r w:rsidRPr="003E17A2">
        <w:rPr>
          <w:rFonts w:ascii="標楷體" w:eastAsia="標楷體" w:hAnsi="標楷體"/>
        </w:rPr>
        <w:t>元資料夾結構</w:t>
      </w:r>
      <w:proofErr w:type="spellEnd"/>
      <w:r w:rsidRPr="003E17A2">
        <w:rPr>
          <w:rFonts w:ascii="標楷體" w:eastAsia="標楷體" w:hAnsi="標楷體"/>
        </w:rPr>
        <w:tab/>
        <w:t>12</w:t>
      </w:r>
    </w:p>
    <w:p w14:paraId="75815BB3"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4.3　</w:t>
      </w:r>
      <w:proofErr w:type="spellStart"/>
      <w:r w:rsidRPr="003E17A2">
        <w:rPr>
          <w:rFonts w:ascii="標楷體" w:eastAsia="標楷體" w:hAnsi="標楷體"/>
        </w:rPr>
        <w:t>專案運行流程</w:t>
      </w:r>
      <w:proofErr w:type="spellEnd"/>
      <w:r w:rsidRPr="003E17A2">
        <w:rPr>
          <w:rFonts w:ascii="標楷體" w:eastAsia="標楷體" w:hAnsi="標楷體"/>
        </w:rPr>
        <w:tab/>
        <w:t>13</w:t>
      </w:r>
    </w:p>
    <w:p w14:paraId="7EA7D44A"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4.4　</w:t>
      </w:r>
      <w:proofErr w:type="spellStart"/>
      <w:r w:rsidRPr="003E17A2">
        <w:rPr>
          <w:rFonts w:ascii="標楷體" w:eastAsia="標楷體" w:hAnsi="標楷體"/>
        </w:rPr>
        <w:t>類別架構</w:t>
      </w:r>
      <w:proofErr w:type="spellEnd"/>
      <w:r w:rsidRPr="003E17A2">
        <w:rPr>
          <w:rFonts w:ascii="標楷體" w:eastAsia="標楷體" w:hAnsi="標楷體"/>
        </w:rPr>
        <w:tab/>
        <w:t>14</w:t>
      </w:r>
    </w:p>
    <w:p w14:paraId="07881B3D"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4.5　</w:t>
      </w:r>
      <w:proofErr w:type="spellStart"/>
      <w:r w:rsidRPr="003E17A2">
        <w:rPr>
          <w:rFonts w:ascii="標楷體" w:eastAsia="標楷體" w:hAnsi="標楷體"/>
        </w:rPr>
        <w:t>輸出指標</w:t>
      </w:r>
      <w:proofErr w:type="spellEnd"/>
      <w:r w:rsidRPr="003E17A2">
        <w:rPr>
          <w:rFonts w:ascii="標楷體" w:eastAsia="標楷體" w:hAnsi="標楷體"/>
        </w:rPr>
        <w:tab/>
        <w:t>15</w:t>
      </w:r>
    </w:p>
    <w:p w14:paraId="0B89AC7C"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4.6　</w:t>
      </w:r>
      <w:proofErr w:type="spellStart"/>
      <w:r w:rsidRPr="003E17A2">
        <w:rPr>
          <w:rFonts w:ascii="標楷體" w:eastAsia="標楷體" w:hAnsi="標楷體"/>
        </w:rPr>
        <w:t>半廢置構想之技術檢討：網格單位換算實驗</w:t>
      </w:r>
      <w:proofErr w:type="spellEnd"/>
      <w:r w:rsidRPr="003E17A2">
        <w:rPr>
          <w:rFonts w:ascii="標楷體" w:eastAsia="標楷體" w:hAnsi="標楷體"/>
        </w:rPr>
        <w:tab/>
        <w:t>16</w:t>
      </w:r>
    </w:p>
    <w:p w14:paraId="3BAAC2CD" w14:textId="77777777" w:rsidR="002D0E14" w:rsidRPr="003E17A2" w:rsidRDefault="00000000">
      <w:pPr>
        <w:tabs>
          <w:tab w:val="right" w:leader="dot" w:pos="9350"/>
        </w:tabs>
        <w:spacing w:before="160" w:after="160"/>
        <w:rPr>
          <w:rFonts w:ascii="標楷體" w:eastAsia="標楷體" w:hAnsi="標楷體"/>
        </w:rPr>
      </w:pPr>
      <w:proofErr w:type="spellStart"/>
      <w:r w:rsidRPr="003E17A2">
        <w:rPr>
          <w:rFonts w:ascii="標楷體" w:eastAsia="標楷體" w:hAnsi="標楷體"/>
          <w:b/>
          <w:bCs/>
          <w:sz w:val="26"/>
          <w:szCs w:val="26"/>
        </w:rPr>
        <w:t>第五章</w:t>
      </w:r>
      <w:proofErr w:type="spellEnd"/>
      <w:r w:rsidRPr="003E17A2">
        <w:rPr>
          <w:rFonts w:ascii="標楷體" w:eastAsia="標楷體" w:hAnsi="標楷體"/>
          <w:b/>
          <w:bCs/>
          <w:sz w:val="26"/>
          <w:szCs w:val="26"/>
        </w:rPr>
        <w:t xml:space="preserve">　</w:t>
      </w:r>
      <w:proofErr w:type="spellStart"/>
      <w:r w:rsidRPr="003E17A2">
        <w:rPr>
          <w:rFonts w:ascii="標楷體" w:eastAsia="標楷體" w:hAnsi="標楷體"/>
          <w:b/>
          <w:bCs/>
          <w:sz w:val="26"/>
          <w:szCs w:val="26"/>
        </w:rPr>
        <w:t>結論</w:t>
      </w:r>
      <w:proofErr w:type="spellEnd"/>
      <w:r w:rsidRPr="003E17A2">
        <w:rPr>
          <w:rFonts w:ascii="標楷體" w:eastAsia="標楷體" w:hAnsi="標楷體"/>
          <w:b/>
          <w:bCs/>
          <w:sz w:val="26"/>
          <w:szCs w:val="26"/>
        </w:rPr>
        <w:tab/>
        <w:t>17</w:t>
      </w:r>
    </w:p>
    <w:p w14:paraId="20FFFD54"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5.1　</w:t>
      </w:r>
      <w:proofErr w:type="spellStart"/>
      <w:r w:rsidRPr="003E17A2">
        <w:rPr>
          <w:rFonts w:ascii="標楷體" w:eastAsia="標楷體" w:hAnsi="標楷體"/>
        </w:rPr>
        <w:t>模擬數據結論</w:t>
      </w:r>
      <w:proofErr w:type="spellEnd"/>
      <w:r w:rsidRPr="003E17A2">
        <w:rPr>
          <w:rFonts w:ascii="標楷體" w:eastAsia="標楷體" w:hAnsi="標楷體"/>
        </w:rPr>
        <w:tab/>
        <w:t>17</w:t>
      </w:r>
    </w:p>
    <w:p w14:paraId="17A6449A"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5.2　</w:t>
      </w:r>
      <w:proofErr w:type="spellStart"/>
      <w:r w:rsidRPr="003E17A2">
        <w:rPr>
          <w:rFonts w:ascii="標楷體" w:eastAsia="標楷體" w:hAnsi="標楷體"/>
        </w:rPr>
        <w:t>對構想之影響</w:t>
      </w:r>
      <w:proofErr w:type="spellEnd"/>
      <w:r w:rsidRPr="003E17A2">
        <w:rPr>
          <w:rFonts w:ascii="標楷體" w:eastAsia="標楷體" w:hAnsi="標楷體"/>
        </w:rPr>
        <w:tab/>
        <w:t>19</w:t>
      </w:r>
    </w:p>
    <w:p w14:paraId="60A28D8D"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5.3　</w:t>
      </w:r>
      <w:proofErr w:type="spellStart"/>
      <w:r w:rsidRPr="003E17A2">
        <w:rPr>
          <w:rFonts w:ascii="標楷體" w:eastAsia="標楷體" w:hAnsi="標楷體"/>
        </w:rPr>
        <w:t>研究限制</w:t>
      </w:r>
      <w:proofErr w:type="spellEnd"/>
      <w:r w:rsidRPr="003E17A2">
        <w:rPr>
          <w:rFonts w:ascii="標楷體" w:eastAsia="標楷體" w:hAnsi="標楷體"/>
        </w:rPr>
        <w:tab/>
        <w:t>19</w:t>
      </w:r>
    </w:p>
    <w:p w14:paraId="571D509C"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5.4　</w:t>
      </w:r>
      <w:proofErr w:type="spellStart"/>
      <w:r w:rsidRPr="003E17A2">
        <w:rPr>
          <w:rFonts w:ascii="標楷體" w:eastAsia="標楷體" w:hAnsi="標楷體"/>
        </w:rPr>
        <w:t>未來可做的研究</w:t>
      </w:r>
      <w:proofErr w:type="spellEnd"/>
      <w:r w:rsidRPr="003E17A2">
        <w:rPr>
          <w:rFonts w:ascii="標楷體" w:eastAsia="標楷體" w:hAnsi="標楷體"/>
        </w:rPr>
        <w:tab/>
        <w:t>20</w:t>
      </w:r>
    </w:p>
    <w:p w14:paraId="1AAA4A37" w14:textId="77777777" w:rsidR="002D0E14" w:rsidRPr="003E17A2" w:rsidRDefault="00000000">
      <w:pPr>
        <w:tabs>
          <w:tab w:val="right" w:leader="dot" w:pos="9350"/>
        </w:tabs>
        <w:spacing w:after="100"/>
        <w:ind w:left="480"/>
        <w:rPr>
          <w:rFonts w:ascii="標楷體" w:eastAsia="標楷體" w:hAnsi="標楷體"/>
        </w:rPr>
      </w:pPr>
      <w:r w:rsidRPr="003E17A2">
        <w:rPr>
          <w:rFonts w:ascii="標楷體" w:eastAsia="標楷體" w:hAnsi="標楷體"/>
        </w:rPr>
        <w:t xml:space="preserve">5.5　</w:t>
      </w:r>
      <w:proofErr w:type="spellStart"/>
      <w:r w:rsidRPr="003E17A2">
        <w:rPr>
          <w:rFonts w:ascii="標楷體" w:eastAsia="標楷體" w:hAnsi="標楷體"/>
        </w:rPr>
        <w:t>總結</w:t>
      </w:r>
      <w:proofErr w:type="spellEnd"/>
      <w:r w:rsidRPr="003E17A2">
        <w:rPr>
          <w:rFonts w:ascii="標楷體" w:eastAsia="標楷體" w:hAnsi="標楷體"/>
        </w:rPr>
        <w:tab/>
        <w:t>21</w:t>
      </w:r>
    </w:p>
    <w:p w14:paraId="11EDD5C8" w14:textId="77777777" w:rsidR="002D0E14" w:rsidRPr="003E17A2" w:rsidRDefault="00000000">
      <w:pPr>
        <w:tabs>
          <w:tab w:val="right" w:leader="dot" w:pos="9350"/>
        </w:tabs>
        <w:spacing w:before="160" w:after="160"/>
        <w:rPr>
          <w:rFonts w:ascii="標楷體" w:eastAsia="標楷體" w:hAnsi="標楷體"/>
        </w:rPr>
      </w:pPr>
      <w:proofErr w:type="spellStart"/>
      <w:r w:rsidRPr="003E17A2">
        <w:rPr>
          <w:rFonts w:ascii="標楷體" w:eastAsia="標楷體" w:hAnsi="標楷體"/>
          <w:b/>
          <w:bCs/>
          <w:sz w:val="26"/>
          <w:szCs w:val="26"/>
        </w:rPr>
        <w:t>第六章</w:t>
      </w:r>
      <w:proofErr w:type="spellEnd"/>
      <w:r w:rsidRPr="003E17A2">
        <w:rPr>
          <w:rFonts w:ascii="標楷體" w:eastAsia="標楷體" w:hAnsi="標楷體"/>
          <w:b/>
          <w:bCs/>
          <w:sz w:val="26"/>
          <w:szCs w:val="26"/>
        </w:rPr>
        <w:t xml:space="preserve">　</w:t>
      </w:r>
      <w:proofErr w:type="spellStart"/>
      <w:r w:rsidRPr="003E17A2">
        <w:rPr>
          <w:rFonts w:ascii="標楷體" w:eastAsia="標楷體" w:hAnsi="標楷體"/>
          <w:b/>
          <w:bCs/>
          <w:sz w:val="26"/>
          <w:szCs w:val="26"/>
        </w:rPr>
        <w:t>參考文獻</w:t>
      </w:r>
      <w:proofErr w:type="spellEnd"/>
      <w:r w:rsidRPr="003E17A2">
        <w:rPr>
          <w:rFonts w:ascii="標楷體" w:eastAsia="標楷體" w:hAnsi="標楷體"/>
          <w:b/>
          <w:bCs/>
          <w:sz w:val="26"/>
          <w:szCs w:val="26"/>
        </w:rPr>
        <w:tab/>
        <w:t>22</w:t>
      </w:r>
    </w:p>
    <w:p w14:paraId="6C2F1D2A" w14:textId="77777777" w:rsidR="002D0E14" w:rsidRPr="003E17A2" w:rsidRDefault="002D0E14">
      <w:pPr>
        <w:rPr>
          <w:rFonts w:ascii="標楷體" w:eastAsia="標楷體" w:hAnsi="標楷體"/>
        </w:rPr>
        <w:sectPr w:rsidR="002D0E14" w:rsidRPr="003E17A2">
          <w:footerReference w:type="default" r:id="rId7"/>
          <w:pgSz w:w="11906" w:h="16838"/>
          <w:pgMar w:top="1440" w:right="1440" w:bottom="1440" w:left="1440" w:header="708" w:footer="708" w:gutter="0"/>
          <w:pgNumType w:fmt="lowerRoman" w:start="1"/>
          <w:cols w:space="720"/>
          <w:docGrid w:linePitch="360"/>
        </w:sectPr>
      </w:pPr>
    </w:p>
    <w:p w14:paraId="667EC758" w14:textId="77777777" w:rsidR="002D0E14" w:rsidRPr="003E17A2" w:rsidRDefault="00000000">
      <w:pPr>
        <w:pStyle w:val="1"/>
        <w:pageBreakBefore/>
        <w:rPr>
          <w:rFonts w:ascii="標楷體" w:eastAsia="標楷體" w:hAnsi="標楷體"/>
        </w:rPr>
      </w:pPr>
      <w:proofErr w:type="spellStart"/>
      <w:r w:rsidRPr="003E17A2">
        <w:rPr>
          <w:rFonts w:ascii="標楷體" w:eastAsia="標楷體" w:hAnsi="標楷體"/>
        </w:rPr>
        <w:lastRenderedPageBreak/>
        <w:t>第一章</w:t>
      </w:r>
      <w:proofErr w:type="spellEnd"/>
      <w:r w:rsidRPr="003E17A2">
        <w:rPr>
          <w:rFonts w:ascii="標楷體" w:eastAsia="標楷體" w:hAnsi="標楷體"/>
        </w:rPr>
        <w:t xml:space="preserve">　</w:t>
      </w:r>
      <w:proofErr w:type="spellStart"/>
      <w:r w:rsidRPr="003E17A2">
        <w:rPr>
          <w:rFonts w:ascii="標楷體" w:eastAsia="標楷體" w:hAnsi="標楷體"/>
        </w:rPr>
        <w:t>緒論</w:t>
      </w:r>
      <w:proofErr w:type="spellEnd"/>
    </w:p>
    <w:p w14:paraId="28B27B2C" w14:textId="77777777" w:rsidR="002D0E14" w:rsidRPr="003E17A2" w:rsidRDefault="00000000">
      <w:pPr>
        <w:pStyle w:val="2"/>
        <w:rPr>
          <w:rFonts w:ascii="標楷體" w:eastAsia="標楷體" w:hAnsi="標楷體"/>
        </w:rPr>
      </w:pPr>
      <w:r w:rsidRPr="003E17A2">
        <w:rPr>
          <w:rFonts w:ascii="標楷體" w:eastAsia="標楷體" w:hAnsi="標楷體"/>
        </w:rPr>
        <w:t xml:space="preserve">1.1　</w:t>
      </w:r>
      <w:proofErr w:type="spellStart"/>
      <w:r w:rsidRPr="003E17A2">
        <w:rPr>
          <w:rFonts w:ascii="標楷體" w:eastAsia="標楷體" w:hAnsi="標楷體"/>
        </w:rPr>
        <w:t>研究背景與動機</w:t>
      </w:r>
      <w:proofErr w:type="spellEnd"/>
    </w:p>
    <w:p w14:paraId="622C18A8"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公共場域火災之應變困難，並非僅取決於建築物是否存在出口，而在於人員能否於環境快速惡化前，依序完成察覺、確認、決策、移動與改道等一連串行為。當警報、廣播或固定標示失效，且資訊延遲、路線狀態持續變動時，容易產生「仍存在可行動之時間窗口，但決策流程尚未完成」之落差。此一問題於消防工程領域中，通常以可用安全逃生時間（Available Safety Egress </w:t>
      </w:r>
      <w:proofErr w:type="spellStart"/>
      <w:r w:rsidRPr="003E17A2">
        <w:rPr>
          <w:rFonts w:ascii="標楷體" w:eastAsia="標楷體" w:hAnsi="標楷體"/>
        </w:rPr>
        <w:t>Time，ASET）與所需安全逃生時間（Required</w:t>
      </w:r>
      <w:proofErr w:type="spellEnd"/>
      <w:r w:rsidRPr="003E17A2">
        <w:rPr>
          <w:rFonts w:ascii="標楷體" w:eastAsia="標楷體" w:hAnsi="標楷體"/>
        </w:rPr>
        <w:t xml:space="preserve"> Safety Egress Time，RSET）之相對關係加以描述：當環境惡化速度快於人員完成安全行動所需時間，即使建築物本身具備出口，仍可能發生「開始行動時已經太晚」之結果。</w:t>
      </w:r>
    </w:p>
    <w:p w14:paraId="50BABE6C"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本研究之上位構想，源於第四屆「解決未來問題能力競賽」中團隊所提出之「公共場域火災決策支援系統</w:t>
      </w:r>
      <w:proofErr w:type="spellEnd"/>
      <w:r w:rsidRPr="003E17A2">
        <w:rPr>
          <w:rFonts w:ascii="標楷體" w:eastAsia="標楷體" w:hAnsi="標楷體"/>
        </w:rPr>
        <w:t>」，</w:t>
      </w:r>
      <w:proofErr w:type="spellStart"/>
      <w:r w:rsidRPr="003E17A2">
        <w:rPr>
          <w:rFonts w:ascii="標楷體" w:eastAsia="標楷體" w:hAnsi="標楷體"/>
        </w:rPr>
        <w:t>該構想以</w:t>
      </w:r>
      <w:proofErr w:type="spellEnd"/>
      <w:r w:rsidRPr="003E17A2">
        <w:rPr>
          <w:rFonts w:ascii="標楷體" w:eastAsia="標楷體" w:hAnsi="標楷體"/>
        </w:rPr>
        <w:t xml:space="preserve"> 2020 </w:t>
      </w:r>
      <w:proofErr w:type="spellStart"/>
      <w:r w:rsidRPr="003E17A2">
        <w:rPr>
          <w:rFonts w:ascii="標楷體" w:eastAsia="標楷體" w:hAnsi="標楷體"/>
        </w:rPr>
        <w:t>年臺北錢櫃</w:t>
      </w:r>
      <w:proofErr w:type="spellEnd"/>
      <w:r w:rsidRPr="003E17A2">
        <w:rPr>
          <w:rFonts w:ascii="標楷體" w:eastAsia="標楷體" w:hAnsi="標楷體"/>
        </w:rPr>
        <w:t xml:space="preserve"> KTV 林森館火災之公開資料為問題背景，主張現行公共場域之消防應變流程，於設備施工、管理疏失、通訊中斷或人員未能正確接收訊息等情境下，缺乏一套能呈現資料不確定性、依人物條件分流、於路線失效時主動撤回舊指示，並將現場回報送回管理端之補充機制。該構想進一步將問題重新定義為「不完整資訊下之火場決策延誤與路線失效」，並提出以流程再造（Business Process </w:t>
      </w:r>
      <w:proofErr w:type="spellStart"/>
      <w:r w:rsidRPr="003E17A2">
        <w:rPr>
          <w:rFonts w:ascii="標楷體" w:eastAsia="標楷體" w:hAnsi="標楷體"/>
        </w:rPr>
        <w:t>Reengineering）為主軸，建立民眾端第一人稱訓練系統與研究／指揮分析端儀表板兩套介面</w:t>
      </w:r>
      <w:proofErr w:type="spellEnd"/>
      <w:r w:rsidRPr="003E17A2">
        <w:rPr>
          <w:rFonts w:ascii="標楷體" w:eastAsia="標楷體" w:hAnsi="標楷體"/>
        </w:rPr>
        <w:t>。</w:t>
      </w:r>
    </w:p>
    <w:p w14:paraId="27280376"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然而，前述構想報告書與體驗示意模擬所呈現者，主要為決策流程之介面設計與資訊生命週期管理，其火場資料採離線之情境時序輸入，並未針對「決策支援系統之介入，究竟能為逃生表現帶來多大幅度之量化改善」此一核心問題，提供具備物理與統計基礎之驗證。此一驗證缺口，即為本研究之直接動機：若欲主張決策支援系統具有真實可行性，除介面與流程之設計外，亦須有一套獨立於介面層之物理模擬，用以檢驗「在給定之火災動力學與人員行為假設下，系統介入是否確實能提升逃生率、降低死亡率，且不致引入新的系統性風險」。</w:t>
      </w:r>
    </w:p>
    <w:p w14:paraId="4519919F"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為回應此一驗證需求，本研究所分析之對象為競賽團隊成員周孝倫所開發之「火場決策支援系統效果量化模擬器」（以下稱本模擬器），此模擬器獨立於前述之第一</w:t>
      </w:r>
      <w:r w:rsidRPr="003E17A2">
        <w:rPr>
          <w:rFonts w:ascii="標楷體" w:eastAsia="標楷體" w:hAnsi="標楷體"/>
        </w:rPr>
        <w:lastRenderedPageBreak/>
        <w:t xml:space="preserve">人稱訓練系統與分析端儀表板之外，以 Java 撰寫，採網格化（grid-based）元胞自動機方法，於同一建築配置、同一起火點與同一人員初始位置之前提下，依序模擬「無系統」（DEFAULT）、「決策支援」（SMART）、「決策支援＋備援主動控制」（HYBRID）三種情境之完整生命週期，並輸出可供統計分析之量化報表與可供前端回放之軌跡 JSON </w:t>
      </w:r>
      <w:proofErr w:type="spellStart"/>
      <w:r w:rsidRPr="003E17A2">
        <w:rPr>
          <w:rFonts w:ascii="標楷體" w:eastAsia="標楷體" w:hAnsi="標楷體"/>
        </w:rPr>
        <w:t>檔案。本研究即以此模擬器為核心分析對象，嘗試回答「構想落地後之實際成效，是否能以可量化之方式呈現」此一問題</w:t>
      </w:r>
      <w:proofErr w:type="spellEnd"/>
      <w:r w:rsidRPr="003E17A2">
        <w:rPr>
          <w:rFonts w:ascii="標楷體" w:eastAsia="標楷體" w:hAnsi="標楷體"/>
        </w:rPr>
        <w:t>。</w:t>
      </w:r>
    </w:p>
    <w:p w14:paraId="00F44CBE" w14:textId="77777777" w:rsidR="002D0E14" w:rsidRPr="003E17A2" w:rsidRDefault="00000000">
      <w:pPr>
        <w:pStyle w:val="2"/>
        <w:rPr>
          <w:rFonts w:ascii="標楷體" w:eastAsia="標楷體" w:hAnsi="標楷體"/>
        </w:rPr>
      </w:pPr>
      <w:r w:rsidRPr="003E17A2">
        <w:rPr>
          <w:rFonts w:ascii="標楷體" w:eastAsia="標楷體" w:hAnsi="標楷體"/>
        </w:rPr>
        <w:t xml:space="preserve">1.2　</w:t>
      </w:r>
      <w:proofErr w:type="spellStart"/>
      <w:r w:rsidRPr="003E17A2">
        <w:rPr>
          <w:rFonts w:ascii="標楷體" w:eastAsia="標楷體" w:hAnsi="標楷體"/>
        </w:rPr>
        <w:t>所關注的問題</w:t>
      </w:r>
      <w:proofErr w:type="spellEnd"/>
    </w:p>
    <w:p w14:paraId="3730CF8B"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本研究關注之核心問題，可歸納為以下四項，並分別對應本文第二章至第五章之討論主軸</w:t>
      </w:r>
      <w:proofErr w:type="spellEnd"/>
      <w:r w:rsidRPr="003E17A2">
        <w:rPr>
          <w:rFonts w:ascii="標楷體" w:eastAsia="標楷體" w:hAnsi="標楷體"/>
        </w:rPr>
        <w:t>：</w:t>
      </w:r>
    </w:p>
    <w:p w14:paraId="6696DC04"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第一，方法論層次之問題：以網格化元胞自動機模擬火場中人員疏散與火災延燒，此一方法本身具備何種理論前提？其相較於連續空間模型或計算流體力學（Computational Fluid Dynamics, </w:t>
      </w:r>
      <w:proofErr w:type="spellStart"/>
      <w:r w:rsidRPr="003E17A2">
        <w:rPr>
          <w:rFonts w:ascii="標楷體" w:eastAsia="標楷體" w:hAnsi="標楷體"/>
        </w:rPr>
        <w:t>CFD）模型，具有何種優勢與侷限？此一問題於第二章「概念與文獻探討」中討論</w:t>
      </w:r>
      <w:proofErr w:type="spellEnd"/>
      <w:r w:rsidRPr="003E17A2">
        <w:rPr>
          <w:rFonts w:ascii="標楷體" w:eastAsia="標楷體" w:hAnsi="標楷體"/>
        </w:rPr>
        <w:t>。</w:t>
      </w:r>
    </w:p>
    <w:p w14:paraId="4483668F"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二，可行性層次之問題：本模擬所依據之物理公式、統計分布與工程假設，是否違背既有之科學與邏輯原則？其模擬結果是否具備可與現實資料或既有文獻比對之可驗證性？在承認其為簡化模型之前提下，模擬結果是否仍具備作為前述決策支援系統構想「參考證據」之價值？此一問題於第三章「可行性分析」中討論。</w:t>
      </w:r>
    </w:p>
    <w:p w14:paraId="00026561"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第三，系統層次之問題：本模擬器之程式架構、資料流程、類別設計與輸出指標，究竟如何具體實現前述之物理假設？此一問題於第四章「系統分析」中，以程式碼與工程文件為依據進行拆解。</w:t>
      </w:r>
    </w:p>
    <w:p w14:paraId="76F7DD27"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四，成效層次之問題：在四十場情境模擬所得之量化資料中，決策支援系統之介入，對不同建築類型與不同起火原因之逃生表現，究竟帶來何種方向與幅度之影響？此一結果對前述構想之意義為何？其研究限制與未來可行之驗證方向為何？此一問題於第五章「結論」中討論。</w:t>
      </w:r>
    </w:p>
    <w:p w14:paraId="1DEC13BD" w14:textId="77777777" w:rsidR="002D0E14" w:rsidRPr="003E17A2" w:rsidRDefault="00000000">
      <w:pPr>
        <w:pStyle w:val="2"/>
        <w:rPr>
          <w:rFonts w:ascii="標楷體" w:eastAsia="標楷體" w:hAnsi="標楷體"/>
        </w:rPr>
      </w:pPr>
      <w:r w:rsidRPr="003E17A2">
        <w:rPr>
          <w:rFonts w:ascii="標楷體" w:eastAsia="標楷體" w:hAnsi="標楷體"/>
        </w:rPr>
        <w:t xml:space="preserve">1.3　</w:t>
      </w:r>
      <w:proofErr w:type="spellStart"/>
      <w:r w:rsidRPr="003E17A2">
        <w:rPr>
          <w:rFonts w:ascii="標楷體" w:eastAsia="標楷體" w:hAnsi="標楷體"/>
        </w:rPr>
        <w:t>基本名詞定義</w:t>
      </w:r>
      <w:proofErr w:type="spellEnd"/>
    </w:p>
    <w:p w14:paraId="04BDF096"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為避免後續章節中專有名詞之混淆，本節先行界定本文所使用之核心名詞如下</w:t>
      </w:r>
      <w:proofErr w:type="spellEnd"/>
      <w:r w:rsidRPr="003E17A2">
        <w:rPr>
          <w:rFonts w:ascii="標楷體" w:eastAsia="標楷體" w:hAnsi="標楷體"/>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2D0E14" w:rsidRPr="003E17A2" w14:paraId="7EB59E9C" w14:textId="77777777">
        <w:tblPrEx>
          <w:tblCellMar>
            <w:top w:w="0" w:type="dxa"/>
            <w:bottom w:w="0" w:type="dxa"/>
          </w:tblCellMar>
        </w:tblPrEx>
        <w:trPr>
          <w:tblHeader/>
        </w:trPr>
        <w:tc>
          <w:tcPr>
            <w:tcW w:w="2600" w:type="dxa"/>
            <w:shd w:val="clear" w:color="auto" w:fill="D9D9D9"/>
            <w:tcMar>
              <w:top w:w="60" w:type="dxa"/>
              <w:left w:w="80" w:type="dxa"/>
              <w:bottom w:w="60" w:type="dxa"/>
              <w:right w:w="80" w:type="dxa"/>
            </w:tcMar>
            <w:vAlign w:val="center"/>
          </w:tcPr>
          <w:p w14:paraId="05C36371"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lastRenderedPageBreak/>
              <w:t>名詞</w:t>
            </w:r>
            <w:proofErr w:type="spellEnd"/>
          </w:p>
        </w:tc>
        <w:tc>
          <w:tcPr>
            <w:tcW w:w="6800" w:type="dxa"/>
            <w:shd w:val="clear" w:color="auto" w:fill="D9D9D9"/>
            <w:tcMar>
              <w:top w:w="60" w:type="dxa"/>
              <w:left w:w="80" w:type="dxa"/>
              <w:bottom w:w="60" w:type="dxa"/>
              <w:right w:w="80" w:type="dxa"/>
            </w:tcMar>
            <w:vAlign w:val="center"/>
          </w:tcPr>
          <w:p w14:paraId="33CA9B53"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t>定義</w:t>
            </w:r>
            <w:proofErr w:type="spellEnd"/>
          </w:p>
        </w:tc>
      </w:tr>
      <w:tr w:rsidR="002D0E14" w:rsidRPr="003E17A2" w14:paraId="27F807A4" w14:textId="77777777">
        <w:tblPrEx>
          <w:tblCellMar>
            <w:top w:w="0" w:type="dxa"/>
            <w:bottom w:w="0" w:type="dxa"/>
          </w:tblCellMar>
        </w:tblPrEx>
        <w:tc>
          <w:tcPr>
            <w:tcW w:w="2600" w:type="dxa"/>
            <w:tcMar>
              <w:top w:w="60" w:type="dxa"/>
              <w:left w:w="80" w:type="dxa"/>
              <w:bottom w:w="60" w:type="dxa"/>
              <w:right w:w="80" w:type="dxa"/>
            </w:tcMar>
            <w:vAlign w:val="center"/>
          </w:tcPr>
          <w:p w14:paraId="1892B040"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可用安全逃生時間（ASET</w:t>
            </w:r>
            <w:proofErr w:type="spellEnd"/>
            <w:r w:rsidRPr="003E17A2">
              <w:rPr>
                <w:rFonts w:ascii="標楷體" w:eastAsia="標楷體" w:hAnsi="標楷體"/>
                <w:sz w:val="22"/>
                <w:szCs w:val="22"/>
              </w:rPr>
              <w:t>）</w:t>
            </w:r>
          </w:p>
        </w:tc>
        <w:tc>
          <w:tcPr>
            <w:tcW w:w="6800" w:type="dxa"/>
            <w:tcMar>
              <w:top w:w="60" w:type="dxa"/>
              <w:left w:w="80" w:type="dxa"/>
              <w:bottom w:w="60" w:type="dxa"/>
              <w:right w:w="80" w:type="dxa"/>
            </w:tcMar>
            <w:vAlign w:val="center"/>
          </w:tcPr>
          <w:p w14:paraId="4E80382D"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自起火時刻起，環境仍維持可供人員安全行動之最長時間；本模擬中定義為建築內所有可停留格子首次全數同時著火或達到四判据危險狀態之時刻。</w:t>
            </w:r>
          </w:p>
        </w:tc>
      </w:tr>
      <w:tr w:rsidR="002D0E14" w:rsidRPr="003E17A2" w14:paraId="11887C28" w14:textId="77777777">
        <w:tblPrEx>
          <w:tblCellMar>
            <w:top w:w="0" w:type="dxa"/>
            <w:bottom w:w="0" w:type="dxa"/>
          </w:tblCellMar>
        </w:tblPrEx>
        <w:tc>
          <w:tcPr>
            <w:tcW w:w="2600" w:type="dxa"/>
            <w:tcMar>
              <w:top w:w="60" w:type="dxa"/>
              <w:left w:w="80" w:type="dxa"/>
              <w:bottom w:w="60" w:type="dxa"/>
              <w:right w:w="80" w:type="dxa"/>
            </w:tcMar>
            <w:vAlign w:val="center"/>
          </w:tcPr>
          <w:p w14:paraId="7149EAA1"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所需安全逃生時間（RSET</w:t>
            </w:r>
            <w:proofErr w:type="spellEnd"/>
            <w:r w:rsidRPr="003E17A2">
              <w:rPr>
                <w:rFonts w:ascii="標楷體" w:eastAsia="標楷體" w:hAnsi="標楷體"/>
                <w:sz w:val="22"/>
                <w:szCs w:val="22"/>
              </w:rPr>
              <w:t>）</w:t>
            </w:r>
          </w:p>
        </w:tc>
        <w:tc>
          <w:tcPr>
            <w:tcW w:w="6800" w:type="dxa"/>
            <w:tcMar>
              <w:top w:w="60" w:type="dxa"/>
              <w:left w:w="80" w:type="dxa"/>
              <w:bottom w:w="60" w:type="dxa"/>
              <w:right w:w="80" w:type="dxa"/>
            </w:tcMar>
            <w:vAlign w:val="center"/>
          </w:tcPr>
          <w:p w14:paraId="3BBB0A57"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人員自察覺異常至完成安全行動（本模擬中為成功逃出建築）所需之時間；本模擬另區分「以點火為基準之</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RSET」與「以察覺為基準之</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RSET」兩種計算基準，前者用於安全餘裕計算，後者僅供診斷參考</w:t>
            </w:r>
            <w:proofErr w:type="spellEnd"/>
            <w:r w:rsidRPr="003E17A2">
              <w:rPr>
                <w:rFonts w:ascii="標楷體" w:eastAsia="標楷體" w:hAnsi="標楷體"/>
                <w:sz w:val="22"/>
                <w:szCs w:val="22"/>
              </w:rPr>
              <w:t>。</w:t>
            </w:r>
          </w:p>
        </w:tc>
      </w:tr>
      <w:tr w:rsidR="002D0E14" w:rsidRPr="003E17A2" w14:paraId="12180DB0" w14:textId="77777777">
        <w:tblPrEx>
          <w:tblCellMar>
            <w:top w:w="0" w:type="dxa"/>
            <w:bottom w:w="0" w:type="dxa"/>
          </w:tblCellMar>
        </w:tblPrEx>
        <w:tc>
          <w:tcPr>
            <w:tcW w:w="2600" w:type="dxa"/>
            <w:tcMar>
              <w:top w:w="60" w:type="dxa"/>
              <w:left w:w="80" w:type="dxa"/>
              <w:bottom w:w="60" w:type="dxa"/>
              <w:right w:w="80" w:type="dxa"/>
            </w:tcMar>
            <w:vAlign w:val="center"/>
          </w:tcPr>
          <w:p w14:paraId="3C0FC81F"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安全餘裕（Safety</w:t>
            </w:r>
            <w:proofErr w:type="spellEnd"/>
            <w:r w:rsidRPr="003E17A2">
              <w:rPr>
                <w:rFonts w:ascii="標楷體" w:eastAsia="標楷體" w:hAnsi="標楷體"/>
                <w:sz w:val="22"/>
                <w:szCs w:val="22"/>
              </w:rPr>
              <w:t xml:space="preserve"> Margin）</w:t>
            </w:r>
          </w:p>
        </w:tc>
        <w:tc>
          <w:tcPr>
            <w:tcW w:w="6800" w:type="dxa"/>
            <w:tcMar>
              <w:top w:w="60" w:type="dxa"/>
              <w:left w:w="80" w:type="dxa"/>
              <w:bottom w:w="60" w:type="dxa"/>
              <w:right w:w="80" w:type="dxa"/>
            </w:tcMar>
            <w:vAlign w:val="center"/>
          </w:tcPr>
          <w:p w14:paraId="447D32F1"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 xml:space="preserve">ASET </w:t>
            </w:r>
            <w:proofErr w:type="spellStart"/>
            <w:r w:rsidRPr="003E17A2">
              <w:rPr>
                <w:rFonts w:ascii="標楷體" w:eastAsia="標楷體" w:hAnsi="標楷體"/>
                <w:sz w:val="22"/>
                <w:szCs w:val="22"/>
              </w:rPr>
              <w:t>與（以點火為基準之）平均</w:t>
            </w:r>
            <w:proofErr w:type="spellEnd"/>
            <w:r w:rsidRPr="003E17A2">
              <w:rPr>
                <w:rFonts w:ascii="標楷體" w:eastAsia="標楷體" w:hAnsi="標楷體"/>
                <w:sz w:val="22"/>
                <w:szCs w:val="22"/>
              </w:rPr>
              <w:t xml:space="preserve"> RSET </w:t>
            </w:r>
            <w:proofErr w:type="spellStart"/>
            <w:r w:rsidRPr="003E17A2">
              <w:rPr>
                <w:rFonts w:ascii="標楷體" w:eastAsia="標楷體" w:hAnsi="標楷體"/>
                <w:sz w:val="22"/>
                <w:szCs w:val="22"/>
              </w:rPr>
              <w:t>之差值，用以衡量環境維持安全之時間，相對於人員完成逃生所需時間之寬裕程度</w:t>
            </w:r>
            <w:proofErr w:type="spellEnd"/>
            <w:r w:rsidRPr="003E17A2">
              <w:rPr>
                <w:rFonts w:ascii="標楷體" w:eastAsia="標楷體" w:hAnsi="標楷體"/>
                <w:sz w:val="22"/>
                <w:szCs w:val="22"/>
              </w:rPr>
              <w:t>。</w:t>
            </w:r>
          </w:p>
        </w:tc>
      </w:tr>
      <w:tr w:rsidR="002D0E14" w:rsidRPr="003E17A2" w14:paraId="5CC19D39" w14:textId="77777777">
        <w:tblPrEx>
          <w:tblCellMar>
            <w:top w:w="0" w:type="dxa"/>
            <w:bottom w:w="0" w:type="dxa"/>
          </w:tblCellMar>
        </w:tblPrEx>
        <w:tc>
          <w:tcPr>
            <w:tcW w:w="2600" w:type="dxa"/>
            <w:tcMar>
              <w:top w:w="60" w:type="dxa"/>
              <w:left w:w="80" w:type="dxa"/>
              <w:bottom w:w="60" w:type="dxa"/>
              <w:right w:w="80" w:type="dxa"/>
            </w:tcMar>
            <w:vAlign w:val="center"/>
          </w:tcPr>
          <w:p w14:paraId="3FD1CD03"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元胞自動機（Cellular</w:t>
            </w:r>
            <w:proofErr w:type="spellEnd"/>
            <w:r w:rsidRPr="003E17A2">
              <w:rPr>
                <w:rFonts w:ascii="標楷體" w:eastAsia="標楷體" w:hAnsi="標楷體"/>
                <w:sz w:val="22"/>
                <w:szCs w:val="22"/>
              </w:rPr>
              <w:t xml:space="preserve"> Automaton）</w:t>
            </w:r>
          </w:p>
        </w:tc>
        <w:tc>
          <w:tcPr>
            <w:tcW w:w="6800" w:type="dxa"/>
            <w:tcMar>
              <w:top w:w="60" w:type="dxa"/>
              <w:left w:w="80" w:type="dxa"/>
              <w:bottom w:w="60" w:type="dxa"/>
              <w:right w:w="80" w:type="dxa"/>
            </w:tcMar>
            <w:vAlign w:val="center"/>
          </w:tcPr>
          <w:p w14:paraId="6EB2CF24"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一種將連續空間離散化為規則網格（本模擬中每格邊長</w:t>
            </w:r>
            <w:proofErr w:type="spellEnd"/>
            <w:r w:rsidRPr="003E17A2">
              <w:rPr>
                <w:rFonts w:ascii="標楷體" w:eastAsia="標楷體" w:hAnsi="標楷體"/>
                <w:sz w:val="22"/>
                <w:szCs w:val="22"/>
              </w:rPr>
              <w:t xml:space="preserve"> 0.4 </w:t>
            </w:r>
            <w:proofErr w:type="spellStart"/>
            <w:r w:rsidRPr="003E17A2">
              <w:rPr>
                <w:rFonts w:ascii="標楷體" w:eastAsia="標楷體" w:hAnsi="標楷體"/>
                <w:sz w:val="22"/>
                <w:szCs w:val="22"/>
              </w:rPr>
              <w:t>公尺</w:t>
            </w:r>
            <w:proofErr w:type="spellEnd"/>
            <w:r w:rsidRPr="003E17A2">
              <w:rPr>
                <w:rFonts w:ascii="標楷體" w:eastAsia="標楷體" w:hAnsi="標楷體"/>
                <w:sz w:val="22"/>
                <w:szCs w:val="22"/>
              </w:rPr>
              <w:t>），</w:t>
            </w:r>
            <w:proofErr w:type="spellStart"/>
            <w:r w:rsidRPr="003E17A2">
              <w:rPr>
                <w:rFonts w:ascii="標楷體" w:eastAsia="標楷體" w:hAnsi="標楷體"/>
                <w:sz w:val="22"/>
                <w:szCs w:val="22"/>
              </w:rPr>
              <w:t>並依據局部規則逐格、逐時間步（Tick）更新狀態之模擬方法，廣泛應用於疏散模擬與火災延燒模擬領域</w:t>
            </w:r>
            <w:proofErr w:type="spellEnd"/>
            <w:r w:rsidRPr="003E17A2">
              <w:rPr>
                <w:rFonts w:ascii="標楷體" w:eastAsia="標楷體" w:hAnsi="標楷體"/>
                <w:sz w:val="22"/>
                <w:szCs w:val="22"/>
              </w:rPr>
              <w:t>。</w:t>
            </w:r>
          </w:p>
        </w:tc>
      </w:tr>
      <w:tr w:rsidR="002D0E14" w:rsidRPr="003E17A2" w14:paraId="10388C48" w14:textId="77777777">
        <w:tblPrEx>
          <w:tblCellMar>
            <w:top w:w="0" w:type="dxa"/>
            <w:bottom w:w="0" w:type="dxa"/>
          </w:tblCellMar>
        </w:tblPrEx>
        <w:tc>
          <w:tcPr>
            <w:tcW w:w="2600" w:type="dxa"/>
            <w:tcMar>
              <w:top w:w="60" w:type="dxa"/>
              <w:left w:w="80" w:type="dxa"/>
              <w:bottom w:w="60" w:type="dxa"/>
              <w:right w:w="80" w:type="dxa"/>
            </w:tcMar>
            <w:vAlign w:val="center"/>
          </w:tcPr>
          <w:p w14:paraId="0AB98B5F"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Tick（時間步</w:t>
            </w:r>
            <w:proofErr w:type="spellEnd"/>
            <w:r w:rsidRPr="003E17A2">
              <w:rPr>
                <w:rFonts w:ascii="標楷體" w:eastAsia="標楷體" w:hAnsi="標楷體"/>
                <w:sz w:val="22"/>
                <w:szCs w:val="22"/>
              </w:rPr>
              <w:t>）</w:t>
            </w:r>
          </w:p>
        </w:tc>
        <w:tc>
          <w:tcPr>
            <w:tcW w:w="6800" w:type="dxa"/>
            <w:tcMar>
              <w:top w:w="60" w:type="dxa"/>
              <w:left w:w="80" w:type="dxa"/>
              <w:bottom w:w="60" w:type="dxa"/>
              <w:right w:w="80" w:type="dxa"/>
            </w:tcMar>
            <w:vAlign w:val="center"/>
          </w:tcPr>
          <w:p w14:paraId="0B247210"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本模擬之離散時間單位，本模擬中設定</w:t>
            </w:r>
            <w:proofErr w:type="spellEnd"/>
            <w:r w:rsidRPr="003E17A2">
              <w:rPr>
                <w:rFonts w:ascii="標楷體" w:eastAsia="標楷體" w:hAnsi="標楷體"/>
                <w:sz w:val="22"/>
                <w:szCs w:val="22"/>
              </w:rPr>
              <w:t xml:space="preserve"> 1 Tick </w:t>
            </w:r>
            <w:proofErr w:type="spellStart"/>
            <w:r w:rsidRPr="003E17A2">
              <w:rPr>
                <w:rFonts w:ascii="標楷體" w:eastAsia="標楷體" w:hAnsi="標楷體"/>
                <w:sz w:val="22"/>
                <w:szCs w:val="22"/>
              </w:rPr>
              <w:t>對應現實時間</w:t>
            </w:r>
            <w:proofErr w:type="spellEnd"/>
            <w:r w:rsidRPr="003E17A2">
              <w:rPr>
                <w:rFonts w:ascii="標楷體" w:eastAsia="標楷體" w:hAnsi="標楷體"/>
                <w:sz w:val="22"/>
                <w:szCs w:val="22"/>
              </w:rPr>
              <w:t xml:space="preserve"> 1 </w:t>
            </w:r>
            <w:proofErr w:type="spellStart"/>
            <w:r w:rsidRPr="003E17A2">
              <w:rPr>
                <w:rFonts w:ascii="標楷體" w:eastAsia="標楷體" w:hAnsi="標楷體"/>
                <w:sz w:val="22"/>
                <w:szCs w:val="22"/>
              </w:rPr>
              <w:t>秒，作為速度、擴散與生成速率換算之共同基準</w:t>
            </w:r>
            <w:proofErr w:type="spellEnd"/>
            <w:r w:rsidRPr="003E17A2">
              <w:rPr>
                <w:rFonts w:ascii="標楷體" w:eastAsia="標楷體" w:hAnsi="標楷體"/>
                <w:sz w:val="22"/>
                <w:szCs w:val="22"/>
              </w:rPr>
              <w:t>。</w:t>
            </w:r>
          </w:p>
        </w:tc>
      </w:tr>
      <w:tr w:rsidR="002D0E14" w:rsidRPr="003E17A2" w14:paraId="079D3462" w14:textId="77777777">
        <w:tblPrEx>
          <w:tblCellMar>
            <w:top w:w="0" w:type="dxa"/>
            <w:bottom w:w="0" w:type="dxa"/>
          </w:tblCellMar>
        </w:tblPrEx>
        <w:tc>
          <w:tcPr>
            <w:tcW w:w="2600" w:type="dxa"/>
            <w:tcMar>
              <w:top w:w="60" w:type="dxa"/>
              <w:left w:w="80" w:type="dxa"/>
              <w:bottom w:w="60" w:type="dxa"/>
              <w:right w:w="80" w:type="dxa"/>
            </w:tcMar>
            <w:vAlign w:val="center"/>
          </w:tcPr>
          <w:p w14:paraId="646A7009"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累積劑量模型（Fractional</w:t>
            </w:r>
            <w:proofErr w:type="spellEnd"/>
            <w:r w:rsidRPr="003E17A2">
              <w:rPr>
                <w:rFonts w:ascii="標楷體" w:eastAsia="標楷體" w:hAnsi="標楷體"/>
                <w:sz w:val="22"/>
                <w:szCs w:val="22"/>
              </w:rPr>
              <w:t xml:space="preserve"> Effective Dose, FED）</w:t>
            </w:r>
          </w:p>
        </w:tc>
        <w:tc>
          <w:tcPr>
            <w:tcW w:w="6800" w:type="dxa"/>
            <w:tcMar>
              <w:top w:w="60" w:type="dxa"/>
              <w:left w:w="80" w:type="dxa"/>
              <w:bottom w:w="60" w:type="dxa"/>
              <w:right w:w="80" w:type="dxa"/>
            </w:tcMar>
            <w:vAlign w:val="center"/>
          </w:tcPr>
          <w:p w14:paraId="6258E6DA"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 xml:space="preserve">由 Purser </w:t>
            </w:r>
            <w:proofErr w:type="spellStart"/>
            <w:r w:rsidRPr="003E17A2">
              <w:rPr>
                <w:rFonts w:ascii="標楷體" w:eastAsia="標楷體" w:hAnsi="標楷體"/>
                <w:sz w:val="22"/>
                <w:szCs w:val="22"/>
              </w:rPr>
              <w:t>提出，用以描述人員因熱暴露或一氧化碳吸入所累積之生理負荷，達特定門檻即判定失能或死亡，取代「瞬時濃度達標即死」之簡化判定方式</w:t>
            </w:r>
            <w:proofErr w:type="spellEnd"/>
            <w:r w:rsidRPr="003E17A2">
              <w:rPr>
                <w:rFonts w:ascii="標楷體" w:eastAsia="標楷體" w:hAnsi="標楷體"/>
                <w:sz w:val="22"/>
                <w:szCs w:val="22"/>
              </w:rPr>
              <w:t>。</w:t>
            </w:r>
          </w:p>
        </w:tc>
      </w:tr>
      <w:tr w:rsidR="002D0E14" w:rsidRPr="003E17A2" w14:paraId="0B300D03" w14:textId="77777777">
        <w:tblPrEx>
          <w:tblCellMar>
            <w:top w:w="0" w:type="dxa"/>
            <w:bottom w:w="0" w:type="dxa"/>
          </w:tblCellMar>
        </w:tblPrEx>
        <w:tc>
          <w:tcPr>
            <w:tcW w:w="2600" w:type="dxa"/>
            <w:tcMar>
              <w:top w:w="60" w:type="dxa"/>
              <w:left w:w="80" w:type="dxa"/>
              <w:bottom w:w="60" w:type="dxa"/>
              <w:right w:w="80" w:type="dxa"/>
            </w:tcMar>
            <w:vAlign w:val="center"/>
          </w:tcPr>
          <w:p w14:paraId="34EF3864"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三種模擬模式（DEFAULT／SMART／HYBRID</w:t>
            </w:r>
            <w:proofErr w:type="spellEnd"/>
            <w:r w:rsidRPr="003E17A2">
              <w:rPr>
                <w:rFonts w:ascii="標楷體" w:eastAsia="標楷體" w:hAnsi="標楷體"/>
                <w:sz w:val="22"/>
                <w:szCs w:val="22"/>
              </w:rPr>
              <w:t>）</w:t>
            </w:r>
          </w:p>
        </w:tc>
        <w:tc>
          <w:tcPr>
            <w:tcW w:w="6800" w:type="dxa"/>
            <w:tcMar>
              <w:top w:w="60" w:type="dxa"/>
              <w:left w:w="80" w:type="dxa"/>
              <w:bottom w:w="60" w:type="dxa"/>
              <w:right w:w="80" w:type="dxa"/>
            </w:tcMar>
            <w:vAlign w:val="center"/>
          </w:tcPr>
          <w:p w14:paraId="58533549"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本模擬器中用以比較系統介入程度之三種情境：DEFAULT</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為無系統介入，人員僅依個人局部視線與嗅覺逃生；SMART</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為決策支援模式，系統提供路徑指引；HYBRID</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為決策支援加上備援主動控制模式，系統另可主動關閉危險防火門並提升排煙換氣率</w:t>
            </w:r>
            <w:proofErr w:type="spellEnd"/>
            <w:r w:rsidRPr="003E17A2">
              <w:rPr>
                <w:rFonts w:ascii="標楷體" w:eastAsia="標楷體" w:hAnsi="標楷體"/>
                <w:sz w:val="22"/>
                <w:szCs w:val="22"/>
              </w:rPr>
              <w:t>。</w:t>
            </w:r>
          </w:p>
        </w:tc>
      </w:tr>
      <w:tr w:rsidR="002D0E14" w:rsidRPr="003E17A2" w14:paraId="0C6038DD" w14:textId="77777777">
        <w:tblPrEx>
          <w:tblCellMar>
            <w:top w:w="0" w:type="dxa"/>
            <w:bottom w:w="0" w:type="dxa"/>
          </w:tblCellMar>
        </w:tblPrEx>
        <w:tc>
          <w:tcPr>
            <w:tcW w:w="2600" w:type="dxa"/>
            <w:tcMar>
              <w:top w:w="60" w:type="dxa"/>
              <w:left w:w="80" w:type="dxa"/>
              <w:bottom w:w="60" w:type="dxa"/>
              <w:right w:w="80" w:type="dxa"/>
            </w:tcMar>
            <w:vAlign w:val="center"/>
          </w:tcPr>
          <w:p w14:paraId="4D6FD740"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系統嚴重失誤機率（Mistake</w:t>
            </w:r>
            <w:proofErr w:type="spellEnd"/>
            <w:r w:rsidRPr="003E17A2">
              <w:rPr>
                <w:rFonts w:ascii="標楷體" w:eastAsia="標楷體" w:hAnsi="標楷體"/>
                <w:sz w:val="22"/>
                <w:szCs w:val="22"/>
              </w:rPr>
              <w:t xml:space="preserve"> Rate）</w:t>
            </w:r>
          </w:p>
        </w:tc>
        <w:tc>
          <w:tcPr>
            <w:tcW w:w="6800" w:type="dxa"/>
            <w:tcMar>
              <w:top w:w="60" w:type="dxa"/>
              <w:left w:w="80" w:type="dxa"/>
              <w:bottom w:w="60" w:type="dxa"/>
              <w:right w:w="80" w:type="dxa"/>
            </w:tcMar>
            <w:vAlign w:val="center"/>
          </w:tcPr>
          <w:p w14:paraId="56A17DB4"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同一人員於</w:t>
            </w:r>
            <w:proofErr w:type="spellEnd"/>
            <w:r w:rsidRPr="003E17A2">
              <w:rPr>
                <w:rFonts w:ascii="標楷體" w:eastAsia="標楷體" w:hAnsi="標楷體"/>
                <w:sz w:val="22"/>
                <w:szCs w:val="22"/>
              </w:rPr>
              <w:t xml:space="preserve"> DEFAULT </w:t>
            </w:r>
            <w:proofErr w:type="spellStart"/>
            <w:r w:rsidRPr="003E17A2">
              <w:rPr>
                <w:rFonts w:ascii="標楷體" w:eastAsia="標楷體" w:hAnsi="標楷體"/>
                <w:sz w:val="22"/>
                <w:szCs w:val="22"/>
              </w:rPr>
              <w:t>情境下原可成功逃生，但於</w:t>
            </w:r>
            <w:proofErr w:type="spellEnd"/>
            <w:r w:rsidRPr="003E17A2">
              <w:rPr>
                <w:rFonts w:ascii="標楷體" w:eastAsia="標楷體" w:hAnsi="標楷體"/>
                <w:sz w:val="22"/>
                <w:szCs w:val="22"/>
              </w:rPr>
              <w:t xml:space="preserve"> SMART 或 HYBRID </w:t>
            </w:r>
            <w:proofErr w:type="spellStart"/>
            <w:r w:rsidRPr="003E17A2">
              <w:rPr>
                <w:rFonts w:ascii="標楷體" w:eastAsia="標楷體" w:hAnsi="標楷體"/>
                <w:sz w:val="22"/>
                <w:szCs w:val="22"/>
              </w:rPr>
              <w:t>情境下反而未能逃生之人數比例，以總人數加權平均計算，作為系統介入是否可能引入新風險之量化指標</w:t>
            </w:r>
            <w:proofErr w:type="spellEnd"/>
            <w:r w:rsidRPr="003E17A2">
              <w:rPr>
                <w:rFonts w:ascii="標楷體" w:eastAsia="標楷體" w:hAnsi="標楷體"/>
                <w:sz w:val="22"/>
                <w:szCs w:val="22"/>
              </w:rPr>
              <w:t>。</w:t>
            </w:r>
          </w:p>
        </w:tc>
      </w:tr>
    </w:tbl>
    <w:p w14:paraId="62721AEC" w14:textId="77777777" w:rsidR="002D0E14" w:rsidRPr="003E17A2" w:rsidRDefault="002D0E14">
      <w:pPr>
        <w:rPr>
          <w:rFonts w:ascii="標楷體" w:eastAsia="標楷體" w:hAnsi="標楷體"/>
        </w:rPr>
      </w:pPr>
    </w:p>
    <w:p w14:paraId="4E7FC91E" w14:textId="77777777" w:rsidR="002D0E14" w:rsidRPr="003E17A2" w:rsidRDefault="00000000">
      <w:pPr>
        <w:pStyle w:val="2"/>
        <w:rPr>
          <w:rFonts w:ascii="標楷體" w:eastAsia="標楷體" w:hAnsi="標楷體"/>
        </w:rPr>
      </w:pPr>
      <w:r w:rsidRPr="003E17A2">
        <w:rPr>
          <w:rFonts w:ascii="標楷體" w:eastAsia="標楷體" w:hAnsi="標楷體"/>
        </w:rPr>
        <w:t xml:space="preserve">1.4　</w:t>
      </w:r>
      <w:proofErr w:type="spellStart"/>
      <w:r w:rsidRPr="003E17A2">
        <w:rPr>
          <w:rFonts w:ascii="標楷體" w:eastAsia="標楷體" w:hAnsi="標楷體"/>
        </w:rPr>
        <w:t>重要聲明</w:t>
      </w:r>
      <w:proofErr w:type="spellEnd"/>
    </w:p>
    <w:p w14:paraId="175367A1"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為避免本研究之模擬結果遭受過度延伸解讀，並呼應本模擬器原始文件中所載之聲明，本文於此明確界定以下事項，且此等聲明適用於全文各章節之論述：</w:t>
      </w:r>
    </w:p>
    <w:p w14:paraId="75BB5C42"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第一，構想來源之聲明。本研究所分析之物理驗證預測模擬器，係第四屆「解決未來問題能力競賽」團隊構想之下位子系統，其問題背景、案例分析與系統定位，均承接自團隊共同撰寫之構想報告書與構想簡報；模擬器本身之物理模型與程式架構，則由團隊成員周孝倫獨立開發完成，並附有獨立之技術文件（docs </w:t>
      </w:r>
      <w:proofErr w:type="spellStart"/>
      <w:r w:rsidRPr="003E17A2">
        <w:rPr>
          <w:rFonts w:ascii="標楷體" w:eastAsia="標楷體" w:hAnsi="標楷體"/>
        </w:rPr>
        <w:t>目錄下八篇說明文件）與參考文獻清單。本研究之第四章即以此獨立技術文件與原始程式碼為主要分析依據</w:t>
      </w:r>
      <w:proofErr w:type="spellEnd"/>
      <w:r w:rsidRPr="003E17A2">
        <w:rPr>
          <w:rFonts w:ascii="標楷體" w:eastAsia="標楷體" w:hAnsi="標楷體"/>
        </w:rPr>
        <w:t>。</w:t>
      </w:r>
    </w:p>
    <w:p w14:paraId="2FCF48D6"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第二，模擬不能代表之事項。本模擬所輸出之逃生率、死亡率、系統嚴重失誤機</w:t>
      </w:r>
      <w:r w:rsidRPr="003E17A2">
        <w:rPr>
          <w:rFonts w:ascii="標楷體" w:eastAsia="標楷體" w:hAnsi="標楷體"/>
        </w:rPr>
        <w:lastRenderedPageBreak/>
        <w:t>率等統計數值，均為特定簡化假設、特定建築規模與特定人員行為參數下之相對比較數據，並非通過消防工程專業審核之法規依據，亦未經真人受試者之實驗驗證。模擬所稱之「建築」為程式依規則隨機生成之網格化空間，並非對任何真實既有建築（包括構想報告書所引用之錢櫃 KTV 案例）之司法級或工程級精確重建。模擬所輸出之「存活率」數值，不得直接解讀或引用為真實火場中人員之存活機率，亦不得作為特定建築物是否符合消防安全規範之判斷依據。</w:t>
      </w:r>
    </w:p>
    <w:p w14:paraId="3E2A1322"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第三，數值性質之聲明。本模擬所引用之物理公式（如熱釋放率成長曲線、Purser</w:t>
      </w:r>
      <w:proofErr w:type="spellEnd"/>
      <w:r w:rsidRPr="003E17A2">
        <w:rPr>
          <w:rFonts w:ascii="標楷體" w:eastAsia="標楷體" w:hAnsi="標楷體"/>
        </w:rPr>
        <w:t xml:space="preserve"> </w:t>
      </w:r>
      <w:proofErr w:type="spellStart"/>
      <w:r w:rsidRPr="003E17A2">
        <w:rPr>
          <w:rFonts w:ascii="標楷體" w:eastAsia="標楷體" w:hAnsi="標楷體"/>
        </w:rPr>
        <w:t>劑量模型、Weibull</w:t>
      </w:r>
      <w:proofErr w:type="spellEnd"/>
      <w:r w:rsidRPr="003E17A2">
        <w:rPr>
          <w:rFonts w:ascii="標楷體" w:eastAsia="標楷體" w:hAnsi="標楷體"/>
        </w:rPr>
        <w:t xml:space="preserve"> </w:t>
      </w:r>
      <w:proofErr w:type="spellStart"/>
      <w:r w:rsidRPr="003E17A2">
        <w:rPr>
          <w:rFonts w:ascii="標楷體" w:eastAsia="標楷體" w:hAnsi="標楷體"/>
        </w:rPr>
        <w:t>存活分布、孔口流量公式、Fick's</w:t>
      </w:r>
      <w:proofErr w:type="spellEnd"/>
      <w:r w:rsidRPr="003E17A2">
        <w:rPr>
          <w:rFonts w:ascii="標楷體" w:eastAsia="標楷體" w:hAnsi="標楷體"/>
        </w:rPr>
        <w:t xml:space="preserve"> Second Law </w:t>
      </w:r>
      <w:proofErr w:type="spellStart"/>
      <w:r w:rsidRPr="003E17A2">
        <w:rPr>
          <w:rFonts w:ascii="標楷體" w:eastAsia="標楷體" w:hAnsi="標楷體"/>
        </w:rPr>
        <w:t>等）具備明確之國際標準或學術文獻對應；然而，模型中亦存在為使程式得以運作而設定之工程假設參數（如系統服從率</w:t>
      </w:r>
      <w:proofErr w:type="spellEnd"/>
      <w:r w:rsidRPr="003E17A2">
        <w:rPr>
          <w:rFonts w:ascii="標楷體" w:eastAsia="標楷體" w:hAnsi="標楷體"/>
        </w:rPr>
        <w:t xml:space="preserve"> 85%、</w:t>
      </w:r>
      <w:proofErr w:type="spellStart"/>
      <w:r w:rsidRPr="003E17A2">
        <w:rPr>
          <w:rFonts w:ascii="標楷體" w:eastAsia="標楷體" w:hAnsi="標楷體"/>
        </w:rPr>
        <w:t>感測器故障率</w:t>
      </w:r>
      <w:proofErr w:type="spellEnd"/>
      <w:r w:rsidRPr="003E17A2">
        <w:rPr>
          <w:rFonts w:ascii="標楷體" w:eastAsia="標楷體" w:hAnsi="標楷體"/>
        </w:rPr>
        <w:t xml:space="preserve"> 0.2% 等），此類數值未見於單一文獻之直接引用，屬開發者依工程判斷所設定之合理量級。本研究於第三章與第四章中，將明確區分此兩類數值，以維持論述之客觀性。</w:t>
      </w:r>
    </w:p>
    <w:p w14:paraId="6F2CCD93"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四，用詞客觀性之聲明。本研究於論述模擬結果與構想成效時，避免使用「更好」「顯著」「大幅」等未經量化佐證之主觀詞彙；凡涉及比較性論斷，均以具體數值、百分比或統計量級佐證，並註明其計算基準與樣本規模，以符合客觀論證之要求。</w:t>
      </w:r>
    </w:p>
    <w:p w14:paraId="24D77285" w14:textId="77777777" w:rsidR="002D0E14" w:rsidRPr="003E17A2" w:rsidRDefault="00000000">
      <w:pPr>
        <w:pStyle w:val="1"/>
        <w:pageBreakBefore/>
        <w:rPr>
          <w:rFonts w:ascii="標楷體" w:eastAsia="標楷體" w:hAnsi="標楷體"/>
        </w:rPr>
      </w:pPr>
      <w:proofErr w:type="spellStart"/>
      <w:r w:rsidRPr="003E17A2">
        <w:rPr>
          <w:rFonts w:ascii="標楷體" w:eastAsia="標楷體" w:hAnsi="標楷體"/>
        </w:rPr>
        <w:lastRenderedPageBreak/>
        <w:t>第二章</w:t>
      </w:r>
      <w:proofErr w:type="spellEnd"/>
      <w:r w:rsidRPr="003E17A2">
        <w:rPr>
          <w:rFonts w:ascii="標楷體" w:eastAsia="標楷體" w:hAnsi="標楷體"/>
        </w:rPr>
        <w:t xml:space="preserve">　</w:t>
      </w:r>
      <w:proofErr w:type="spellStart"/>
      <w:r w:rsidRPr="003E17A2">
        <w:rPr>
          <w:rFonts w:ascii="標楷體" w:eastAsia="標楷體" w:hAnsi="標楷體"/>
        </w:rPr>
        <w:t>概念與文獻探討</w:t>
      </w:r>
      <w:proofErr w:type="spellEnd"/>
    </w:p>
    <w:p w14:paraId="7851245E" w14:textId="77777777" w:rsidR="002D0E14" w:rsidRPr="003E17A2" w:rsidRDefault="00000000">
      <w:pPr>
        <w:pStyle w:val="2"/>
        <w:rPr>
          <w:rFonts w:ascii="標楷體" w:eastAsia="標楷體" w:hAnsi="標楷體"/>
        </w:rPr>
      </w:pPr>
      <w:r w:rsidRPr="003E17A2">
        <w:rPr>
          <w:rFonts w:ascii="標楷體" w:eastAsia="標楷體" w:hAnsi="標楷體"/>
        </w:rPr>
        <w:t xml:space="preserve">2.1　</w:t>
      </w:r>
      <w:proofErr w:type="spellStart"/>
      <w:r w:rsidRPr="003E17A2">
        <w:rPr>
          <w:rFonts w:ascii="標楷體" w:eastAsia="標楷體" w:hAnsi="標楷體"/>
        </w:rPr>
        <w:t>網格化模擬方法之基本概念</w:t>
      </w:r>
      <w:proofErr w:type="spellEnd"/>
    </w:p>
    <w:p w14:paraId="5BED11FF"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本模擬器採用元胞自動機（Cellular</w:t>
      </w:r>
      <w:proofErr w:type="spellEnd"/>
      <w:r w:rsidRPr="003E17A2">
        <w:rPr>
          <w:rFonts w:ascii="標楷體" w:eastAsia="標楷體" w:hAnsi="標楷體"/>
        </w:rPr>
        <w:t xml:space="preserve"> Automaton, CA）作為建築空間、火災延燒與人員疏散之共同表示方法。元胞自動機之基本作法，係將連續之物理空間離散化為規則排列之網格（cell），每一網格於每一離散時間步（本模擬中稱為 </w:t>
      </w:r>
      <w:proofErr w:type="spellStart"/>
      <w:r w:rsidRPr="003E17A2">
        <w:rPr>
          <w:rFonts w:ascii="標楷體" w:eastAsia="標楷體" w:hAnsi="標楷體"/>
        </w:rPr>
        <w:t>Tick）依據其自身狀態與相鄰網格之狀態，依預先定義之局部規則更新。本模擬器將每一網格邊長設定為</w:t>
      </w:r>
      <w:proofErr w:type="spellEnd"/>
      <w:r w:rsidRPr="003E17A2">
        <w:rPr>
          <w:rFonts w:ascii="標楷體" w:eastAsia="標楷體" w:hAnsi="標楷體"/>
        </w:rPr>
        <w:t xml:space="preserve"> 0.4 </w:t>
      </w:r>
      <w:proofErr w:type="spellStart"/>
      <w:r w:rsidRPr="003E17A2">
        <w:rPr>
          <w:rFonts w:ascii="標楷體" w:eastAsia="標楷體" w:hAnsi="標楷體"/>
        </w:rPr>
        <w:t>公尺，此一數值依程式註解說明，取自元胞自動機疏散模型慣例中「約等於一人站立所需之平面投影面積」之常見量級，並可與</w:t>
      </w:r>
      <w:proofErr w:type="spellEnd"/>
      <w:r w:rsidRPr="003E17A2">
        <w:rPr>
          <w:rFonts w:ascii="標楷體" w:eastAsia="標楷體" w:hAnsi="標楷體"/>
        </w:rPr>
        <w:t xml:space="preserve"> Kirchner 與 Schadschneider（2002）、Blue 與 Adler </w:t>
      </w:r>
      <w:proofErr w:type="spellStart"/>
      <w:r w:rsidRPr="003E17A2">
        <w:rPr>
          <w:rFonts w:ascii="標楷體" w:eastAsia="標楷體" w:hAnsi="標楷體"/>
        </w:rPr>
        <w:t>等學者於行人流元胞自動機模型中之網格設定量級相互對照。時間步長則設定為</w:t>
      </w:r>
      <w:proofErr w:type="spellEnd"/>
      <w:r w:rsidRPr="003E17A2">
        <w:rPr>
          <w:rFonts w:ascii="標楷體" w:eastAsia="標楷體" w:hAnsi="標楷體"/>
        </w:rPr>
        <w:t xml:space="preserve"> 1 Tick </w:t>
      </w:r>
      <w:proofErr w:type="spellStart"/>
      <w:r w:rsidRPr="003E17A2">
        <w:rPr>
          <w:rFonts w:ascii="標楷體" w:eastAsia="標楷體" w:hAnsi="標楷體"/>
        </w:rPr>
        <w:t>對應現實時間</w:t>
      </w:r>
      <w:proofErr w:type="spellEnd"/>
      <w:r w:rsidRPr="003E17A2">
        <w:rPr>
          <w:rFonts w:ascii="標楷體" w:eastAsia="標楷體" w:hAnsi="標楷體"/>
        </w:rPr>
        <w:t xml:space="preserve"> 1 </w:t>
      </w:r>
      <w:proofErr w:type="spellStart"/>
      <w:r w:rsidRPr="003E17A2">
        <w:rPr>
          <w:rFonts w:ascii="標楷體" w:eastAsia="標楷體" w:hAnsi="標楷體"/>
        </w:rPr>
        <w:t>秒，使人員基礎移動速度</w:t>
      </w:r>
      <w:proofErr w:type="spellEnd"/>
      <w:r w:rsidRPr="003E17A2">
        <w:rPr>
          <w:rFonts w:ascii="標楷體" w:eastAsia="標楷體" w:hAnsi="標楷體"/>
        </w:rPr>
        <w:t xml:space="preserve"> 3 </w:t>
      </w:r>
      <w:proofErr w:type="spellStart"/>
      <w:r w:rsidRPr="003E17A2">
        <w:rPr>
          <w:rFonts w:ascii="標楷體" w:eastAsia="標楷體" w:hAnsi="標楷體"/>
        </w:rPr>
        <w:t>格／Tick</w:t>
      </w:r>
      <w:proofErr w:type="spellEnd"/>
      <w:r w:rsidRPr="003E17A2">
        <w:rPr>
          <w:rFonts w:ascii="標楷體" w:eastAsia="標楷體" w:hAnsi="標楷體"/>
        </w:rPr>
        <w:t xml:space="preserve"> </w:t>
      </w:r>
      <w:proofErr w:type="spellStart"/>
      <w:r w:rsidRPr="003E17A2">
        <w:rPr>
          <w:rFonts w:ascii="標楷體" w:eastAsia="標楷體" w:hAnsi="標楷體"/>
        </w:rPr>
        <w:t>恰可換算為</w:t>
      </w:r>
      <w:proofErr w:type="spellEnd"/>
      <w:r w:rsidRPr="003E17A2">
        <w:rPr>
          <w:rFonts w:ascii="標楷體" w:eastAsia="標楷體" w:hAnsi="標楷體"/>
        </w:rPr>
        <w:t xml:space="preserve"> 1.2 </w:t>
      </w:r>
      <w:proofErr w:type="spellStart"/>
      <w:r w:rsidRPr="003E17A2">
        <w:rPr>
          <w:rFonts w:ascii="標楷體" w:eastAsia="標楷體" w:hAnsi="標楷體"/>
        </w:rPr>
        <w:t>公尺／秒，對應</w:t>
      </w:r>
      <w:proofErr w:type="spellEnd"/>
      <w:r w:rsidRPr="003E17A2">
        <w:rPr>
          <w:rFonts w:ascii="標楷體" w:eastAsia="標楷體" w:hAnsi="標楷體"/>
        </w:rPr>
        <w:t xml:space="preserve"> SFPE Handbook 與 Fruin（1971）文獻中常見之保守設計疏散速度。</w:t>
      </w:r>
    </w:p>
    <w:p w14:paraId="30D85A8D"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元胞自動機方法於疏散模擬與火災模擬領域具有長期之應用傳統，其核心優勢在於：以簡單、可枚舉之局部規則，模擬大規模個體之集體行為，計算複雜度遠低於需要求解偏微分方程組之連續模型，因而適合於同一硬體資源下，於合理時間內完成大量重複情境（本研究中為四十場建築配置、各三種模式，合計一百二十次完整模擬）之統計比較。此一計算效率上之優勢，直接對應本研究第三章所欲檢驗之「模擬結果是否具備可驗證性」之前提要求：唯有能於可接受時間內產生充分樣本數，統計比較（如逃生率之場次平均、系統嚴重失誤機率之人數加權平均）方具備意義。</w:t>
      </w:r>
    </w:p>
    <w:p w14:paraId="771690D0" w14:textId="77777777" w:rsidR="002D0E14" w:rsidRPr="003E17A2" w:rsidRDefault="00000000">
      <w:pPr>
        <w:pStyle w:val="2"/>
        <w:rPr>
          <w:rFonts w:ascii="標楷體" w:eastAsia="標楷體" w:hAnsi="標楷體"/>
        </w:rPr>
      </w:pPr>
      <w:r w:rsidRPr="003E17A2">
        <w:rPr>
          <w:rFonts w:ascii="標楷體" w:eastAsia="標楷體" w:hAnsi="標楷體"/>
        </w:rPr>
        <w:t xml:space="preserve">2.2　</w:t>
      </w:r>
      <w:proofErr w:type="spellStart"/>
      <w:r w:rsidRPr="003E17A2">
        <w:rPr>
          <w:rFonts w:ascii="標楷體" w:eastAsia="標楷體" w:hAnsi="標楷體"/>
        </w:rPr>
        <w:t>網格化方法之優勢與侷限分析</w:t>
      </w:r>
      <w:proofErr w:type="spellEnd"/>
    </w:p>
    <w:p w14:paraId="37BE613E"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本節依本模擬器之實際實作方式，分別自優勢與侷限兩個面向，檢視網格化方法應用於本研究情境之適切性</w:t>
      </w:r>
      <w:proofErr w:type="spellEnd"/>
      <w:r w:rsidRPr="003E17A2">
        <w:rPr>
          <w:rFonts w:ascii="標楷體" w:eastAsia="標楷體" w:hAnsi="標楷體"/>
        </w:rPr>
        <w:t>。</w:t>
      </w:r>
    </w:p>
    <w:p w14:paraId="1DA54DBC"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一）優勢</w:t>
      </w:r>
      <w:proofErr w:type="spellEnd"/>
      <w:r w:rsidRPr="003E17A2">
        <w:rPr>
          <w:rFonts w:ascii="標楷體" w:eastAsia="標楷體" w:hAnsi="標楷體"/>
          <w:b/>
          <w:bCs/>
        </w:rPr>
        <w:t>：</w:t>
      </w:r>
    </w:p>
    <w:p w14:paraId="69A3E057"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第一，規則模組化程度高，便於分層驗證。本模擬器之火災化學（FireChemistry）、門流量模型（DoorFlowModel）、門洩漏模型（DoorLeakageModel）、通風概況（VentilationProfile）等模組，均以獨立類別封</w:t>
      </w:r>
      <w:r w:rsidRPr="003E17A2">
        <w:rPr>
          <w:rFonts w:ascii="標楷體" w:eastAsia="標楷體" w:hAnsi="標楷體"/>
        </w:rPr>
        <w:lastRenderedPageBreak/>
        <w:t>裝各自之物理規則，且各自對應明確之公式與文獻出處（詳見第三章與第四章）。此一模組化特性，使本研究得以逐一檢視各物理子系統之理論前提，而非僅能對模擬器整體之「黑箱」輸出進行事後統計，此為第三章可行性分析得以逐項展開之結構性基礎。</w:t>
      </w:r>
    </w:p>
    <w:p w14:paraId="4EE2488A"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二，離散化便於施加硬性規則與例外狀態。火場中門之耐火失效、樓梯間防火隔間、可燃物之隨機鋪設等現象，均具有清楚之空間邊界（某一格是否鋪設可燃物、某一格是否為門），此類具備明確二元或有限狀態之現象，於網格化架構下可直接以物件屬性（如 `blocked`、`</w:t>
      </w:r>
      <w:proofErr w:type="spellStart"/>
      <w:r w:rsidRPr="003E17A2">
        <w:rPr>
          <w:rFonts w:ascii="標楷體" w:eastAsia="標楷體" w:hAnsi="標楷體"/>
        </w:rPr>
        <w:t>isOpen</w:t>
      </w:r>
      <w:proofErr w:type="spellEnd"/>
      <w:r w:rsidRPr="003E17A2">
        <w:rPr>
          <w:rFonts w:ascii="標楷體" w:eastAsia="標楷體" w:hAnsi="標楷體"/>
        </w:rPr>
        <w:t>`、`broken`）</w:t>
      </w:r>
      <w:proofErr w:type="spellStart"/>
      <w:r w:rsidRPr="003E17A2">
        <w:rPr>
          <w:rFonts w:ascii="標楷體" w:eastAsia="標楷體" w:hAnsi="標楷體"/>
        </w:rPr>
        <w:t>表示，且狀態轉換規則（如</w:t>
      </w:r>
      <w:proofErr w:type="spellEnd"/>
      <w:r w:rsidRPr="003E17A2">
        <w:rPr>
          <w:rFonts w:ascii="標楷體" w:eastAsia="標楷體" w:hAnsi="標楷體"/>
        </w:rPr>
        <w:t xml:space="preserve"> Weibull </w:t>
      </w:r>
      <w:proofErr w:type="spellStart"/>
      <w:r w:rsidRPr="003E17A2">
        <w:rPr>
          <w:rFonts w:ascii="標楷體" w:eastAsia="標楷體" w:hAnsi="標楷體"/>
        </w:rPr>
        <w:t>存活分布決定之耐火失效）可逐格獨立計算，不需額外處理連續空間中邊界條件之數值近似問題</w:t>
      </w:r>
      <w:proofErr w:type="spellEnd"/>
      <w:r w:rsidRPr="003E17A2">
        <w:rPr>
          <w:rFonts w:ascii="標楷體" w:eastAsia="標楷體" w:hAnsi="標楷體"/>
        </w:rPr>
        <w:t>。</w:t>
      </w:r>
    </w:p>
    <w:p w14:paraId="5A05B54A"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第三，路徑規劃演算法（如</w:t>
      </w:r>
      <w:proofErr w:type="spellEnd"/>
      <w:r w:rsidRPr="003E17A2">
        <w:rPr>
          <w:rFonts w:ascii="標楷體" w:eastAsia="標楷體" w:hAnsi="標楷體"/>
        </w:rPr>
        <w:t xml:space="preserve"> Dijkstra 最短路徑）於網格圖上具有成熟之演算法基礎與可預期之計算複雜度。本模擬器之決策支援路徑規劃（RouteFinder、SmartEscapeStrategy），即直接建立於網格所天然形成之圖結構（每一格為節點，相鄰可通行格之間為邊）之上，使決策支援系統之「路徑指引」機制得以用標準圖論演算法實現，且其正確性與終止性具有理論保證。</w:t>
      </w:r>
    </w:p>
    <w:p w14:paraId="2808CBF3"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二）侷限</w:t>
      </w:r>
      <w:proofErr w:type="spellEnd"/>
      <w:r w:rsidRPr="003E17A2">
        <w:rPr>
          <w:rFonts w:ascii="標楷體" w:eastAsia="標楷體" w:hAnsi="標楷體"/>
          <w:b/>
          <w:bCs/>
        </w:rPr>
        <w:t>：</w:t>
      </w:r>
    </w:p>
    <w:p w14:paraId="7484EA9D"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第一，空間解析度受限於網格邊長，無法呈現連續流場之精細結構。本模擬器之煙霧擴散雖採用</w:t>
      </w:r>
      <w:proofErr w:type="spellEnd"/>
      <w:r w:rsidRPr="003E17A2">
        <w:rPr>
          <w:rFonts w:ascii="標楷體" w:eastAsia="標楷體" w:hAnsi="標楷體"/>
        </w:rPr>
        <w:t xml:space="preserve"> Fick's Second Law </w:t>
      </w:r>
      <w:proofErr w:type="spellStart"/>
      <w:r w:rsidRPr="003E17A2">
        <w:rPr>
          <w:rFonts w:ascii="標楷體" w:eastAsia="標楷體" w:hAnsi="標楷體"/>
        </w:rPr>
        <w:t>之有限差分近似，然其空間解析度受限於</w:t>
      </w:r>
      <w:proofErr w:type="spellEnd"/>
      <w:r w:rsidRPr="003E17A2">
        <w:rPr>
          <w:rFonts w:ascii="標楷體" w:eastAsia="標楷體" w:hAnsi="標楷體"/>
        </w:rPr>
        <w:t xml:space="preserve"> 0.4 </w:t>
      </w:r>
      <w:proofErr w:type="spellStart"/>
      <w:r w:rsidRPr="003E17A2">
        <w:rPr>
          <w:rFonts w:ascii="標楷體" w:eastAsia="標楷體" w:hAnsi="標楷體"/>
        </w:rPr>
        <w:t>公尺網格，相較於完整計算流體力學（CFD）模型（如</w:t>
      </w:r>
      <w:proofErr w:type="spellEnd"/>
      <w:r w:rsidRPr="003E17A2">
        <w:rPr>
          <w:rFonts w:ascii="標楷體" w:eastAsia="標楷體" w:hAnsi="標楷體"/>
        </w:rPr>
        <w:t xml:space="preserve"> NIST </w:t>
      </w:r>
      <w:proofErr w:type="spellStart"/>
      <w:r w:rsidRPr="003E17A2">
        <w:rPr>
          <w:rFonts w:ascii="標楷體" w:eastAsia="標楷體" w:hAnsi="標楷體"/>
        </w:rPr>
        <w:t>所開發之</w:t>
      </w:r>
      <w:proofErr w:type="spellEnd"/>
      <w:r w:rsidRPr="003E17A2">
        <w:rPr>
          <w:rFonts w:ascii="標楷體" w:eastAsia="標楷體" w:hAnsi="標楷體"/>
        </w:rPr>
        <w:t xml:space="preserve"> Fire Dynamics Simulator, FDS，其網格可依需求細分至公分等級），本模擬無法呈現火場中熱羽流、渦流等次網格尺度之流體現象，僅能以「準穩態代數模型」近似溫度場、以「對稱通量」近似煙霧濃度場之逐格演化。此一侷限已於本模擬器技術文件（docs/03-fire-model.md）中明確標註，溫度場模型並註明其修正目的為避免「隨時間無界疊加」之非物理現象，而非追求與 CFD </w:t>
      </w:r>
      <w:proofErr w:type="spellStart"/>
      <w:r w:rsidRPr="003E17A2">
        <w:rPr>
          <w:rFonts w:ascii="標楷體" w:eastAsia="標楷體" w:hAnsi="標楷體"/>
        </w:rPr>
        <w:t>模型同等之空間精度</w:t>
      </w:r>
      <w:proofErr w:type="spellEnd"/>
      <w:r w:rsidRPr="003E17A2">
        <w:rPr>
          <w:rFonts w:ascii="標楷體" w:eastAsia="標楷體" w:hAnsi="標楷體"/>
        </w:rPr>
        <w:t>。</w:t>
      </w:r>
    </w:p>
    <w:p w14:paraId="2A2971DD"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第二，人員行為之網格化離散，可能無法完整呈現連續空間中之避讓、繞行等精細動作。本模擬中人員每</w:t>
      </w:r>
      <w:proofErr w:type="spellEnd"/>
      <w:r w:rsidRPr="003E17A2">
        <w:rPr>
          <w:rFonts w:ascii="標楷體" w:eastAsia="標楷體" w:hAnsi="標楷體"/>
        </w:rPr>
        <w:t xml:space="preserve"> Tick </w:t>
      </w:r>
      <w:proofErr w:type="spellStart"/>
      <w:r w:rsidRPr="003E17A2">
        <w:rPr>
          <w:rFonts w:ascii="標楷體" w:eastAsia="標楷體" w:hAnsi="標楷體"/>
        </w:rPr>
        <w:t>之移動量為整數格，密度抑制下之小數速度部分改以機率決定是否多走一格（詳見</w:t>
      </w:r>
      <w:proofErr w:type="spellEnd"/>
      <w:r w:rsidRPr="003E17A2">
        <w:rPr>
          <w:rFonts w:ascii="標楷體" w:eastAsia="標楷體" w:hAnsi="標楷體"/>
        </w:rPr>
        <w:t xml:space="preserve"> 02-evacuation-model.md 第 4 節），</w:t>
      </w:r>
      <w:proofErr w:type="spellStart"/>
      <w:r w:rsidRPr="003E17A2">
        <w:rPr>
          <w:rFonts w:ascii="標楷體" w:eastAsia="標楷體" w:hAnsi="標楷體"/>
        </w:rPr>
        <w:t>此一處理方式雖使「平均而言」符合連續速度公式，然於單一</w:t>
      </w:r>
      <w:proofErr w:type="spellEnd"/>
      <w:r w:rsidRPr="003E17A2">
        <w:rPr>
          <w:rFonts w:ascii="標楷體" w:eastAsia="標楷體" w:hAnsi="標楷體"/>
        </w:rPr>
        <w:t xml:space="preserve"> </w:t>
      </w:r>
      <w:proofErr w:type="spellStart"/>
      <w:r w:rsidRPr="003E17A2">
        <w:rPr>
          <w:rFonts w:ascii="標楷體" w:eastAsia="標楷體" w:hAnsi="標楷體"/>
        </w:rPr>
        <w:t>Tick、單一人員之層次，其移動軌跡仍</w:t>
      </w:r>
      <w:r w:rsidRPr="003E17A2">
        <w:rPr>
          <w:rFonts w:ascii="標楷體" w:eastAsia="標楷體" w:hAnsi="標楷體"/>
        </w:rPr>
        <w:lastRenderedPageBreak/>
        <w:t>為離散跳躍，與社會力模型（Social</w:t>
      </w:r>
      <w:proofErr w:type="spellEnd"/>
      <w:r w:rsidRPr="003E17A2">
        <w:rPr>
          <w:rFonts w:ascii="標楷體" w:eastAsia="標楷體" w:hAnsi="標楷體"/>
        </w:rPr>
        <w:t xml:space="preserve"> Force </w:t>
      </w:r>
      <w:proofErr w:type="spellStart"/>
      <w:r w:rsidRPr="003E17A2">
        <w:rPr>
          <w:rFonts w:ascii="標楷體" w:eastAsia="標楷體" w:hAnsi="標楷體"/>
        </w:rPr>
        <w:t>Model）等連續空間人員移動模型相比，於呈現「多人狹路交會時之細微避讓行為」上，解析度較低</w:t>
      </w:r>
      <w:proofErr w:type="spellEnd"/>
      <w:r w:rsidRPr="003E17A2">
        <w:rPr>
          <w:rFonts w:ascii="標楷體" w:eastAsia="標楷體" w:hAnsi="標楷體"/>
        </w:rPr>
        <w:t>。</w:t>
      </w:r>
    </w:p>
    <w:p w14:paraId="1301E342"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三，網格化建築生成與真實建築之對應關係有限。本模擬器之建築配置（BuildingGenerator）採規則式隨機生成，雖可透過自訂房間文字檔（CustomRoomTextLoader）匯入手動設計之樓層配置，然其生成邏輯仍以網格為最小單位，對於現實建築中常見之非直角牆面、不規則樓梯間形狀等幾何特徵，僅能以網格近似呈現，此點已於本模擬器 README 之「重要聲明」中載明「非判定真實建築消防安全之法規依據」。此一侷限亦與第五章所述「低矮建築與公寓兩種建築類型，均為依規則生成之研究模型，非特定既有建築之精確重建」之研究限制相呼應。</w:t>
      </w:r>
    </w:p>
    <w:p w14:paraId="4A7828C0"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綜合而言，網格化元胞自動機方法於「大量重複情境之統計比較」此一研究目的下，具備計算效率與模組化驗證之結構性優勢；然其解析度侷限，亦決定了本研究之模擬結果，僅能作為系統介入方向與相對幅度之參考依據，而非精確之工程數值，此一定位將於第三章可行性分析中進一步申論。</w:t>
      </w:r>
    </w:p>
    <w:p w14:paraId="7EC03C6A" w14:textId="77777777" w:rsidR="002D0E14" w:rsidRPr="003E17A2" w:rsidRDefault="00000000">
      <w:pPr>
        <w:pStyle w:val="2"/>
        <w:rPr>
          <w:rFonts w:ascii="標楷體" w:eastAsia="標楷體" w:hAnsi="標楷體"/>
        </w:rPr>
      </w:pPr>
      <w:r w:rsidRPr="003E17A2">
        <w:rPr>
          <w:rFonts w:ascii="標楷體" w:eastAsia="標楷體" w:hAnsi="標楷體"/>
        </w:rPr>
        <w:t xml:space="preserve">2.3　</w:t>
      </w:r>
      <w:proofErr w:type="spellStart"/>
      <w:r w:rsidRPr="003E17A2">
        <w:rPr>
          <w:rFonts w:ascii="標楷體" w:eastAsia="標楷體" w:hAnsi="標楷體"/>
        </w:rPr>
        <w:t>本模擬所需之前提理論</w:t>
      </w:r>
      <w:proofErr w:type="spellEnd"/>
    </w:p>
    <w:p w14:paraId="2FDAB993"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模擬器之物理與統計基礎，涉及消防工程、火災動力學、毒理學與人流工程等多個領域之經典理論。為使第三章之可行性分析與第四章之系統分析具備共同之理論基礎，本節先行整理各理論之核心內容與其於本模擬中之定位。</w:t>
      </w:r>
    </w:p>
    <w:p w14:paraId="750E1B09"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一）ASET／RSET</w:t>
      </w:r>
      <w:proofErr w:type="spellEnd"/>
      <w:r w:rsidRPr="003E17A2">
        <w:rPr>
          <w:rFonts w:ascii="標楷體" w:eastAsia="標楷體" w:hAnsi="標楷體"/>
          <w:b/>
          <w:bCs/>
        </w:rPr>
        <w:t xml:space="preserve"> </w:t>
      </w:r>
      <w:proofErr w:type="spellStart"/>
      <w:r w:rsidRPr="003E17A2">
        <w:rPr>
          <w:rFonts w:ascii="標楷體" w:eastAsia="標楷體" w:hAnsi="標楷體"/>
          <w:b/>
          <w:bCs/>
        </w:rPr>
        <w:t>框架</w:t>
      </w:r>
      <w:proofErr w:type="spellEnd"/>
      <w:r w:rsidRPr="003E17A2">
        <w:rPr>
          <w:rFonts w:ascii="標楷體" w:eastAsia="標楷體" w:hAnsi="標楷體"/>
          <w:b/>
          <w:bCs/>
        </w:rPr>
        <w:t>：</w:t>
      </w:r>
    </w:p>
    <w:p w14:paraId="393011EB"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可用安全逃生時間（ASET）與所需安全逃生時間（RSET）之相對關係，為消防工程評估建築物逃生安全性之核心框架，廣泛見於</w:t>
      </w:r>
      <w:proofErr w:type="spellEnd"/>
      <w:r w:rsidRPr="003E17A2">
        <w:rPr>
          <w:rFonts w:ascii="標楷體" w:eastAsia="標楷體" w:hAnsi="標楷體"/>
        </w:rPr>
        <w:t xml:space="preserve"> NIST </w:t>
      </w:r>
      <w:proofErr w:type="spellStart"/>
      <w:r w:rsidRPr="003E17A2">
        <w:rPr>
          <w:rFonts w:ascii="標楷體" w:eastAsia="標楷體" w:hAnsi="標楷體"/>
        </w:rPr>
        <w:t>相關之人員行為研究（如</w:t>
      </w:r>
      <w:proofErr w:type="spellEnd"/>
      <w:r w:rsidRPr="003E17A2">
        <w:rPr>
          <w:rFonts w:ascii="標楷體" w:eastAsia="標楷體" w:hAnsi="標楷體"/>
        </w:rPr>
        <w:t xml:space="preserve"> Kuligowski, 2010；Kinateder et al., 2014；Averill, Reneke, &amp; Peacock, 2008）。</w:t>
      </w:r>
      <w:proofErr w:type="spellStart"/>
      <w:r w:rsidRPr="003E17A2">
        <w:rPr>
          <w:rFonts w:ascii="標楷體" w:eastAsia="標楷體" w:hAnsi="標楷體"/>
        </w:rPr>
        <w:t>本模擬器將此框架直接對應為模擬終止條件與安全餘裕之計算基準：ASET</w:t>
      </w:r>
      <w:proofErr w:type="spellEnd"/>
      <w:r w:rsidRPr="003E17A2">
        <w:rPr>
          <w:rFonts w:ascii="標楷體" w:eastAsia="標楷體" w:hAnsi="標楷體"/>
        </w:rPr>
        <w:t xml:space="preserve"> </w:t>
      </w:r>
      <w:proofErr w:type="spellStart"/>
      <w:r w:rsidRPr="003E17A2">
        <w:rPr>
          <w:rFonts w:ascii="標楷體" w:eastAsia="標楷體" w:hAnsi="標楷體"/>
        </w:rPr>
        <w:t>定義為建築內所有可停留格子首次全數同時著火或達四判据危險狀態之</w:t>
      </w:r>
      <w:proofErr w:type="spellEnd"/>
      <w:r w:rsidRPr="003E17A2">
        <w:rPr>
          <w:rFonts w:ascii="標楷體" w:eastAsia="標楷體" w:hAnsi="標楷體"/>
        </w:rPr>
        <w:t xml:space="preserve"> </w:t>
      </w:r>
      <w:proofErr w:type="spellStart"/>
      <w:r w:rsidRPr="003E17A2">
        <w:rPr>
          <w:rFonts w:ascii="標楷體" w:eastAsia="標楷體" w:hAnsi="標楷體"/>
        </w:rPr>
        <w:t>Tick；RSET</w:t>
      </w:r>
      <w:proofErr w:type="spellEnd"/>
      <w:r w:rsidRPr="003E17A2">
        <w:rPr>
          <w:rFonts w:ascii="標楷體" w:eastAsia="標楷體" w:hAnsi="標楷體"/>
        </w:rPr>
        <w:t xml:space="preserve"> </w:t>
      </w:r>
      <w:proofErr w:type="spellStart"/>
      <w:r w:rsidRPr="003E17A2">
        <w:rPr>
          <w:rFonts w:ascii="標楷體" w:eastAsia="標楷體" w:hAnsi="標楷體"/>
        </w:rPr>
        <w:t>則以人員自點火或自察覺起算至成功逃生所需之平均</w:t>
      </w:r>
      <w:proofErr w:type="spellEnd"/>
      <w:r w:rsidRPr="003E17A2">
        <w:rPr>
          <w:rFonts w:ascii="標楷體" w:eastAsia="標楷體" w:hAnsi="標楷體"/>
        </w:rPr>
        <w:t xml:space="preserve"> Tick </w:t>
      </w:r>
      <w:proofErr w:type="spellStart"/>
      <w:r w:rsidRPr="003E17A2">
        <w:rPr>
          <w:rFonts w:ascii="標楷體" w:eastAsia="標楷體" w:hAnsi="標楷體"/>
        </w:rPr>
        <w:t>數計算；兩者之差值即為安全餘裕，作為第五章成效分析之核心指標之一</w:t>
      </w:r>
      <w:proofErr w:type="spellEnd"/>
      <w:r w:rsidRPr="003E17A2">
        <w:rPr>
          <w:rFonts w:ascii="標楷體" w:eastAsia="標楷體" w:hAnsi="標楷體"/>
        </w:rPr>
        <w:t>。</w:t>
      </w:r>
    </w:p>
    <w:p w14:paraId="042C42B6"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二）火災成長與熱釋放率模型</w:t>
      </w:r>
      <w:proofErr w:type="spellEnd"/>
      <w:r w:rsidRPr="003E17A2">
        <w:rPr>
          <w:rFonts w:ascii="標楷體" w:eastAsia="標楷體" w:hAnsi="標楷體"/>
          <w:b/>
          <w:bCs/>
        </w:rPr>
        <w:t>：</w:t>
      </w:r>
    </w:p>
    <w:p w14:paraId="3107E788"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NFPA 與 SFPE Handbook </w:t>
      </w:r>
      <w:proofErr w:type="spellStart"/>
      <w:r w:rsidRPr="003E17A2">
        <w:rPr>
          <w:rFonts w:ascii="標楷體" w:eastAsia="標楷體" w:hAnsi="標楷體"/>
        </w:rPr>
        <w:t>所載之</w:t>
      </w:r>
      <w:proofErr w:type="spellEnd"/>
      <w:r w:rsidRPr="003E17A2">
        <w:rPr>
          <w:rFonts w:ascii="標楷體" w:eastAsia="標楷體" w:hAnsi="標楷體"/>
        </w:rPr>
        <w:t xml:space="preserve"> t² </w:t>
      </w:r>
      <w:proofErr w:type="spellStart"/>
      <w:r w:rsidRPr="003E17A2">
        <w:rPr>
          <w:rFonts w:ascii="標楷體" w:eastAsia="標楷體" w:hAnsi="標楷體"/>
        </w:rPr>
        <w:t>火災成長曲線，將火災依成長速率分為</w:t>
      </w:r>
      <w:proofErr w:type="spellEnd"/>
      <w:r w:rsidRPr="003E17A2">
        <w:rPr>
          <w:rFonts w:ascii="標楷體" w:eastAsia="標楷體" w:hAnsi="標楷體"/>
        </w:rPr>
        <w:t xml:space="preserve"> SLOW、</w:t>
      </w:r>
      <w:r w:rsidRPr="003E17A2">
        <w:rPr>
          <w:rFonts w:ascii="標楷體" w:eastAsia="標楷體" w:hAnsi="標楷體"/>
        </w:rPr>
        <w:lastRenderedPageBreak/>
        <w:t xml:space="preserve">MEDIUM、FAST、ULTRA_FAST </w:t>
      </w:r>
      <w:proofErr w:type="spellStart"/>
      <w:r w:rsidRPr="003E17A2">
        <w:rPr>
          <w:rFonts w:ascii="標楷體" w:eastAsia="標楷體" w:hAnsi="標楷體"/>
        </w:rPr>
        <w:t>四類，並以</w:t>
      </w:r>
      <w:proofErr w:type="spellEnd"/>
      <w:r w:rsidRPr="003E17A2">
        <w:rPr>
          <w:rFonts w:ascii="標楷體" w:eastAsia="標楷體" w:hAnsi="標楷體"/>
        </w:rPr>
        <w:t xml:space="preserve"> Q(t) = α t²（單位：kW）描述熱釋放率隨時間之成長。本模擬器依此分類，將起火原因（意外、電器走火、化學、縱火）對應至不同成長曲線分類與代表性燃料，並設定熱釋放率上限為 5000 </w:t>
      </w:r>
      <w:proofErr w:type="spellStart"/>
      <w:r w:rsidRPr="003E17A2">
        <w:rPr>
          <w:rFonts w:ascii="標楷體" w:eastAsia="標楷體" w:hAnsi="標楷體"/>
        </w:rPr>
        <w:t>kW，對應</w:t>
      </w:r>
      <w:proofErr w:type="spellEnd"/>
      <w:r w:rsidRPr="003E17A2">
        <w:rPr>
          <w:rFonts w:ascii="標楷體" w:eastAsia="標楷體" w:hAnsi="標楷體"/>
        </w:rPr>
        <w:t xml:space="preserve"> SFPE Handbook </w:t>
      </w:r>
      <w:proofErr w:type="spellStart"/>
      <w:r w:rsidRPr="003E17A2">
        <w:rPr>
          <w:rFonts w:ascii="標楷體" w:eastAsia="標楷體" w:hAnsi="標楷體"/>
        </w:rPr>
        <w:t>常見引用之中型可燃物房間全盛期熱釋放率量級</w:t>
      </w:r>
      <w:proofErr w:type="spellEnd"/>
      <w:r w:rsidRPr="003E17A2">
        <w:rPr>
          <w:rFonts w:ascii="標楷體" w:eastAsia="標楷體" w:hAnsi="標楷體"/>
        </w:rPr>
        <w:t>。</w:t>
      </w:r>
    </w:p>
    <w:p w14:paraId="174A14B7"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三）ISO</w:t>
      </w:r>
      <w:proofErr w:type="spellEnd"/>
      <w:r w:rsidRPr="003E17A2">
        <w:rPr>
          <w:rFonts w:ascii="標楷體" w:eastAsia="標楷體" w:hAnsi="標楷體"/>
          <w:b/>
          <w:bCs/>
        </w:rPr>
        <w:t xml:space="preserve"> 13571 與 Purser </w:t>
      </w:r>
      <w:proofErr w:type="spellStart"/>
      <w:r w:rsidRPr="003E17A2">
        <w:rPr>
          <w:rFonts w:ascii="標楷體" w:eastAsia="標楷體" w:hAnsi="標楷體"/>
          <w:b/>
          <w:bCs/>
        </w:rPr>
        <w:t>累積劑量模型</w:t>
      </w:r>
      <w:proofErr w:type="spellEnd"/>
      <w:r w:rsidRPr="003E17A2">
        <w:rPr>
          <w:rFonts w:ascii="標楷體" w:eastAsia="標楷體" w:hAnsi="標楷體"/>
          <w:b/>
          <w:bCs/>
        </w:rPr>
        <w:t>：</w:t>
      </w:r>
    </w:p>
    <w:p w14:paraId="10096ED3"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ISO 13571 </w:t>
      </w:r>
      <w:proofErr w:type="spellStart"/>
      <w:r w:rsidRPr="003E17A2">
        <w:rPr>
          <w:rFonts w:ascii="標楷體" w:eastAsia="標楷體" w:hAnsi="標楷體"/>
        </w:rPr>
        <w:t>國際標準定義了火場中人員暴露評估之失能門檻（一氧化碳累積劑量</w:t>
      </w:r>
      <w:proofErr w:type="spellEnd"/>
      <w:r w:rsidRPr="003E17A2">
        <w:rPr>
          <w:rFonts w:ascii="標楷體" w:eastAsia="標楷體" w:hAnsi="標楷體"/>
        </w:rPr>
        <w:t xml:space="preserve"> FED_CO </w:t>
      </w:r>
      <w:r w:rsidRPr="003E17A2">
        <w:rPr>
          <w:rFonts w:ascii="Cambria Math" w:eastAsia="標楷體" w:hAnsi="Cambria Math" w:cs="Cambria Math"/>
        </w:rPr>
        <w:t>≥</w:t>
      </w:r>
      <w:r w:rsidRPr="003E17A2">
        <w:rPr>
          <w:rFonts w:ascii="標楷體" w:eastAsia="標楷體" w:hAnsi="標楷體"/>
        </w:rPr>
        <w:t xml:space="preserve"> 0.3）與多判据危險（untenable）條件之「或」邏輯慣例。Purser </w:t>
      </w:r>
      <w:proofErr w:type="spellStart"/>
      <w:r w:rsidRPr="003E17A2">
        <w:rPr>
          <w:rFonts w:ascii="標楷體" w:eastAsia="標楷體" w:hAnsi="標楷體"/>
        </w:rPr>
        <w:t>所提出之累積劑量（Fractional</w:t>
      </w:r>
      <w:proofErr w:type="spellEnd"/>
      <w:r w:rsidRPr="003E17A2">
        <w:rPr>
          <w:rFonts w:ascii="標楷體" w:eastAsia="標楷體" w:hAnsi="標楷體"/>
        </w:rPr>
        <w:t xml:space="preserve"> Effective Dose, </w:t>
      </w:r>
      <w:proofErr w:type="spellStart"/>
      <w:r w:rsidRPr="003E17A2">
        <w:rPr>
          <w:rFonts w:ascii="標楷體" w:eastAsia="標楷體" w:hAnsi="標楷體"/>
        </w:rPr>
        <w:t>FED）模型，分別提供一氧化碳吸入劑量之</w:t>
      </w:r>
      <w:proofErr w:type="spellEnd"/>
      <w:r w:rsidRPr="003E17A2">
        <w:rPr>
          <w:rFonts w:ascii="標楷體" w:eastAsia="標楷體" w:hAnsi="標楷體"/>
        </w:rPr>
        <w:t xml:space="preserve"> %</w:t>
      </w:r>
      <w:proofErr w:type="spellStart"/>
      <w:r w:rsidRPr="003E17A2">
        <w:rPr>
          <w:rFonts w:ascii="標楷體" w:eastAsia="標楷體" w:hAnsi="標楷體"/>
        </w:rPr>
        <w:t>COHb</w:t>
      </w:r>
      <w:proofErr w:type="spellEnd"/>
      <w:r w:rsidRPr="003E17A2">
        <w:rPr>
          <w:rFonts w:ascii="標楷體" w:eastAsia="標楷體" w:hAnsi="標楷體"/>
        </w:rPr>
        <w:t xml:space="preserve"> </w:t>
      </w:r>
      <w:proofErr w:type="spellStart"/>
      <w:r w:rsidRPr="003E17A2">
        <w:rPr>
          <w:rFonts w:ascii="標楷體" w:eastAsia="標楷體" w:hAnsi="標楷體"/>
        </w:rPr>
        <w:t>增量公式，以及熱暴露之對流熱耐受時間公式，用以取代「瞬時濃度或溫度達門檻即判定死亡」之簡化邏輯，使死因（燒死／CO</w:t>
      </w:r>
      <w:proofErr w:type="spellEnd"/>
      <w:r w:rsidRPr="003E17A2">
        <w:rPr>
          <w:rFonts w:ascii="標楷體" w:eastAsia="標楷體" w:hAnsi="標楷體"/>
        </w:rPr>
        <w:t xml:space="preserve"> </w:t>
      </w:r>
      <w:proofErr w:type="spellStart"/>
      <w:r w:rsidRPr="003E17A2">
        <w:rPr>
          <w:rFonts w:ascii="標楷體" w:eastAsia="標楷體" w:hAnsi="標楷體"/>
        </w:rPr>
        <w:t>中毒致死）比例得以隨模擬過程中之溫度與濃度變化自然浮現，而非依固定機率預先分配</w:t>
      </w:r>
      <w:proofErr w:type="spellEnd"/>
      <w:r w:rsidRPr="003E17A2">
        <w:rPr>
          <w:rFonts w:ascii="標楷體" w:eastAsia="標楷體" w:hAnsi="標楷體"/>
        </w:rPr>
        <w:t>。</w:t>
      </w:r>
    </w:p>
    <w:p w14:paraId="54ED4CEC"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四）Weibull</w:t>
      </w:r>
      <w:proofErr w:type="spellEnd"/>
      <w:r w:rsidRPr="003E17A2">
        <w:rPr>
          <w:rFonts w:ascii="標楷體" w:eastAsia="標楷體" w:hAnsi="標楷體"/>
          <w:b/>
          <w:bCs/>
        </w:rPr>
        <w:t xml:space="preserve"> </w:t>
      </w:r>
      <w:proofErr w:type="spellStart"/>
      <w:r w:rsidRPr="003E17A2">
        <w:rPr>
          <w:rFonts w:ascii="標楷體" w:eastAsia="標楷體" w:hAnsi="標楷體"/>
          <w:b/>
          <w:bCs/>
        </w:rPr>
        <w:t>存活分布與孔口流量公式</w:t>
      </w:r>
      <w:proofErr w:type="spellEnd"/>
      <w:r w:rsidRPr="003E17A2">
        <w:rPr>
          <w:rFonts w:ascii="標楷體" w:eastAsia="標楷體" w:hAnsi="標楷體"/>
          <w:b/>
          <w:bCs/>
        </w:rPr>
        <w:t>：</w:t>
      </w:r>
    </w:p>
    <w:p w14:paraId="2EACE362"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門之耐火性能，本模擬採用</w:t>
      </w:r>
      <w:proofErr w:type="spellEnd"/>
      <w:r w:rsidRPr="003E17A2">
        <w:rPr>
          <w:rFonts w:ascii="標楷體" w:eastAsia="標楷體" w:hAnsi="標楷體"/>
        </w:rPr>
        <w:t xml:space="preserve"> Weibull </w:t>
      </w:r>
      <w:proofErr w:type="spellStart"/>
      <w:r w:rsidRPr="003E17A2">
        <w:rPr>
          <w:rFonts w:ascii="標楷體" w:eastAsia="標楷體" w:hAnsi="標楷體"/>
        </w:rPr>
        <w:t>存活分布</w:t>
      </w:r>
      <w:proofErr w:type="spellEnd"/>
      <w:r w:rsidRPr="003E17A2">
        <w:rPr>
          <w:rFonts w:ascii="標楷體" w:eastAsia="標楷體" w:hAnsi="標楷體"/>
        </w:rPr>
        <w:t xml:space="preserve"> S(t) = </w:t>
      </w:r>
      <w:proofErr w:type="gramStart"/>
      <w:r w:rsidRPr="003E17A2">
        <w:rPr>
          <w:rFonts w:ascii="標楷體" w:eastAsia="標楷體" w:hAnsi="標楷體"/>
        </w:rPr>
        <w:t>exp(</w:t>
      </w:r>
      <w:proofErr w:type="gramEnd"/>
      <w:r w:rsidRPr="003E17A2">
        <w:rPr>
          <w:rFonts w:ascii="標楷體" w:eastAsia="標楷體" w:hAnsi="標楷體"/>
        </w:rPr>
        <w:t>-(t/</w:t>
      </w:r>
      <w:proofErr w:type="gramStart"/>
      <w:r w:rsidRPr="003E17A2">
        <w:rPr>
          <w:rFonts w:ascii="標楷體" w:eastAsia="標楷體" w:hAnsi="標楷體"/>
        </w:rPr>
        <w:t>λ)^</w:t>
      </w:r>
      <w:proofErr w:type="gramEnd"/>
      <w:r w:rsidRPr="003E17A2">
        <w:rPr>
          <w:rFonts w:ascii="標楷體" w:eastAsia="標楷體" w:hAnsi="標楷體"/>
        </w:rPr>
        <w:t xml:space="preserve">k) 描述其隨受火時間增加之失效機率，取代固定突破機率之簡化假設；此一分布廣泛應用於可靠度工程中材料或元件之壽命建模。門於未被突破前之持續性洩漏行為（煙、熱、CO </w:t>
      </w:r>
      <w:proofErr w:type="spellStart"/>
      <w:r w:rsidRPr="003E17A2">
        <w:rPr>
          <w:rFonts w:ascii="標楷體" w:eastAsia="標楷體" w:hAnsi="標楷體"/>
        </w:rPr>
        <w:t>之滲漏</w:t>
      </w:r>
      <w:proofErr w:type="spellEnd"/>
      <w:r w:rsidRPr="003E17A2">
        <w:rPr>
          <w:rFonts w:ascii="標楷體" w:eastAsia="標楷體" w:hAnsi="標楷體"/>
        </w:rPr>
        <w:t>），</w:t>
      </w:r>
      <w:proofErr w:type="spellStart"/>
      <w:r w:rsidRPr="003E17A2">
        <w:rPr>
          <w:rFonts w:ascii="標楷體" w:eastAsia="標楷體" w:hAnsi="標楷體"/>
        </w:rPr>
        <w:t>則採用建築物理學中之孔口流量公式（Orifice</w:t>
      </w:r>
      <w:proofErr w:type="spellEnd"/>
      <w:r w:rsidRPr="003E17A2">
        <w:rPr>
          <w:rFonts w:ascii="標楷體" w:eastAsia="標楷體" w:hAnsi="標楷體"/>
        </w:rPr>
        <w:t xml:space="preserve"> Flow Equation），</w:t>
      </w:r>
      <w:proofErr w:type="spellStart"/>
      <w:r w:rsidRPr="003E17A2">
        <w:rPr>
          <w:rFonts w:ascii="標楷體" w:eastAsia="標楷體" w:hAnsi="標楷體"/>
        </w:rPr>
        <w:t>並引用</w:t>
      </w:r>
      <w:proofErr w:type="spellEnd"/>
      <w:r w:rsidRPr="003E17A2">
        <w:rPr>
          <w:rFonts w:ascii="標楷體" w:eastAsia="標楷體" w:hAnsi="標楷體"/>
        </w:rPr>
        <w:t xml:space="preserve"> UL 1784 測試標準之測試壓差（24.9 </w:t>
      </w:r>
      <w:proofErr w:type="spellStart"/>
      <w:r w:rsidRPr="003E17A2">
        <w:rPr>
          <w:rFonts w:ascii="標楷體" w:eastAsia="標楷體" w:hAnsi="標楷體"/>
        </w:rPr>
        <w:t>Pa）作為計算基礎，將洩漏量換算為相對於暢通通道之連續流量比例</w:t>
      </w:r>
      <w:proofErr w:type="spellEnd"/>
      <w:r w:rsidRPr="003E17A2">
        <w:rPr>
          <w:rFonts w:ascii="標楷體" w:eastAsia="標楷體" w:hAnsi="標楷體"/>
        </w:rPr>
        <w:t>。</w:t>
      </w:r>
    </w:p>
    <w:p w14:paraId="399C04CA"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五）Fick's</w:t>
      </w:r>
      <w:proofErr w:type="spellEnd"/>
      <w:r w:rsidRPr="003E17A2">
        <w:rPr>
          <w:rFonts w:ascii="標楷體" w:eastAsia="標楷體" w:hAnsi="標楷體"/>
          <w:b/>
          <w:bCs/>
        </w:rPr>
        <w:t xml:space="preserve"> Second Law 與 Stefan-Boltzmann </w:t>
      </w:r>
      <w:proofErr w:type="spellStart"/>
      <w:r w:rsidRPr="003E17A2">
        <w:rPr>
          <w:rFonts w:ascii="標楷體" w:eastAsia="標楷體" w:hAnsi="標楷體"/>
          <w:b/>
          <w:bCs/>
        </w:rPr>
        <w:t>定律</w:t>
      </w:r>
      <w:proofErr w:type="spellEnd"/>
      <w:r w:rsidRPr="003E17A2">
        <w:rPr>
          <w:rFonts w:ascii="標楷體" w:eastAsia="標楷體" w:hAnsi="標楷體"/>
          <w:b/>
          <w:bCs/>
        </w:rPr>
        <w:t>：</w:t>
      </w:r>
    </w:p>
    <w:p w14:paraId="31707939"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煙霧之空間擴散，本模擬採用菲克第二定律</w:t>
      </w:r>
      <w:proofErr w:type="spellEnd"/>
      <w:r w:rsidRPr="003E17A2">
        <w:rPr>
          <w:rFonts w:ascii="標楷體" w:eastAsia="標楷體" w:hAnsi="標楷體"/>
        </w:rPr>
        <w:t>（</w:t>
      </w:r>
      <w:r w:rsidRPr="003E17A2">
        <w:rPr>
          <w:rFonts w:ascii="Cambria Math" w:eastAsia="標楷體" w:hAnsi="Cambria Math" w:cs="Cambria Math"/>
        </w:rPr>
        <w:t>∂</w:t>
      </w:r>
      <w:r w:rsidRPr="003E17A2">
        <w:rPr>
          <w:rFonts w:ascii="標楷體" w:eastAsia="標楷體" w:hAnsi="標楷體"/>
        </w:rPr>
        <w:t>C/</w:t>
      </w:r>
      <w:r w:rsidRPr="003E17A2">
        <w:rPr>
          <w:rFonts w:ascii="Cambria Math" w:eastAsia="標楷體" w:hAnsi="Cambria Math" w:cs="Cambria Math"/>
        </w:rPr>
        <w:t>∂</w:t>
      </w:r>
      <w:r w:rsidRPr="003E17A2">
        <w:rPr>
          <w:rFonts w:ascii="標楷體" w:eastAsia="標楷體" w:hAnsi="標楷體"/>
        </w:rPr>
        <w:t>t = D</w:t>
      </w:r>
      <w:r w:rsidRPr="003E17A2">
        <w:rPr>
          <w:rFonts w:ascii="Cambria Math" w:eastAsia="標楷體" w:hAnsi="Cambria Math" w:cs="Cambria Math"/>
        </w:rPr>
        <w:t>∇</w:t>
      </w:r>
      <w:r w:rsidRPr="003E17A2">
        <w:rPr>
          <w:rFonts w:ascii="標楷體" w:eastAsia="標楷體" w:hAnsi="標楷體" w:cs="標楷體" w:hint="eastAsia"/>
        </w:rPr>
        <w:t>²</w:t>
      </w:r>
      <w:r w:rsidRPr="003E17A2">
        <w:rPr>
          <w:rFonts w:ascii="標楷體" w:eastAsia="標楷體" w:hAnsi="標楷體"/>
        </w:rPr>
        <w:t xml:space="preserve">C）之顯式歐拉有限差分近似，逐格計算生成、擴散與通風排除三個階段；輻射熱通量則不另建立新之物理場，而是直接自溫度場，依史蒂芬－波茲曼定律（q'' = </w:t>
      </w:r>
      <w:proofErr w:type="spellStart"/>
      <w:proofErr w:type="gramStart"/>
      <w:r w:rsidRPr="003E17A2">
        <w:rPr>
          <w:rFonts w:ascii="標楷體" w:eastAsia="標楷體" w:hAnsi="標楷體"/>
        </w:rPr>
        <w:t>σε</w:t>
      </w:r>
      <w:proofErr w:type="spellEnd"/>
      <w:r w:rsidRPr="003E17A2">
        <w:rPr>
          <w:rFonts w:ascii="標楷體" w:eastAsia="標楷體" w:hAnsi="標楷體"/>
        </w:rPr>
        <w:t>(</w:t>
      </w:r>
      <w:proofErr w:type="spellStart"/>
      <w:proofErr w:type="gramEnd"/>
      <w:r w:rsidRPr="003E17A2">
        <w:rPr>
          <w:rFonts w:ascii="標楷體" w:eastAsia="標楷體" w:hAnsi="標楷體"/>
        </w:rPr>
        <w:t>T_cell</w:t>
      </w:r>
      <w:proofErr w:type="spellEnd"/>
      <w:r w:rsidRPr="003E17A2">
        <w:rPr>
          <w:rFonts w:ascii="Cambria Math" w:eastAsia="標楷體" w:hAnsi="Cambria Math" w:cs="Cambria Math"/>
        </w:rPr>
        <w:t>⁴</w:t>
      </w:r>
      <w:r w:rsidRPr="003E17A2">
        <w:rPr>
          <w:rFonts w:ascii="標楷體" w:eastAsia="標楷體" w:hAnsi="標楷體"/>
        </w:rPr>
        <w:t xml:space="preserve"> </w:t>
      </w:r>
      <w:r w:rsidRPr="003E17A2">
        <w:rPr>
          <w:rFonts w:ascii="Cambria Math" w:eastAsia="標楷體" w:hAnsi="Cambria Math" w:cs="Cambria Math"/>
        </w:rPr>
        <w:t>−</w:t>
      </w:r>
      <w:r w:rsidRPr="003E17A2">
        <w:rPr>
          <w:rFonts w:ascii="標楷體" w:eastAsia="標楷體" w:hAnsi="標楷體"/>
        </w:rPr>
        <w:t xml:space="preserve"> T_ambient</w:t>
      </w:r>
      <w:proofErr w:type="gramStart"/>
      <w:r w:rsidRPr="003E17A2">
        <w:rPr>
          <w:rFonts w:ascii="Cambria Math" w:eastAsia="標楷體" w:hAnsi="Cambria Math" w:cs="Cambria Math"/>
        </w:rPr>
        <w:t>⁴</w:t>
      </w:r>
      <w:r w:rsidRPr="003E17A2">
        <w:rPr>
          <w:rFonts w:ascii="標楷體" w:eastAsia="標楷體" w:hAnsi="標楷體"/>
        </w:rPr>
        <w:t>)）</w:t>
      </w:r>
      <w:proofErr w:type="gramEnd"/>
      <w:r w:rsidRPr="003E17A2">
        <w:rPr>
          <w:rFonts w:ascii="標楷體" w:eastAsia="標楷體" w:hAnsi="標楷體"/>
        </w:rPr>
        <w:t>反推而得，此一作法之理論前提為「溫度場已能合理描述氣體層溫度」，故輻射熱通量之計算精度，直接依賴於溫度場本身之校正品質。</w:t>
      </w:r>
    </w:p>
    <w:p w14:paraId="42E75041" w14:textId="77777777" w:rsidR="002D0E14" w:rsidRPr="003E17A2" w:rsidRDefault="00000000">
      <w:pPr>
        <w:spacing w:before="120" w:after="120"/>
        <w:ind w:firstLine="480"/>
        <w:jc w:val="both"/>
        <w:rPr>
          <w:rFonts w:ascii="標楷體" w:eastAsia="標楷體" w:hAnsi="標楷體"/>
        </w:rPr>
      </w:pPr>
      <w:r w:rsidRPr="003E17A2">
        <w:rPr>
          <w:rFonts w:ascii="標楷體" w:eastAsia="標楷體" w:hAnsi="標楷體"/>
          <w:b/>
          <w:bCs/>
        </w:rPr>
        <w:t>（</w:t>
      </w:r>
      <w:proofErr w:type="spellStart"/>
      <w:r w:rsidRPr="003E17A2">
        <w:rPr>
          <w:rFonts w:ascii="標楷體" w:eastAsia="標楷體" w:hAnsi="標楷體"/>
          <w:b/>
          <w:bCs/>
        </w:rPr>
        <w:t>六）Fruin／Predtechenskii-Milinskii</w:t>
      </w:r>
      <w:proofErr w:type="spellEnd"/>
      <w:r w:rsidRPr="003E17A2">
        <w:rPr>
          <w:rFonts w:ascii="標楷體" w:eastAsia="標楷體" w:hAnsi="標楷體"/>
          <w:b/>
          <w:bCs/>
        </w:rPr>
        <w:t xml:space="preserve"> </w:t>
      </w:r>
      <w:proofErr w:type="spellStart"/>
      <w:r w:rsidRPr="003E17A2">
        <w:rPr>
          <w:rFonts w:ascii="標楷體" w:eastAsia="標楷體" w:hAnsi="標楷體"/>
          <w:b/>
          <w:bCs/>
        </w:rPr>
        <w:t>人流密度基本圖</w:t>
      </w:r>
      <w:proofErr w:type="spellEnd"/>
      <w:r w:rsidRPr="003E17A2">
        <w:rPr>
          <w:rFonts w:ascii="標楷體" w:eastAsia="標楷體" w:hAnsi="標楷體"/>
          <w:b/>
          <w:bCs/>
        </w:rPr>
        <w:t>：</w:t>
      </w:r>
    </w:p>
    <w:p w14:paraId="3EFEB191"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SFPE Handbook </w:t>
      </w:r>
      <w:proofErr w:type="spellStart"/>
      <w:r w:rsidRPr="003E17A2">
        <w:rPr>
          <w:rFonts w:ascii="標楷體" w:eastAsia="標楷體" w:hAnsi="標楷體"/>
        </w:rPr>
        <w:t>所載之人流密度</w:t>
      </w:r>
      <w:proofErr w:type="spellEnd"/>
      <w:r w:rsidRPr="003E17A2">
        <w:rPr>
          <w:rFonts w:ascii="標楷體" w:eastAsia="標楷體" w:hAnsi="標楷體"/>
        </w:rPr>
        <w:t>—</w:t>
      </w:r>
      <w:proofErr w:type="spellStart"/>
      <w:r w:rsidRPr="003E17A2">
        <w:rPr>
          <w:rFonts w:ascii="標楷體" w:eastAsia="標楷體" w:hAnsi="標楷體"/>
        </w:rPr>
        <w:t>步行速度基本圖，以線性近似公式</w:t>
      </w:r>
      <w:proofErr w:type="spellEnd"/>
      <w:r w:rsidRPr="003E17A2">
        <w:rPr>
          <w:rFonts w:ascii="標楷體" w:eastAsia="標楷體" w:hAnsi="標楷體"/>
        </w:rPr>
        <w:t xml:space="preserve"> S = k</w:t>
      </w:r>
      <w:r w:rsidRPr="003E17A2">
        <w:rPr>
          <w:rFonts w:ascii="Cambria Math" w:eastAsia="標楷體" w:hAnsi="Cambria Math" w:cs="Cambria Math"/>
        </w:rPr>
        <w:t>₁</w:t>
      </w:r>
      <w:r w:rsidRPr="003E17A2">
        <w:rPr>
          <w:rFonts w:ascii="標楷體" w:eastAsia="標楷體" w:hAnsi="標楷體"/>
        </w:rPr>
        <w:t xml:space="preserve"> </w:t>
      </w:r>
      <w:r w:rsidRPr="003E17A2">
        <w:rPr>
          <w:rFonts w:ascii="Cambria Math" w:eastAsia="標楷體" w:hAnsi="Cambria Math" w:cs="Cambria Math"/>
        </w:rPr>
        <w:t>−</w:t>
      </w:r>
      <w:r w:rsidRPr="003E17A2">
        <w:rPr>
          <w:rFonts w:ascii="標楷體" w:eastAsia="標楷體" w:hAnsi="標楷體"/>
        </w:rPr>
        <w:t xml:space="preserve"> </w:t>
      </w:r>
      <w:proofErr w:type="spellStart"/>
      <w:r w:rsidRPr="003E17A2">
        <w:rPr>
          <w:rFonts w:ascii="標楷體" w:eastAsia="標楷體" w:hAnsi="標楷體"/>
        </w:rPr>
        <w:t>k</w:t>
      </w:r>
      <w:r w:rsidRPr="003E17A2">
        <w:rPr>
          <w:rFonts w:ascii="Cambria Math" w:eastAsia="標楷體" w:hAnsi="Cambria Math" w:cs="Cambria Math"/>
        </w:rPr>
        <w:t>₂</w:t>
      </w:r>
      <w:r w:rsidRPr="003E17A2">
        <w:rPr>
          <w:rFonts w:ascii="標楷體" w:eastAsia="標楷體" w:hAnsi="標楷體"/>
        </w:rPr>
        <w:t>D（D</w:t>
      </w:r>
      <w:proofErr w:type="spellEnd"/>
      <w:r w:rsidRPr="003E17A2">
        <w:rPr>
          <w:rFonts w:ascii="標楷體" w:eastAsia="標楷體" w:hAnsi="標楷體"/>
        </w:rPr>
        <w:t xml:space="preserve"> </w:t>
      </w:r>
      <w:proofErr w:type="spellStart"/>
      <w:r w:rsidRPr="003E17A2">
        <w:rPr>
          <w:rFonts w:ascii="標楷體" w:eastAsia="標楷體" w:hAnsi="標楷體"/>
        </w:rPr>
        <w:t>為人流密度，S</w:t>
      </w:r>
      <w:proofErr w:type="spellEnd"/>
      <w:r w:rsidRPr="003E17A2">
        <w:rPr>
          <w:rFonts w:ascii="標楷體" w:eastAsia="標楷體" w:hAnsi="標楷體"/>
        </w:rPr>
        <w:t xml:space="preserve"> </w:t>
      </w:r>
      <w:proofErr w:type="spellStart"/>
      <w:r w:rsidRPr="003E17A2">
        <w:rPr>
          <w:rFonts w:ascii="標楷體" w:eastAsia="標楷體" w:hAnsi="標楷體"/>
        </w:rPr>
        <w:t>為步行速度）描述人員步行速度隨周邊人流密度上升而降低之現象。本模擬器依此公式，分別為走廊與樓梯設定不同之</w:t>
      </w:r>
      <w:proofErr w:type="spellEnd"/>
      <w:r w:rsidRPr="003E17A2">
        <w:rPr>
          <w:rFonts w:ascii="標楷體" w:eastAsia="標楷體" w:hAnsi="標楷體"/>
        </w:rPr>
        <w:t xml:space="preserve"> k</w:t>
      </w:r>
      <w:r w:rsidRPr="003E17A2">
        <w:rPr>
          <w:rFonts w:ascii="Cambria Math" w:eastAsia="標楷體" w:hAnsi="Cambria Math" w:cs="Cambria Math"/>
        </w:rPr>
        <w:t>₁</w:t>
      </w:r>
      <w:r w:rsidRPr="003E17A2">
        <w:rPr>
          <w:rFonts w:ascii="標楷體" w:eastAsia="標楷體" w:hAnsi="標楷體"/>
        </w:rPr>
        <w:t>、k</w:t>
      </w:r>
      <w:r w:rsidRPr="003E17A2">
        <w:rPr>
          <w:rFonts w:ascii="Cambria Math" w:eastAsia="標楷體" w:hAnsi="Cambria Math" w:cs="Cambria Math"/>
        </w:rPr>
        <w:t>₂</w:t>
      </w:r>
      <w:r w:rsidRPr="003E17A2">
        <w:rPr>
          <w:rFonts w:ascii="標楷體" w:eastAsia="標楷體" w:hAnsi="標楷體"/>
        </w:rPr>
        <w:t xml:space="preserve"> </w:t>
      </w:r>
      <w:proofErr w:type="spellStart"/>
      <w:r w:rsidRPr="003E17A2">
        <w:rPr>
          <w:rFonts w:ascii="標楷體" w:eastAsia="標楷體" w:hAnsi="標楷體"/>
        </w:rPr>
        <w:t>參數，並依人員</w:t>
      </w:r>
      <w:proofErr w:type="spellEnd"/>
      <w:r w:rsidRPr="003E17A2">
        <w:rPr>
          <w:rFonts w:ascii="標楷體" w:eastAsia="標楷體" w:hAnsi="標楷體"/>
        </w:rPr>
        <w:t xml:space="preserve"> 3×3 </w:t>
      </w:r>
      <w:proofErr w:type="spellStart"/>
      <w:r w:rsidRPr="003E17A2">
        <w:rPr>
          <w:rFonts w:ascii="標楷體" w:eastAsia="標楷體" w:hAnsi="標楷體"/>
        </w:rPr>
        <w:t>鄰域內尚未逃生或死亡之人數，動態抑制其每</w:t>
      </w:r>
      <w:proofErr w:type="spellEnd"/>
      <w:r w:rsidRPr="003E17A2">
        <w:rPr>
          <w:rFonts w:ascii="標楷體" w:eastAsia="標楷體" w:hAnsi="標楷體"/>
        </w:rPr>
        <w:t xml:space="preserve"> Tick </w:t>
      </w:r>
      <w:proofErr w:type="spellStart"/>
      <w:r w:rsidRPr="003E17A2">
        <w:rPr>
          <w:rFonts w:ascii="標楷體" w:eastAsia="標楷體" w:hAnsi="標楷體"/>
        </w:rPr>
        <w:t>之移動速度，用以呈現擁擠情境</w:t>
      </w:r>
      <w:r w:rsidRPr="003E17A2">
        <w:rPr>
          <w:rFonts w:ascii="標楷體" w:eastAsia="標楷體" w:hAnsi="標楷體"/>
        </w:rPr>
        <w:lastRenderedPageBreak/>
        <w:t>下之疏散瓶頸現象</w:t>
      </w:r>
      <w:proofErr w:type="spellEnd"/>
      <w:r w:rsidRPr="003E17A2">
        <w:rPr>
          <w:rFonts w:ascii="標楷體" w:eastAsia="標楷體" w:hAnsi="標楷體"/>
        </w:rPr>
        <w:t>。</w:t>
      </w:r>
    </w:p>
    <w:p w14:paraId="4BEEED5A"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上述六類理論，共同構成本模擬器物理層之理論骨幹。第三章可行性分析將進一步檢視此等理論於本模擬器中之實際套用方式，是否符合其原始文獻之適用範圍與前提假設；第四章系統分析則將對應說明各理論於程式類別架構中之具體實現位置。</w:t>
      </w:r>
    </w:p>
    <w:p w14:paraId="28148231" w14:textId="77777777" w:rsidR="002D0E14" w:rsidRPr="003E17A2" w:rsidRDefault="00000000">
      <w:pPr>
        <w:pStyle w:val="1"/>
        <w:pageBreakBefore/>
        <w:rPr>
          <w:rFonts w:ascii="標楷體" w:eastAsia="標楷體" w:hAnsi="標楷體"/>
        </w:rPr>
      </w:pPr>
      <w:proofErr w:type="spellStart"/>
      <w:r w:rsidRPr="003E17A2">
        <w:rPr>
          <w:rFonts w:ascii="標楷體" w:eastAsia="標楷體" w:hAnsi="標楷體"/>
        </w:rPr>
        <w:lastRenderedPageBreak/>
        <w:t>第三章</w:t>
      </w:r>
      <w:proofErr w:type="spellEnd"/>
      <w:r w:rsidRPr="003E17A2">
        <w:rPr>
          <w:rFonts w:ascii="標楷體" w:eastAsia="標楷體" w:hAnsi="標楷體"/>
        </w:rPr>
        <w:t xml:space="preserve">　</w:t>
      </w:r>
      <w:proofErr w:type="spellStart"/>
      <w:r w:rsidRPr="003E17A2">
        <w:rPr>
          <w:rFonts w:ascii="標楷體" w:eastAsia="標楷體" w:hAnsi="標楷體"/>
        </w:rPr>
        <w:t>可行性分析</w:t>
      </w:r>
      <w:proofErr w:type="spellEnd"/>
    </w:p>
    <w:p w14:paraId="35D36C3D"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章之目的，在於檢驗本模擬器作為前述決策支援系統構想之量化驗證工具，是否具備方法論上之可行性。本研究將可行性拆分為三個彼此獨立之問題逐一檢驗：其一，本模擬預測現實情景之前提，是否違背既有之科學與邏輯原則；其二，本模擬之結果，是否具備得以被驗證是否符合現實之途徑；其三，在前二項前提成立之情況下，本模擬理論上能否產出具備參考價值之研究成果。</w:t>
      </w:r>
    </w:p>
    <w:p w14:paraId="0AEC4338" w14:textId="77777777" w:rsidR="002D0E14" w:rsidRPr="003E17A2" w:rsidRDefault="00000000">
      <w:pPr>
        <w:pStyle w:val="2"/>
        <w:rPr>
          <w:rFonts w:ascii="標楷體" w:eastAsia="標楷體" w:hAnsi="標楷體"/>
        </w:rPr>
      </w:pPr>
      <w:r w:rsidRPr="003E17A2">
        <w:rPr>
          <w:rFonts w:ascii="標楷體" w:eastAsia="標楷體" w:hAnsi="標楷體"/>
        </w:rPr>
        <w:t xml:space="preserve">3.1　</w:t>
      </w:r>
      <w:proofErr w:type="spellStart"/>
      <w:r w:rsidRPr="003E17A2">
        <w:rPr>
          <w:rFonts w:ascii="標楷體" w:eastAsia="標楷體" w:hAnsi="標楷體"/>
        </w:rPr>
        <w:t>科學與邏輯前提之檢驗</w:t>
      </w:r>
      <w:proofErr w:type="spellEnd"/>
    </w:p>
    <w:p w14:paraId="24DB73C4"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模擬之科學前提，可依其數值來源，區分為三個層次，此一區分方式直接引用自本模擬器附帶之「模擬前提要件」文件（report/數據總結/模擬前提要件.md），該文件係開發者為使本模擬之假設具備可追溯性而自行整理之聲明清單。</w:t>
      </w:r>
    </w:p>
    <w:p w14:paraId="11F4F76E" w14:textId="77777777" w:rsidR="002D0E14" w:rsidRPr="003E17A2" w:rsidRDefault="00000000">
      <w:pPr>
        <w:spacing w:before="120" w:after="120"/>
        <w:ind w:firstLine="480"/>
        <w:jc w:val="both"/>
        <w:rPr>
          <w:rFonts w:ascii="標楷體" w:eastAsia="標楷體" w:hAnsi="標楷體"/>
        </w:rPr>
      </w:pPr>
      <w:proofErr w:type="spellStart"/>
      <w:r w:rsidRPr="003E17A2">
        <w:rPr>
          <w:rFonts w:ascii="標楷體" w:eastAsia="標楷體" w:hAnsi="標楷體"/>
          <w:b/>
          <w:bCs/>
        </w:rPr>
        <w:t>第一層次：具明確國際標準或文獻支持之算式與模型</w:t>
      </w:r>
      <w:proofErr w:type="spellEnd"/>
      <w:r w:rsidRPr="003E17A2">
        <w:rPr>
          <w:rFonts w:ascii="標楷體" w:eastAsia="標楷體" w:hAnsi="標楷體"/>
          <w:b/>
          <w:bCs/>
        </w:rPr>
        <w:t>。</w:t>
      </w:r>
    </w:p>
    <w:p w14:paraId="7DC4E689"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此層次包含</w:t>
      </w:r>
      <w:proofErr w:type="spellEnd"/>
      <w:r w:rsidRPr="003E17A2">
        <w:rPr>
          <w:rFonts w:ascii="標楷體" w:eastAsia="標楷體" w:hAnsi="標楷體"/>
        </w:rPr>
        <w:t xml:space="preserve"> Purser </w:t>
      </w:r>
      <w:proofErr w:type="spellStart"/>
      <w:r w:rsidRPr="003E17A2">
        <w:rPr>
          <w:rFonts w:ascii="標楷體" w:eastAsia="標楷體" w:hAnsi="標楷體"/>
        </w:rPr>
        <w:t>劑量模型（一氧化碳吸入量與對流熱耐受時間公式</w:t>
      </w:r>
      <w:proofErr w:type="spellEnd"/>
      <w:r w:rsidRPr="003E17A2">
        <w:rPr>
          <w:rFonts w:ascii="標楷體" w:eastAsia="標楷體" w:hAnsi="標楷體"/>
        </w:rPr>
        <w:t xml:space="preserve">）、ISO 13571 </w:t>
      </w:r>
      <w:proofErr w:type="spellStart"/>
      <w:r w:rsidRPr="003E17A2">
        <w:rPr>
          <w:rFonts w:ascii="標楷體" w:eastAsia="標楷體" w:hAnsi="標楷體"/>
        </w:rPr>
        <w:t>之失能門檻與四判据危險條件、SFPE</w:t>
      </w:r>
      <w:proofErr w:type="spellEnd"/>
      <w:r w:rsidRPr="003E17A2">
        <w:rPr>
          <w:rFonts w:ascii="標楷體" w:eastAsia="標楷體" w:hAnsi="標楷體"/>
        </w:rPr>
        <w:t xml:space="preserve"> </w:t>
      </w:r>
      <w:proofErr w:type="spellStart"/>
      <w:r w:rsidRPr="003E17A2">
        <w:rPr>
          <w:rFonts w:ascii="標楷體" w:eastAsia="標楷體" w:hAnsi="標楷體"/>
        </w:rPr>
        <w:t>Handbook／NFPA</w:t>
      </w:r>
      <w:proofErr w:type="spellEnd"/>
      <w:r w:rsidRPr="003E17A2">
        <w:rPr>
          <w:rFonts w:ascii="標楷體" w:eastAsia="標楷體" w:hAnsi="標楷體"/>
        </w:rPr>
        <w:t xml:space="preserve"> 之 t² </w:t>
      </w:r>
      <w:proofErr w:type="spellStart"/>
      <w:r w:rsidRPr="003E17A2">
        <w:rPr>
          <w:rFonts w:ascii="標楷體" w:eastAsia="標楷體" w:hAnsi="標楷體"/>
        </w:rPr>
        <w:t>火災成長模型與各類燃料之燃燒熱及</w:t>
      </w:r>
      <w:proofErr w:type="spellEnd"/>
      <w:r w:rsidRPr="003E17A2">
        <w:rPr>
          <w:rFonts w:ascii="標楷體" w:eastAsia="標楷體" w:hAnsi="標楷體"/>
        </w:rPr>
        <w:t xml:space="preserve"> </w:t>
      </w:r>
      <w:proofErr w:type="spellStart"/>
      <w:r w:rsidRPr="003E17A2">
        <w:rPr>
          <w:rFonts w:ascii="標楷體" w:eastAsia="標楷體" w:hAnsi="標楷體"/>
        </w:rPr>
        <w:t>CO／煙塵產率、Fruin／Predtechenskii-Milinskii</w:t>
      </w:r>
      <w:proofErr w:type="spellEnd"/>
      <w:r w:rsidRPr="003E17A2">
        <w:rPr>
          <w:rFonts w:ascii="標楷體" w:eastAsia="標楷體" w:hAnsi="標楷體"/>
        </w:rPr>
        <w:t xml:space="preserve"> </w:t>
      </w:r>
      <w:proofErr w:type="spellStart"/>
      <w:r w:rsidRPr="003E17A2">
        <w:rPr>
          <w:rFonts w:ascii="標楷體" w:eastAsia="標楷體" w:hAnsi="標楷體"/>
        </w:rPr>
        <w:t>人流密度</w:t>
      </w:r>
      <w:proofErr w:type="spellEnd"/>
      <w:r w:rsidRPr="003E17A2">
        <w:rPr>
          <w:rFonts w:ascii="標楷體" w:eastAsia="標楷體" w:hAnsi="標楷體"/>
        </w:rPr>
        <w:t>—</w:t>
      </w:r>
      <w:proofErr w:type="spellStart"/>
      <w:r w:rsidRPr="003E17A2">
        <w:rPr>
          <w:rFonts w:ascii="標楷體" w:eastAsia="標楷體" w:hAnsi="標楷體"/>
        </w:rPr>
        <w:t>步行速度基本圖、Fick's</w:t>
      </w:r>
      <w:proofErr w:type="spellEnd"/>
      <w:r w:rsidRPr="003E17A2">
        <w:rPr>
          <w:rFonts w:ascii="標楷體" w:eastAsia="標楷體" w:hAnsi="標楷體"/>
        </w:rPr>
        <w:t xml:space="preserve"> Second Law </w:t>
      </w:r>
      <w:proofErr w:type="spellStart"/>
      <w:r w:rsidRPr="003E17A2">
        <w:rPr>
          <w:rFonts w:ascii="標楷體" w:eastAsia="標楷體" w:hAnsi="標楷體"/>
        </w:rPr>
        <w:t>煙霧擴散方程、史蒂芬－波茲曼定律，以及</w:t>
      </w:r>
      <w:proofErr w:type="spellEnd"/>
      <w:r w:rsidRPr="003E17A2">
        <w:rPr>
          <w:rFonts w:ascii="標楷體" w:eastAsia="標楷體" w:hAnsi="標楷體"/>
        </w:rPr>
        <w:t xml:space="preserve"> UL 1784／NFPA 105／IBC 規範之孔口流量公式與測試壓差。此類算式並非模擬器自行創設，而是消防工程學界與國際規範之通用模型，其邏輯結構（例如「劑量隨時間累積」「速度隨密度遞減」「輻射通量與溫度四次方成正比」）與既有物理化學及工程原理相符，不違背科學邏輯。</w:t>
      </w:r>
    </w:p>
    <w:p w14:paraId="05CD2317" w14:textId="77777777" w:rsidR="002D0E14" w:rsidRPr="003E17A2" w:rsidRDefault="00000000">
      <w:pPr>
        <w:spacing w:before="120" w:after="120"/>
        <w:ind w:firstLine="480"/>
        <w:jc w:val="both"/>
        <w:rPr>
          <w:rFonts w:ascii="標楷體" w:eastAsia="標楷體" w:hAnsi="標楷體"/>
        </w:rPr>
      </w:pPr>
      <w:proofErr w:type="spellStart"/>
      <w:r w:rsidRPr="003E17A2">
        <w:rPr>
          <w:rFonts w:ascii="標楷體" w:eastAsia="標楷體" w:hAnsi="標楷體"/>
          <w:b/>
          <w:bCs/>
        </w:rPr>
        <w:t>第二層次：具參考文獻或規範量級之數值</w:t>
      </w:r>
      <w:proofErr w:type="spellEnd"/>
      <w:r w:rsidRPr="003E17A2">
        <w:rPr>
          <w:rFonts w:ascii="標楷體" w:eastAsia="標楷體" w:hAnsi="標楷體"/>
          <w:b/>
          <w:bCs/>
        </w:rPr>
        <w:t>。</w:t>
      </w:r>
    </w:p>
    <w:p w14:paraId="29C7CCA6"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此層次包含失能門檻（FED_CO</w:t>
      </w:r>
      <w:proofErr w:type="spellEnd"/>
      <w:r w:rsidRPr="003E17A2">
        <w:rPr>
          <w:rFonts w:ascii="標楷體" w:eastAsia="標楷體" w:hAnsi="標楷體"/>
        </w:rPr>
        <w:t xml:space="preserve"> </w:t>
      </w:r>
      <w:r w:rsidRPr="003E17A2">
        <w:rPr>
          <w:rFonts w:ascii="Cambria Math" w:eastAsia="標楷體" w:hAnsi="Cambria Math" w:cs="Cambria Math"/>
        </w:rPr>
        <w:t>≥</w:t>
      </w:r>
      <w:r w:rsidRPr="003E17A2">
        <w:rPr>
          <w:rFonts w:ascii="標楷體" w:eastAsia="標楷體" w:hAnsi="標楷體"/>
        </w:rPr>
        <w:t xml:space="preserve"> 0.3）、</w:t>
      </w:r>
      <w:proofErr w:type="spellStart"/>
      <w:r w:rsidRPr="003E17A2">
        <w:rPr>
          <w:rFonts w:ascii="標楷體" w:eastAsia="標楷體" w:hAnsi="標楷體"/>
        </w:rPr>
        <w:t>危險環境門檻（溫度</w:t>
      </w:r>
      <w:proofErr w:type="spellEnd"/>
      <w:r w:rsidRPr="003E17A2">
        <w:rPr>
          <w:rFonts w:ascii="標楷體" w:eastAsia="標楷體" w:hAnsi="標楷體"/>
        </w:rPr>
        <w:t xml:space="preserve"> &gt; 120°C、輻射熱通量 &gt; 2.5 kW/m²）、火場全盛期熱釋放率上限（5000 kW）與氣體溫度（850°C）、樓梯行走速度折減係數（0.55）、</w:t>
      </w:r>
      <w:proofErr w:type="spellStart"/>
      <w:r w:rsidRPr="003E17A2">
        <w:rPr>
          <w:rFonts w:ascii="標楷體" w:eastAsia="標楷體" w:hAnsi="標楷體"/>
        </w:rPr>
        <w:t>門之防火時效（防火門</w:t>
      </w:r>
      <w:proofErr w:type="spellEnd"/>
      <w:r w:rsidRPr="003E17A2">
        <w:rPr>
          <w:rFonts w:ascii="標楷體" w:eastAsia="標楷體" w:hAnsi="標楷體"/>
        </w:rPr>
        <w:t xml:space="preserve"> 60 </w:t>
      </w:r>
      <w:proofErr w:type="spellStart"/>
      <w:r w:rsidRPr="003E17A2">
        <w:rPr>
          <w:rFonts w:ascii="標楷體" w:eastAsia="標楷體" w:hAnsi="標楷體"/>
        </w:rPr>
        <w:t>分鐘、一般門</w:t>
      </w:r>
      <w:proofErr w:type="spellEnd"/>
      <w:r w:rsidRPr="003E17A2">
        <w:rPr>
          <w:rFonts w:ascii="標楷體" w:eastAsia="標楷體" w:hAnsi="標楷體"/>
        </w:rPr>
        <w:t xml:space="preserve"> 15 分鐘）等數值。此類數值雖非逐一對應單一論文之精確實驗值，然其量級均座落於消防工程領域常見之參考範圍或經驗基準內，例如樓梯移動速度較平面走廊慢 30% 至 60% </w:t>
      </w:r>
      <w:proofErr w:type="spellStart"/>
      <w:r w:rsidRPr="003E17A2">
        <w:rPr>
          <w:rFonts w:ascii="標楷體" w:eastAsia="標楷體" w:hAnsi="標楷體"/>
        </w:rPr>
        <w:t>之經驗範圍，模擬器取其中間值</w:t>
      </w:r>
      <w:proofErr w:type="spellEnd"/>
      <w:r w:rsidRPr="003E17A2">
        <w:rPr>
          <w:rFonts w:ascii="標楷體" w:eastAsia="標楷體" w:hAnsi="標楷體"/>
        </w:rPr>
        <w:t xml:space="preserve"> 55% </w:t>
      </w:r>
      <w:proofErr w:type="spellStart"/>
      <w:r w:rsidRPr="003E17A2">
        <w:rPr>
          <w:rFonts w:ascii="標楷體" w:eastAsia="標楷體" w:hAnsi="標楷體"/>
        </w:rPr>
        <w:t>作為折減係數，此一取值方式合於工程上「以文獻範圍中值作為預設參數」之常見作法，邏輯上並無不當</w:t>
      </w:r>
      <w:proofErr w:type="spellEnd"/>
      <w:r w:rsidRPr="003E17A2">
        <w:rPr>
          <w:rFonts w:ascii="標楷體" w:eastAsia="標楷體" w:hAnsi="標楷體"/>
        </w:rPr>
        <w:t>。</w:t>
      </w:r>
    </w:p>
    <w:p w14:paraId="7102C4FC" w14:textId="77777777" w:rsidR="002D0E14" w:rsidRPr="003E17A2" w:rsidRDefault="00000000">
      <w:pPr>
        <w:spacing w:before="120" w:after="120"/>
        <w:ind w:firstLine="480"/>
        <w:jc w:val="both"/>
        <w:rPr>
          <w:rFonts w:ascii="標楷體" w:eastAsia="標楷體" w:hAnsi="標楷體"/>
        </w:rPr>
      </w:pPr>
      <w:proofErr w:type="spellStart"/>
      <w:r w:rsidRPr="003E17A2">
        <w:rPr>
          <w:rFonts w:ascii="標楷體" w:eastAsia="標楷體" w:hAnsi="標楷體"/>
          <w:b/>
          <w:bCs/>
        </w:rPr>
        <w:lastRenderedPageBreak/>
        <w:t>第三層次：純屬工程假設之系統參數</w:t>
      </w:r>
      <w:proofErr w:type="spellEnd"/>
      <w:r w:rsidRPr="003E17A2">
        <w:rPr>
          <w:rFonts w:ascii="標楷體" w:eastAsia="標楷體" w:hAnsi="標楷體"/>
          <w:b/>
          <w:bCs/>
        </w:rPr>
        <w:t>。</w:t>
      </w:r>
    </w:p>
    <w:p w14:paraId="124BD8BB"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此層次包含系統服從率（85%）、HYBRID 模式下之煙味折減係數（0.85）、行動裝置初始無電機率（5%）、每 Tick 網路瞬斷機率（0.1%）、感測器故障機率（0.2%）、定位誤差標準差（1.5 格）、Dijkstra 尋路演算法中之危險懲罰權重、同行伴侶配對機率（35%）、落後折返等待機率（50%）、行動不便者原地等待機率（2%）等數值。此類數值並無直接對應之單一文獻出處，而是開發者為使軟體得以模擬「人類複雜行為」與「硬體不確定性」，依工程判斷所設定之合理量級。此類參數之設定本身，屬於模擬器建構過程中不可迴避之簡化，其邏輯前提為「以固定機率或常態分布近似原本高度異質、難以窮舉之個體行為與硬體狀態」，此一近似方式於行為模擬與系統可靠度工程領域中具有廣泛先例（例如以卜瓦松過程近似硬體隨機故障），故不構成邏輯上之謬誤，惟其量級之準確性須留待第五章「研究限制」中一併檢討。</w:t>
      </w:r>
    </w:p>
    <w:p w14:paraId="02C6480B"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整體而言，本模擬所依據之物理公式與統計分布，其推導邏輯與既有科學文獻一致；純屬工程假設之參數，其設定方式亦符合軟體模擬中處理不可窮舉之個體異質性與系統不確定性之常見做法。因此，本研究認為，本模擬預測現實情景之前提，並未違背既有之科學與邏輯原則，惟其「預測」之精確程度，應理解為特定簡化假設下之相對趨勢呈現，而非逐一校準之絕對數值，此一定位將於下一節進一步討論其可驗證性。</w:t>
      </w:r>
    </w:p>
    <w:p w14:paraId="0BC673C3" w14:textId="77777777" w:rsidR="002D0E14" w:rsidRPr="003E17A2" w:rsidRDefault="00000000">
      <w:pPr>
        <w:pStyle w:val="2"/>
        <w:rPr>
          <w:rFonts w:ascii="標楷體" w:eastAsia="標楷體" w:hAnsi="標楷體"/>
        </w:rPr>
      </w:pPr>
      <w:r w:rsidRPr="003E17A2">
        <w:rPr>
          <w:rFonts w:ascii="標楷體" w:eastAsia="標楷體" w:hAnsi="標楷體"/>
        </w:rPr>
        <w:t xml:space="preserve">3.2　</w:t>
      </w:r>
      <w:proofErr w:type="spellStart"/>
      <w:r w:rsidRPr="003E17A2">
        <w:rPr>
          <w:rFonts w:ascii="標楷體" w:eastAsia="標楷體" w:hAnsi="標楷體"/>
        </w:rPr>
        <w:t>模擬結果之可驗證性</w:t>
      </w:r>
      <w:proofErr w:type="spellEnd"/>
    </w:p>
    <w:p w14:paraId="5753C84C"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本節檢驗之問題為：本模擬之輸出結果，是否存在可與現實資料或既有文獻比對之途徑，抑或僅為內部自洽、無從外部檢驗之封閉系統</w:t>
      </w:r>
      <w:proofErr w:type="spellEnd"/>
      <w:r w:rsidRPr="003E17A2">
        <w:rPr>
          <w:rFonts w:ascii="標楷體" w:eastAsia="標楷體" w:hAnsi="標楷體"/>
        </w:rPr>
        <w:t>。</w:t>
      </w:r>
    </w:p>
    <w:p w14:paraId="4437EEE1"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本研究認為，本模擬之可驗證性可分為兩個層次。第一層次為「單一子模型之可驗證性</w:t>
      </w:r>
      <w:proofErr w:type="spellEnd"/>
      <w:r w:rsidRPr="003E17A2">
        <w:rPr>
          <w:rFonts w:ascii="標楷體" w:eastAsia="標楷體" w:hAnsi="標楷體"/>
        </w:rPr>
        <w:t>」：</w:t>
      </w:r>
      <w:proofErr w:type="spellStart"/>
      <w:r w:rsidRPr="003E17A2">
        <w:rPr>
          <w:rFonts w:ascii="標楷體" w:eastAsia="標楷體" w:hAnsi="標楷體"/>
        </w:rPr>
        <w:t>由於本模擬器之各物理模組（火災成長曲線、CO</w:t>
      </w:r>
      <w:proofErr w:type="spellEnd"/>
      <w:r w:rsidRPr="003E17A2">
        <w:rPr>
          <w:rFonts w:ascii="標楷體" w:eastAsia="標楷體" w:hAnsi="標楷體"/>
        </w:rPr>
        <w:t xml:space="preserve"> 與煙霧生成、門之耐火失效、煙霧擴散、人流密度抑制等）均對應明確之公式與參數，此類子模型之輸出，原則上可獨立於整體模擬之外，與對應文獻中之數值範圍或既有實驗數據（如特定燃料之燃燒熱、特定通風條件下之 CO 產率）逐一比對，檢驗其計算結果是否落於合理區間。此一層次之驗證，本研究於第四章系統分析中，已透過檢視原始程式碼與物理常數定義（PhysicalConstants.java </w:t>
      </w:r>
      <w:proofErr w:type="spellStart"/>
      <w:r w:rsidRPr="003E17A2">
        <w:rPr>
          <w:rFonts w:ascii="標楷體" w:eastAsia="標楷體" w:hAnsi="標楷體"/>
        </w:rPr>
        <w:t>等檔案</w:t>
      </w:r>
      <w:proofErr w:type="spellEnd"/>
      <w:r w:rsidRPr="003E17A2">
        <w:rPr>
          <w:rFonts w:ascii="標楷體" w:eastAsia="標楷體" w:hAnsi="標楷體"/>
        </w:rPr>
        <w:t>），</w:t>
      </w:r>
      <w:proofErr w:type="spellStart"/>
      <w:r w:rsidRPr="003E17A2">
        <w:rPr>
          <w:rFonts w:ascii="標楷體" w:eastAsia="標楷體" w:hAnsi="標楷體"/>
        </w:rPr>
        <w:t>確認各參數之取值與其程式註解所載之文獻依據相符</w:t>
      </w:r>
      <w:proofErr w:type="spellEnd"/>
      <w:r w:rsidRPr="003E17A2">
        <w:rPr>
          <w:rFonts w:ascii="標楷體" w:eastAsia="標楷體" w:hAnsi="標楷體"/>
        </w:rPr>
        <w:t>。</w:t>
      </w:r>
    </w:p>
    <w:p w14:paraId="30D41225"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lastRenderedPageBreak/>
        <w:t>第二層次為「整體模擬輸出與宏觀統計現象之可驗證性」。開發者於報告文件之補充說明中，記錄了一項具參考價值之校準過程：本模擬器於開發早期版本中，建築生成邏輯採隨機生成牆壁、未設計穩定之房間與防火門機制，於加入煙霧、火源、CO、熱傷害等物理機制並套用前述公式後，無系統情境下之死亡率一度高達約 97%，此一數值明顯偏離現實中公共場域火災之死亡率統計；開發者其後將建築生成機制改為二元空間分割演算法（產生具備穩定房間與防火門結構之建築配置），無系統情境下之死亡率始降至較貼近現實之量級（如本研究第五章所引用之公寓類建築無系統逃生率約 6% 至 15%，</w:t>
      </w:r>
      <w:proofErr w:type="spellStart"/>
      <w:r w:rsidRPr="003E17A2">
        <w:rPr>
          <w:rFonts w:ascii="標楷體" w:eastAsia="標楷體" w:hAnsi="標楷體"/>
        </w:rPr>
        <w:t>低矮建築約</w:t>
      </w:r>
      <w:proofErr w:type="spellEnd"/>
      <w:r w:rsidRPr="003E17A2">
        <w:rPr>
          <w:rFonts w:ascii="標楷體" w:eastAsia="標楷體" w:hAnsi="標楷體"/>
        </w:rPr>
        <w:t xml:space="preserve"> 7% 至 25%）。此一「發現模擬結果與現實統計脫節、進而回頭修正建築生成邏輯」之過程，本身即構成一種可驗證性之展現：其顯示模擬結果對建築拓樸結構之合理性具有可觀察之敏感度，且此一敏感度之方向（防火分隔越合理，死亡率越接近現實統計）與消防工程之基本常識相符，而非隨機或不可解釋之波動。</w:t>
      </w:r>
    </w:p>
    <w:p w14:paraId="52C8D834"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然而，本研究亦須誠實指出此一可驗證性之邊界。開發者於補充說明中明確記載：「有關沒有消防員的失火案件生還率的文獻較少，故難以使用現有之火災倖存率統計數據精準校正模擬」。此一陳述顯示，本模擬目前僅完成前述「宏觀量級是否落於合理範圍」之定性校準，尚未完成與特定既有火災事件（例如錢櫃 KTV 案件本身之官方調查資料）逐一比對之定量驗證；亦未如第四章所述，經過消防專家對其規則庫之審核，或透過真人受試者之疏散實驗進行行為模型之驗證。因此，本研究將本模擬之可驗證性定位為「具備方向性與宏觀量級可驗證性，但尚未完成定量精確驗證」之階段，此一定位與第一章之重要聲明、以及模擬器原始文件中「非判定真實建築消防安全之法規依據」之聲明相互一致。</w:t>
      </w:r>
    </w:p>
    <w:p w14:paraId="7E1B16A8" w14:textId="77777777" w:rsidR="002D0E14" w:rsidRPr="003E17A2" w:rsidRDefault="00000000">
      <w:pPr>
        <w:pStyle w:val="2"/>
        <w:rPr>
          <w:rFonts w:ascii="標楷體" w:eastAsia="標楷體" w:hAnsi="標楷體"/>
        </w:rPr>
      </w:pPr>
      <w:r w:rsidRPr="003E17A2">
        <w:rPr>
          <w:rFonts w:ascii="標楷體" w:eastAsia="標楷體" w:hAnsi="標楷體"/>
        </w:rPr>
        <w:t xml:space="preserve">3.3　</w:t>
      </w:r>
      <w:proofErr w:type="spellStart"/>
      <w:r w:rsidRPr="003E17A2">
        <w:rPr>
          <w:rFonts w:ascii="標楷體" w:eastAsia="標楷體" w:hAnsi="標楷體"/>
        </w:rPr>
        <w:t>理論參考價值之評估</w:t>
      </w:r>
      <w:proofErr w:type="spellEnd"/>
    </w:p>
    <w:p w14:paraId="70412E14"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本節檢驗之問題為：在前二節「前提未違背科學邏輯」與「具備方向性可驗證性」之基礎上，本模擬理論上是否能夠做出具備參考價值之研究成果。</w:t>
      </w:r>
    </w:p>
    <w:p w14:paraId="0F91A9A2"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研究認為，此一問題之答案，取決於「參考價值」之定義範圍。若將「參考價值」定義為「可直接作為建築消防安全法規依據或真實存活率預測」，則依前二節之分析，本模擬並不具備此一層次之參考價值，此點已於第一章重要聲明中明確排除。然而，若將「參考價值」定義為「在明確揭露前提與限制之情況下，為特定研究問題</w:t>
      </w:r>
      <w:r w:rsidRPr="003E17A2">
        <w:rPr>
          <w:rFonts w:ascii="標楷體" w:eastAsia="標楷體" w:hAnsi="標楷體"/>
        </w:rPr>
        <w:lastRenderedPageBreak/>
        <w:t>提供具方向性、可重複、可與其他情境相互比較之量化證據」，則本研究認為本模擬具備以下三項具體之參考價值。</w:t>
      </w:r>
    </w:p>
    <w:p w14:paraId="622562C6"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第一，控制變因之比較實驗設計，能夠隔離出決策支援系統介入本身之相對效果。本模擬器之核心實驗設計，係於「同一建築配置、同一起火點、同一人員初始位置」之嚴格控制下，依序執行 DEFAULT、SMART、HYBRID </w:t>
      </w:r>
      <w:proofErr w:type="spellStart"/>
      <w:r w:rsidRPr="003E17A2">
        <w:rPr>
          <w:rFonts w:ascii="標楷體" w:eastAsia="標楷體" w:hAnsi="標楷體"/>
        </w:rPr>
        <w:t>三種情境，此一設計方式相當於進行一組「配對比較</w:t>
      </w:r>
      <w:proofErr w:type="spellEnd"/>
      <w:r w:rsidRPr="003E17A2">
        <w:rPr>
          <w:rFonts w:ascii="標楷體" w:eastAsia="標楷體" w:hAnsi="標楷體"/>
        </w:rPr>
        <w:t>」（paired comparison）而非「獨立樣本比較」，能夠有效控制建築幾何、起火位置等混淆變因，使三種情境間之差異，更大程度上可歸因於決策支援機制本身之介入效果，而非場景隨機性之干擾。此一實驗設計之邏輯結構，符合社會科學與工程研究中「控制組—實驗組」比較之基本原則。</w:t>
      </w:r>
    </w:p>
    <w:p w14:paraId="4F4B253D"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二，跨情境之系統性重複模擬，能夠揭露介入效果之條件依賴性。本研究於第五章所引用之四十場情境模擬結果顯示，決策支援系統之邊際效益，於不同建築類型（低矮建築與公寓）與不同起火原因（意外、電器、化學、縱火）下呈現不同之幅度與方向，此一「條件依賴性」之發現，本身即具備參考價值：其提示未來實際部署此類系統時，不應假設系統效益於所有場域與火災類型下均一致，而應優先考慮於高樓層建築等基礎逃生率偏低之場域中導入，此一結論之推導過程係建立於可重複之量化資料，而非單一場景之個案觀察，較個案觀察或定性訪談更具系統性。</w:t>
      </w:r>
    </w:p>
    <w:p w14:paraId="10E070CD"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三，「系統嚴重失誤機率」指標之設計，能為決策支援系統之風險評估提供量化基礎。本模擬器並未僅呈現系統介入後逃生率之提升，亦同步追蹤「原本能自行逃生之人員，於系統介入後反而未能逃生」之比例，此一指標之設計理念，直接回應構想報告書中所述「系統在資料不足時仍可能呈現過度精確的答案，造成過度信任」此一風險。將此一抽象風險轉化為可於模擬中重複測量之量化指標，使決策支援系統之效益評估，得以同時考慮「平均提升」與「極端失誤」兩個面向，此一雙面向之評估架構，本身即具備超越單純逃生率比較之方法論參考價值。</w:t>
      </w:r>
    </w:p>
    <w:p w14:paraId="0D542192"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綜合本章三節之分析，本研究認為：本模擬之科學與邏輯前提並無明顯謬誤；其結果具備方向性與宏觀量級之可驗證性，惟尚未完成定量精確校準；在此前提下，本模擬理論上能夠、且已經產出具備參考價值之研究成果，惟此參考價值之範圍，應嚴格限定於「決策支援系統介入之相對效果方向與條件依賴性」，而非「真實建築消防安全之絕對數值預測」。此一結論將作為第四章系統分析與第五章結論之共同前提。</w:t>
      </w:r>
    </w:p>
    <w:p w14:paraId="6F98A13F" w14:textId="77777777" w:rsidR="002D0E14" w:rsidRPr="003E17A2" w:rsidRDefault="00000000">
      <w:pPr>
        <w:pStyle w:val="1"/>
        <w:pageBreakBefore/>
        <w:rPr>
          <w:rFonts w:ascii="標楷體" w:eastAsia="標楷體" w:hAnsi="標楷體"/>
        </w:rPr>
      </w:pPr>
      <w:proofErr w:type="spellStart"/>
      <w:r w:rsidRPr="003E17A2">
        <w:rPr>
          <w:rFonts w:ascii="標楷體" w:eastAsia="標楷體" w:hAnsi="標楷體"/>
        </w:rPr>
        <w:lastRenderedPageBreak/>
        <w:t>第四章</w:t>
      </w:r>
      <w:proofErr w:type="spellEnd"/>
      <w:r w:rsidRPr="003E17A2">
        <w:rPr>
          <w:rFonts w:ascii="標楷體" w:eastAsia="標楷體" w:hAnsi="標楷體"/>
        </w:rPr>
        <w:t xml:space="preserve">　</w:t>
      </w:r>
      <w:proofErr w:type="spellStart"/>
      <w:r w:rsidRPr="003E17A2">
        <w:rPr>
          <w:rFonts w:ascii="標楷體" w:eastAsia="標楷體" w:hAnsi="標楷體"/>
        </w:rPr>
        <w:t>系統分析</w:t>
      </w:r>
      <w:proofErr w:type="spellEnd"/>
    </w:p>
    <w:p w14:paraId="4D6EEB77"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章以物理驗證預測模擬壓縮檔（物理驗證預測模擬_周孝倫製.zip）之原始程式碼、工程文件與輸出報表為依據，系統性拆解本模擬器之功能定位、元資料夾結構、專案運行流程、類別架構與輸出指標，作為第三章可行性分析之技術對應說明，亦作為第五章結論中系統限制討論之事實基礎。</w:t>
      </w:r>
    </w:p>
    <w:p w14:paraId="334C1E8E" w14:textId="77777777" w:rsidR="002D0E14" w:rsidRPr="003E17A2" w:rsidRDefault="00000000">
      <w:pPr>
        <w:pStyle w:val="2"/>
        <w:rPr>
          <w:rFonts w:ascii="標楷體" w:eastAsia="標楷體" w:hAnsi="標楷體"/>
        </w:rPr>
      </w:pPr>
      <w:r w:rsidRPr="003E17A2">
        <w:rPr>
          <w:rFonts w:ascii="標楷體" w:eastAsia="標楷體" w:hAnsi="標楷體"/>
        </w:rPr>
        <w:t xml:space="preserve">4.1　</w:t>
      </w:r>
      <w:proofErr w:type="spellStart"/>
      <w:r w:rsidRPr="003E17A2">
        <w:rPr>
          <w:rFonts w:ascii="標楷體" w:eastAsia="標楷體" w:hAnsi="標楷體"/>
        </w:rPr>
        <w:t>系統功能定位</w:t>
      </w:r>
      <w:proofErr w:type="spellEnd"/>
    </w:p>
    <w:p w14:paraId="0A3CFDC3"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本模擬器之功能，依其</w:t>
      </w:r>
      <w:proofErr w:type="spellEnd"/>
      <w:r w:rsidRPr="003E17A2">
        <w:rPr>
          <w:rFonts w:ascii="標楷體" w:eastAsia="標楷體" w:hAnsi="標楷體"/>
        </w:rPr>
        <w:t xml:space="preserve"> README 文件所載，定位為「火場決策支援系統效果量化模擬器」，其目的在於透過客觀之統計與數學模型，量化「決策支援」（SMART）與「決策支援＋備援主動控制」（HYBRID）兩種智慧消防系統，相較於「無系統」（DEFAULT）情境，對火場逃生表現之實際影響。此一定位與構想報告書第 3.8 </w:t>
      </w:r>
      <w:proofErr w:type="spellStart"/>
      <w:r w:rsidRPr="003E17A2">
        <w:rPr>
          <w:rFonts w:ascii="標楷體" w:eastAsia="標楷體" w:hAnsi="標楷體"/>
        </w:rPr>
        <w:t>節所載系統設計原則第四條「安全規則不由自由生成式</w:t>
      </w:r>
      <w:proofErr w:type="spellEnd"/>
      <w:r w:rsidRPr="003E17A2">
        <w:rPr>
          <w:rFonts w:ascii="標楷體" w:eastAsia="標楷體" w:hAnsi="標楷體"/>
        </w:rPr>
        <w:t xml:space="preserve"> AI </w:t>
      </w:r>
      <w:proofErr w:type="spellStart"/>
      <w:r w:rsidRPr="003E17A2">
        <w:rPr>
          <w:rFonts w:ascii="標楷體" w:eastAsia="標楷體" w:hAnsi="標楷體"/>
        </w:rPr>
        <w:t>決定：路徑與行動由規則與風險模型處理」相互呼應：本模擬器之決策支援邏輯，全程以</w:t>
      </w:r>
      <w:proofErr w:type="spellEnd"/>
      <w:r w:rsidRPr="003E17A2">
        <w:rPr>
          <w:rFonts w:ascii="標楷體" w:eastAsia="標楷體" w:hAnsi="標楷體"/>
        </w:rPr>
        <w:t xml:space="preserve"> Dijkstra 加權最短路徑演算法與規則式之危險排除機制實現，未涉及任何生成式語言模型之路徑決策，此一實作方式使模擬結果之因果可追溯性，優於採用不透明模型之替代設計。</w:t>
      </w:r>
    </w:p>
    <w:p w14:paraId="60DFE2F3"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本模擬器之主要功能模組，依</w:t>
      </w:r>
      <w:proofErr w:type="spellEnd"/>
      <w:r w:rsidRPr="003E17A2">
        <w:rPr>
          <w:rFonts w:ascii="標楷體" w:eastAsia="標楷體" w:hAnsi="標楷體"/>
        </w:rPr>
        <w:t xml:space="preserve"> </w:t>
      </w:r>
      <w:proofErr w:type="spellStart"/>
      <w:r w:rsidRPr="003E17A2">
        <w:rPr>
          <w:rFonts w:ascii="標楷體" w:eastAsia="標楷體" w:hAnsi="標楷體"/>
        </w:rPr>
        <w:t>README「專案特色」一節所載，可歸納為八項：其一，以</w:t>
      </w:r>
      <w:proofErr w:type="spellEnd"/>
      <w:r w:rsidRPr="003E17A2">
        <w:rPr>
          <w:rFonts w:ascii="標楷體" w:eastAsia="標楷體" w:hAnsi="標楷體"/>
        </w:rPr>
        <w:t xml:space="preserve"> Purser FED </w:t>
      </w:r>
      <w:proofErr w:type="spellStart"/>
      <w:r w:rsidRPr="003E17A2">
        <w:rPr>
          <w:rFonts w:ascii="標楷體" w:eastAsia="標楷體" w:hAnsi="標楷體"/>
        </w:rPr>
        <w:t>模型計算熱暴露與</w:t>
      </w:r>
      <w:proofErr w:type="spellEnd"/>
      <w:r w:rsidRPr="003E17A2">
        <w:rPr>
          <w:rFonts w:ascii="標楷體" w:eastAsia="標楷體" w:hAnsi="標楷體"/>
        </w:rPr>
        <w:t xml:space="preserve"> CO </w:t>
      </w:r>
      <w:proofErr w:type="spellStart"/>
      <w:r w:rsidRPr="003E17A2">
        <w:rPr>
          <w:rFonts w:ascii="標楷體" w:eastAsia="標楷體" w:hAnsi="標楷體"/>
        </w:rPr>
        <w:t>吸入之累積劑量死亡判定；其二，完整之熱釋放率（HRR</w:t>
      </w:r>
      <w:proofErr w:type="spellEnd"/>
      <w:r w:rsidRPr="003E17A2">
        <w:rPr>
          <w:rFonts w:ascii="標楷體" w:eastAsia="標楷體" w:hAnsi="標楷體"/>
        </w:rPr>
        <w:t xml:space="preserve">）→ </w:t>
      </w:r>
      <w:proofErr w:type="spellStart"/>
      <w:r w:rsidRPr="003E17A2">
        <w:rPr>
          <w:rFonts w:ascii="標楷體" w:eastAsia="標楷體" w:hAnsi="標楷體"/>
        </w:rPr>
        <w:t>燃料</w:t>
      </w:r>
      <w:proofErr w:type="spellEnd"/>
      <w:r w:rsidRPr="003E17A2">
        <w:rPr>
          <w:rFonts w:ascii="標楷體" w:eastAsia="標楷體" w:hAnsi="標楷體"/>
        </w:rPr>
        <w:t xml:space="preserve"> → </w:t>
      </w:r>
      <w:proofErr w:type="spellStart"/>
      <w:r w:rsidRPr="003E17A2">
        <w:rPr>
          <w:rFonts w:ascii="標楷體" w:eastAsia="標楷體" w:hAnsi="標楷體"/>
        </w:rPr>
        <w:t>通風鏈，依</w:t>
      </w:r>
      <w:proofErr w:type="spellEnd"/>
      <w:r w:rsidRPr="003E17A2">
        <w:rPr>
          <w:rFonts w:ascii="標楷體" w:eastAsia="標楷體" w:hAnsi="標楷體"/>
        </w:rPr>
        <w:t xml:space="preserve"> t² </w:t>
      </w:r>
      <w:proofErr w:type="spellStart"/>
      <w:r w:rsidRPr="003E17A2">
        <w:rPr>
          <w:rFonts w:ascii="標楷體" w:eastAsia="標楷體" w:hAnsi="標楷體"/>
        </w:rPr>
        <w:t>火災成長曲線動態計算</w:t>
      </w:r>
      <w:proofErr w:type="spellEnd"/>
      <w:r w:rsidRPr="003E17A2">
        <w:rPr>
          <w:rFonts w:ascii="標楷體" w:eastAsia="標楷體" w:hAnsi="標楷體"/>
        </w:rPr>
        <w:t xml:space="preserve"> CO </w:t>
      </w:r>
      <w:proofErr w:type="spellStart"/>
      <w:r w:rsidRPr="003E17A2">
        <w:rPr>
          <w:rFonts w:ascii="標楷體" w:eastAsia="標楷體" w:hAnsi="標楷體"/>
        </w:rPr>
        <w:t>與煙霧生成與擴散；其三，四判据</w:t>
      </w:r>
      <w:proofErr w:type="spellEnd"/>
      <w:r w:rsidRPr="003E17A2">
        <w:rPr>
          <w:rFonts w:ascii="標楷體" w:eastAsia="標楷體" w:hAnsi="標楷體"/>
        </w:rPr>
        <w:t xml:space="preserve"> ASET </w:t>
      </w:r>
      <w:proofErr w:type="spellStart"/>
      <w:r w:rsidRPr="003E17A2">
        <w:rPr>
          <w:rFonts w:ascii="標楷體" w:eastAsia="標楷體" w:hAnsi="標楷體"/>
        </w:rPr>
        <w:t>判定（溫度、輻射熱通量、CO</w:t>
      </w:r>
      <w:proofErr w:type="spellEnd"/>
      <w:r w:rsidRPr="003E17A2">
        <w:rPr>
          <w:rFonts w:ascii="標楷體" w:eastAsia="標楷體" w:hAnsi="標楷體"/>
        </w:rPr>
        <w:t xml:space="preserve"> </w:t>
      </w:r>
      <w:proofErr w:type="spellStart"/>
      <w:r w:rsidRPr="003E17A2">
        <w:rPr>
          <w:rFonts w:ascii="標楷體" w:eastAsia="標楷體" w:hAnsi="標楷體"/>
        </w:rPr>
        <w:t>毒性、能見度</w:t>
      </w:r>
      <w:proofErr w:type="spellEnd"/>
      <w:r w:rsidRPr="003E17A2">
        <w:rPr>
          <w:rFonts w:ascii="標楷體" w:eastAsia="標楷體" w:hAnsi="標楷體"/>
        </w:rPr>
        <w:t>）；</w:t>
      </w:r>
      <w:proofErr w:type="spellStart"/>
      <w:r w:rsidRPr="003E17A2">
        <w:rPr>
          <w:rFonts w:ascii="標楷體" w:eastAsia="標楷體" w:hAnsi="標楷體"/>
        </w:rPr>
        <w:t>其四，門之耐火失效採</w:t>
      </w:r>
      <w:proofErr w:type="spellEnd"/>
      <w:r w:rsidRPr="003E17A2">
        <w:rPr>
          <w:rFonts w:ascii="標楷體" w:eastAsia="標楷體" w:hAnsi="標楷體"/>
        </w:rPr>
        <w:t xml:space="preserve"> Weibull </w:t>
      </w:r>
      <w:proofErr w:type="spellStart"/>
      <w:r w:rsidRPr="003E17A2">
        <w:rPr>
          <w:rFonts w:ascii="標楷體" w:eastAsia="標楷體" w:hAnsi="標楷體"/>
        </w:rPr>
        <w:t>存活分布；其五，門對擴散通量之洩漏採孔口流量公式；其六，煙霧擴散採</w:t>
      </w:r>
      <w:proofErr w:type="spellEnd"/>
      <w:r w:rsidRPr="003E17A2">
        <w:rPr>
          <w:rFonts w:ascii="標楷體" w:eastAsia="標楷體" w:hAnsi="標楷體"/>
        </w:rPr>
        <w:t xml:space="preserve"> Fick's Second Law </w:t>
      </w:r>
      <w:proofErr w:type="spellStart"/>
      <w:r w:rsidRPr="003E17A2">
        <w:rPr>
          <w:rFonts w:ascii="標楷體" w:eastAsia="標楷體" w:hAnsi="標楷體"/>
        </w:rPr>
        <w:t>有限差分模型，並具數值穩定性自動調整機制；其七，Dijkstra</w:t>
      </w:r>
      <w:proofErr w:type="spellEnd"/>
      <w:r w:rsidRPr="003E17A2">
        <w:rPr>
          <w:rFonts w:ascii="標楷體" w:eastAsia="標楷體" w:hAnsi="標楷體"/>
        </w:rPr>
        <w:t xml:space="preserve"> 決策支援路徑規劃，含危險硬性排除、危險記憶機制與路徑改道保護；其八，人流密度抑制移動速度與門／出口流量瓶頸模型。此外，系統支援高度異質性之六種人員角色設定，並可匯出完整軌跡 JSON 供前端三維渲染器回放，與體驗示意模擬（羅祺宗製）之第一人稱訓練系統形成資料層面之潛在銜接介面，惟依第一章重要聲明所載，此一銜接目前尚未實際串接。</w:t>
      </w:r>
    </w:p>
    <w:p w14:paraId="08127E90" w14:textId="77777777" w:rsidR="002D0E14" w:rsidRPr="003E17A2" w:rsidRDefault="00000000">
      <w:pPr>
        <w:pStyle w:val="2"/>
        <w:rPr>
          <w:rFonts w:ascii="標楷體" w:eastAsia="標楷體" w:hAnsi="標楷體"/>
        </w:rPr>
      </w:pPr>
      <w:r w:rsidRPr="003E17A2">
        <w:rPr>
          <w:rFonts w:ascii="標楷體" w:eastAsia="標楷體" w:hAnsi="標楷體"/>
        </w:rPr>
        <w:t xml:space="preserve">4.2　</w:t>
      </w:r>
      <w:proofErr w:type="spellStart"/>
      <w:r w:rsidRPr="003E17A2">
        <w:rPr>
          <w:rFonts w:ascii="標楷體" w:eastAsia="標楷體" w:hAnsi="標楷體"/>
        </w:rPr>
        <w:t>元資料夾結構</w:t>
      </w:r>
      <w:proofErr w:type="spellEnd"/>
    </w:p>
    <w:p w14:paraId="488E1E92"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lastRenderedPageBreak/>
        <w:t>本模擬器壓縮檔解壓縮後，根目錄名稱為「物理驗證預測模擬_周孝倫製</w:t>
      </w:r>
      <w:proofErr w:type="spellEnd"/>
      <w:r w:rsidRPr="003E17A2">
        <w:rPr>
          <w:rFonts w:ascii="標楷體" w:eastAsia="標楷體" w:hAnsi="標楷體"/>
        </w:rPr>
        <w:t>」，</w:t>
      </w:r>
      <w:proofErr w:type="spellStart"/>
      <w:r w:rsidRPr="003E17A2">
        <w:rPr>
          <w:rFonts w:ascii="標楷體" w:eastAsia="標楷體" w:hAnsi="標楷體"/>
        </w:rPr>
        <w:t>其下之元資料夾與檔案結構，依</w:t>
      </w:r>
      <w:proofErr w:type="spellEnd"/>
      <w:r w:rsidRPr="003E17A2">
        <w:rPr>
          <w:rFonts w:ascii="標楷體" w:eastAsia="標楷體" w:hAnsi="標楷體"/>
        </w:rPr>
        <w:t xml:space="preserve"> </w:t>
      </w:r>
      <w:proofErr w:type="spellStart"/>
      <w:r w:rsidRPr="003E17A2">
        <w:rPr>
          <w:rFonts w:ascii="標楷體" w:eastAsia="標楷體" w:hAnsi="標楷體"/>
        </w:rPr>
        <w:t>README「元資料夾結構簡述」一節所載並經本研究實際檢視原始檔案確認，整理如下表</w:t>
      </w:r>
      <w:proofErr w:type="spellEnd"/>
      <w:r w:rsidRPr="003E17A2">
        <w:rPr>
          <w:rFonts w:ascii="標楷體" w:eastAsia="標楷體" w:hAnsi="標楷體"/>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2D0E14" w:rsidRPr="003E17A2" w14:paraId="73FD7DF6" w14:textId="77777777">
        <w:tblPrEx>
          <w:tblCellMar>
            <w:top w:w="0" w:type="dxa"/>
            <w:bottom w:w="0" w:type="dxa"/>
          </w:tblCellMar>
        </w:tblPrEx>
        <w:trPr>
          <w:tblHeader/>
        </w:trPr>
        <w:tc>
          <w:tcPr>
            <w:tcW w:w="2600" w:type="dxa"/>
            <w:shd w:val="clear" w:color="auto" w:fill="D9D9D9"/>
            <w:tcMar>
              <w:top w:w="60" w:type="dxa"/>
              <w:left w:w="80" w:type="dxa"/>
              <w:bottom w:w="60" w:type="dxa"/>
              <w:right w:w="80" w:type="dxa"/>
            </w:tcMar>
            <w:vAlign w:val="center"/>
          </w:tcPr>
          <w:p w14:paraId="0F37B317"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t>資料夾／檔案</w:t>
            </w:r>
            <w:proofErr w:type="spellEnd"/>
          </w:p>
        </w:tc>
        <w:tc>
          <w:tcPr>
            <w:tcW w:w="6800" w:type="dxa"/>
            <w:shd w:val="clear" w:color="auto" w:fill="D9D9D9"/>
            <w:tcMar>
              <w:top w:w="60" w:type="dxa"/>
              <w:left w:w="80" w:type="dxa"/>
              <w:bottom w:w="60" w:type="dxa"/>
              <w:right w:w="80" w:type="dxa"/>
            </w:tcMar>
            <w:vAlign w:val="center"/>
          </w:tcPr>
          <w:p w14:paraId="66DE29FB"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t>功能說明</w:t>
            </w:r>
            <w:proofErr w:type="spellEnd"/>
          </w:p>
        </w:tc>
      </w:tr>
      <w:tr w:rsidR="002D0E14" w:rsidRPr="003E17A2" w14:paraId="01038372" w14:textId="77777777">
        <w:tblPrEx>
          <w:tblCellMar>
            <w:top w:w="0" w:type="dxa"/>
            <w:bottom w:w="0" w:type="dxa"/>
          </w:tblCellMar>
        </w:tblPrEx>
        <w:tc>
          <w:tcPr>
            <w:tcW w:w="2600" w:type="dxa"/>
            <w:tcMar>
              <w:top w:w="60" w:type="dxa"/>
              <w:left w:w="80" w:type="dxa"/>
              <w:bottom w:w="60" w:type="dxa"/>
              <w:right w:w="80" w:type="dxa"/>
            </w:tcMar>
            <w:vAlign w:val="center"/>
          </w:tcPr>
          <w:p w14:paraId="5ED64944" w14:textId="77777777" w:rsidR="002D0E14" w:rsidRPr="003E17A2" w:rsidRDefault="00000000">
            <w:pPr>
              <w:rPr>
                <w:rFonts w:ascii="標楷體" w:eastAsia="標楷體" w:hAnsi="標楷體"/>
              </w:rPr>
            </w:pPr>
            <w:r w:rsidRPr="003E17A2">
              <w:rPr>
                <w:rFonts w:ascii="標楷體" w:eastAsia="標楷體" w:hAnsi="標楷體"/>
                <w:sz w:val="22"/>
                <w:szCs w:val="22"/>
              </w:rPr>
              <w:t>docs／README.md</w:t>
            </w:r>
          </w:p>
        </w:tc>
        <w:tc>
          <w:tcPr>
            <w:tcW w:w="6800" w:type="dxa"/>
            <w:tcMar>
              <w:top w:w="60" w:type="dxa"/>
              <w:left w:w="80" w:type="dxa"/>
              <w:bottom w:w="60" w:type="dxa"/>
              <w:right w:w="80" w:type="dxa"/>
            </w:tcMar>
            <w:vAlign w:val="center"/>
          </w:tcPr>
          <w:p w14:paraId="5DC59C21"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存放工程文件，依序描述情境設定與</w:t>
            </w:r>
            <w:proofErr w:type="spellEnd"/>
            <w:r w:rsidRPr="003E17A2">
              <w:rPr>
                <w:rFonts w:ascii="標楷體" w:eastAsia="標楷體" w:hAnsi="標楷體"/>
                <w:sz w:val="22"/>
                <w:szCs w:val="22"/>
              </w:rPr>
              <w:t xml:space="preserve"> KPI </w:t>
            </w:r>
            <w:proofErr w:type="spellStart"/>
            <w:r w:rsidRPr="003E17A2">
              <w:rPr>
                <w:rFonts w:ascii="標楷體" w:eastAsia="標楷體" w:hAnsi="標楷體"/>
                <w:sz w:val="22"/>
                <w:szCs w:val="22"/>
              </w:rPr>
              <w:t>指標、疏散與人員行為模型、火災與煙霧擴散模型、門與通風洩漏模型、決策支援與路徑規劃、建築生成與地圖結構、JSON</w:t>
            </w:r>
            <w:proofErr w:type="spellEnd"/>
            <w:r w:rsidRPr="003E17A2">
              <w:rPr>
                <w:rFonts w:ascii="標楷體" w:eastAsia="標楷體" w:hAnsi="標楷體"/>
                <w:sz w:val="22"/>
                <w:szCs w:val="22"/>
              </w:rPr>
              <w:t xml:space="preserve"> Schema </w:t>
            </w:r>
            <w:proofErr w:type="spellStart"/>
            <w:r w:rsidRPr="003E17A2">
              <w:rPr>
                <w:rFonts w:ascii="標楷體" w:eastAsia="標楷體" w:hAnsi="標楷體"/>
                <w:sz w:val="22"/>
                <w:szCs w:val="22"/>
              </w:rPr>
              <w:t>定義，以及參考文獻，共八篇文件與一份專案架構圖、一份類別架構圖</w:t>
            </w:r>
            <w:proofErr w:type="spellEnd"/>
            <w:r w:rsidRPr="003E17A2">
              <w:rPr>
                <w:rFonts w:ascii="標楷體" w:eastAsia="標楷體" w:hAnsi="標楷體"/>
                <w:sz w:val="22"/>
                <w:szCs w:val="22"/>
              </w:rPr>
              <w:t>。</w:t>
            </w:r>
          </w:p>
        </w:tc>
      </w:tr>
      <w:tr w:rsidR="002D0E14" w:rsidRPr="003E17A2" w14:paraId="43CCCDB5" w14:textId="77777777">
        <w:tblPrEx>
          <w:tblCellMar>
            <w:top w:w="0" w:type="dxa"/>
            <w:bottom w:w="0" w:type="dxa"/>
          </w:tblCellMar>
        </w:tblPrEx>
        <w:tc>
          <w:tcPr>
            <w:tcW w:w="2600" w:type="dxa"/>
            <w:tcMar>
              <w:top w:w="60" w:type="dxa"/>
              <w:left w:w="80" w:type="dxa"/>
              <w:bottom w:w="60" w:type="dxa"/>
              <w:right w:w="80" w:type="dxa"/>
            </w:tcMar>
            <w:vAlign w:val="center"/>
          </w:tcPr>
          <w:p w14:paraId="7ED65DA3" w14:textId="77777777" w:rsidR="002D0E14" w:rsidRPr="003E17A2" w:rsidRDefault="00000000">
            <w:pPr>
              <w:rPr>
                <w:rFonts w:ascii="標楷體" w:eastAsia="標楷體" w:hAnsi="標楷體"/>
              </w:rPr>
            </w:pPr>
            <w:r w:rsidRPr="003E17A2">
              <w:rPr>
                <w:rFonts w:ascii="標楷體" w:eastAsia="標楷體" w:hAnsi="標楷體"/>
                <w:sz w:val="22"/>
                <w:szCs w:val="22"/>
              </w:rPr>
              <w:t>report</w:t>
            </w:r>
          </w:p>
        </w:tc>
        <w:tc>
          <w:tcPr>
            <w:tcW w:w="6800" w:type="dxa"/>
            <w:tcMar>
              <w:top w:w="60" w:type="dxa"/>
              <w:left w:w="80" w:type="dxa"/>
              <w:bottom w:w="60" w:type="dxa"/>
              <w:right w:w="80" w:type="dxa"/>
            </w:tcMar>
            <w:vAlign w:val="center"/>
          </w:tcPr>
          <w:p w14:paraId="00D34363"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存放原始模擬數據與其分析、總結，內含四十場「低矮樓房」與四十場「普通公寓」情境之完整報表（各約</w:t>
            </w:r>
            <w:proofErr w:type="spellEnd"/>
            <w:r w:rsidRPr="003E17A2">
              <w:rPr>
                <w:rFonts w:ascii="標楷體" w:eastAsia="標楷體" w:hAnsi="標楷體"/>
                <w:sz w:val="22"/>
                <w:szCs w:val="22"/>
              </w:rPr>
              <w:t xml:space="preserve"> 24 </w:t>
            </w:r>
            <w:proofErr w:type="spellStart"/>
            <w:r w:rsidRPr="003E17A2">
              <w:rPr>
                <w:rFonts w:ascii="標楷體" w:eastAsia="標楷體" w:hAnsi="標楷體"/>
                <w:sz w:val="22"/>
                <w:szCs w:val="22"/>
              </w:rPr>
              <w:t>萬字元</w:t>
            </w:r>
            <w:proofErr w:type="spellEnd"/>
            <w:r w:rsidRPr="003E17A2">
              <w:rPr>
                <w:rFonts w:ascii="標楷體" w:eastAsia="標楷體" w:hAnsi="標楷體"/>
                <w:sz w:val="22"/>
                <w:szCs w:val="22"/>
              </w:rPr>
              <w:t>）、</w:t>
            </w:r>
            <w:proofErr w:type="spellStart"/>
            <w:r w:rsidRPr="003E17A2">
              <w:rPr>
                <w:rFonts w:ascii="標楷體" w:eastAsia="標楷體" w:hAnsi="標楷體"/>
                <w:sz w:val="22"/>
                <w:szCs w:val="22"/>
              </w:rPr>
              <w:t>模擬前提要件說明文件、四類起火原因之逃生率統計圖表，以及以</w:t>
            </w:r>
            <w:proofErr w:type="spellEnd"/>
            <w:r w:rsidRPr="003E17A2">
              <w:rPr>
                <w:rFonts w:ascii="標楷體" w:eastAsia="標楷體" w:hAnsi="標楷體"/>
                <w:sz w:val="22"/>
                <w:szCs w:val="22"/>
              </w:rPr>
              <w:t xml:space="preserve"> Word </w:t>
            </w:r>
            <w:proofErr w:type="spellStart"/>
            <w:r w:rsidRPr="003E17A2">
              <w:rPr>
                <w:rFonts w:ascii="標楷體" w:eastAsia="標楷體" w:hAnsi="標楷體"/>
                <w:sz w:val="22"/>
                <w:szCs w:val="22"/>
              </w:rPr>
              <w:t>文件呈現之數據總結結論</w:t>
            </w:r>
            <w:proofErr w:type="spellEnd"/>
            <w:r w:rsidRPr="003E17A2">
              <w:rPr>
                <w:rFonts w:ascii="標楷體" w:eastAsia="標楷體" w:hAnsi="標楷體"/>
                <w:sz w:val="22"/>
                <w:szCs w:val="22"/>
              </w:rPr>
              <w:t>。</w:t>
            </w:r>
          </w:p>
        </w:tc>
      </w:tr>
      <w:tr w:rsidR="002D0E14" w:rsidRPr="003E17A2" w14:paraId="4ADA5F54" w14:textId="77777777">
        <w:tblPrEx>
          <w:tblCellMar>
            <w:top w:w="0" w:type="dxa"/>
            <w:bottom w:w="0" w:type="dxa"/>
          </w:tblCellMar>
        </w:tblPrEx>
        <w:tc>
          <w:tcPr>
            <w:tcW w:w="2600" w:type="dxa"/>
            <w:tcMar>
              <w:top w:w="60" w:type="dxa"/>
              <w:left w:w="80" w:type="dxa"/>
              <w:bottom w:w="60" w:type="dxa"/>
              <w:right w:w="80" w:type="dxa"/>
            </w:tcMar>
            <w:vAlign w:val="center"/>
          </w:tcPr>
          <w:p w14:paraId="22FC810F"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src</w:t>
            </w:r>
            <w:proofErr w:type="spellEnd"/>
          </w:p>
        </w:tc>
        <w:tc>
          <w:tcPr>
            <w:tcW w:w="6800" w:type="dxa"/>
            <w:tcMar>
              <w:top w:w="60" w:type="dxa"/>
              <w:left w:w="80" w:type="dxa"/>
              <w:bottom w:w="60" w:type="dxa"/>
              <w:right w:w="80" w:type="dxa"/>
            </w:tcMar>
            <w:vAlign w:val="center"/>
          </w:tcPr>
          <w:p w14:paraId="4BEFD565"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程式源碼所在目錄，內含</w:t>
            </w:r>
            <w:proofErr w:type="spellEnd"/>
            <w:r w:rsidRPr="003E17A2">
              <w:rPr>
                <w:rFonts w:ascii="標楷體" w:eastAsia="標楷體" w:hAnsi="標楷體"/>
                <w:sz w:val="22"/>
                <w:szCs w:val="22"/>
              </w:rPr>
              <w:t xml:space="preserve"> simulator </w:t>
            </w:r>
            <w:proofErr w:type="spellStart"/>
            <w:r w:rsidRPr="003E17A2">
              <w:rPr>
                <w:rFonts w:ascii="標楷體" w:eastAsia="標楷體" w:hAnsi="標楷體"/>
                <w:sz w:val="22"/>
                <w:szCs w:val="22"/>
              </w:rPr>
              <w:t>套件下三十九個</w:t>
            </w:r>
            <w:proofErr w:type="spellEnd"/>
            <w:r w:rsidRPr="003E17A2">
              <w:rPr>
                <w:rFonts w:ascii="標楷體" w:eastAsia="標楷體" w:hAnsi="標楷體"/>
                <w:sz w:val="22"/>
                <w:szCs w:val="22"/>
              </w:rPr>
              <w:t xml:space="preserve"> Java 原始檔，以及一份供匯入之自訂房間格式範例檔（custom_room_example.txt）。</w:t>
            </w:r>
          </w:p>
        </w:tc>
      </w:tr>
      <w:tr w:rsidR="002D0E14" w:rsidRPr="003E17A2" w14:paraId="2BC2D420" w14:textId="77777777">
        <w:tblPrEx>
          <w:tblCellMar>
            <w:top w:w="0" w:type="dxa"/>
            <w:bottom w:w="0" w:type="dxa"/>
          </w:tblCellMar>
        </w:tblPrEx>
        <w:tc>
          <w:tcPr>
            <w:tcW w:w="2600" w:type="dxa"/>
            <w:tcMar>
              <w:top w:w="60" w:type="dxa"/>
              <w:left w:w="80" w:type="dxa"/>
              <w:bottom w:w="60" w:type="dxa"/>
              <w:right w:w="80" w:type="dxa"/>
            </w:tcMar>
            <w:vAlign w:val="center"/>
          </w:tcPr>
          <w:p w14:paraId="3687F8FA" w14:textId="77777777" w:rsidR="002D0E14" w:rsidRPr="003E17A2" w:rsidRDefault="00000000">
            <w:pPr>
              <w:rPr>
                <w:rFonts w:ascii="標楷體" w:eastAsia="標楷體" w:hAnsi="標楷體"/>
              </w:rPr>
            </w:pPr>
            <w:r w:rsidRPr="003E17A2">
              <w:rPr>
                <w:rFonts w:ascii="標楷體" w:eastAsia="標楷體" w:hAnsi="標楷體"/>
                <w:sz w:val="22"/>
                <w:szCs w:val="22"/>
              </w:rPr>
              <w:t>bin</w:t>
            </w:r>
          </w:p>
        </w:tc>
        <w:tc>
          <w:tcPr>
            <w:tcW w:w="6800" w:type="dxa"/>
            <w:tcMar>
              <w:top w:w="60" w:type="dxa"/>
              <w:left w:w="80" w:type="dxa"/>
              <w:bottom w:w="60" w:type="dxa"/>
              <w:right w:w="80" w:type="dxa"/>
            </w:tcMar>
            <w:vAlign w:val="center"/>
          </w:tcPr>
          <w:p w14:paraId="19675209"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編譯後之可執行類別檔</w:t>
            </w:r>
            <w:proofErr w:type="spellEnd"/>
            <w:r w:rsidRPr="003E17A2">
              <w:rPr>
                <w:rFonts w:ascii="標楷體" w:eastAsia="標楷體" w:hAnsi="標楷體"/>
                <w:sz w:val="22"/>
                <w:szCs w:val="22"/>
              </w:rPr>
              <w:t>（.</w:t>
            </w:r>
            <w:proofErr w:type="spellStart"/>
            <w:r w:rsidRPr="003E17A2">
              <w:rPr>
                <w:rFonts w:ascii="標楷體" w:eastAsia="標楷體" w:hAnsi="標楷體"/>
                <w:sz w:val="22"/>
                <w:szCs w:val="22"/>
              </w:rPr>
              <w:t>class）目錄，結構與</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src</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對應，供直接以</w:t>
            </w:r>
            <w:proofErr w:type="spellEnd"/>
            <w:r w:rsidRPr="003E17A2">
              <w:rPr>
                <w:rFonts w:ascii="標楷體" w:eastAsia="標楷體" w:hAnsi="標楷體"/>
                <w:sz w:val="22"/>
                <w:szCs w:val="22"/>
              </w:rPr>
              <w:t xml:space="preserve"> java </w:t>
            </w:r>
            <w:proofErr w:type="spellStart"/>
            <w:r w:rsidRPr="003E17A2">
              <w:rPr>
                <w:rFonts w:ascii="標楷體" w:eastAsia="標楷體" w:hAnsi="標楷體"/>
                <w:sz w:val="22"/>
                <w:szCs w:val="22"/>
              </w:rPr>
              <w:t>simulator.sim</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指令執行</w:t>
            </w:r>
            <w:proofErr w:type="spellEnd"/>
            <w:r w:rsidRPr="003E17A2">
              <w:rPr>
                <w:rFonts w:ascii="標楷體" w:eastAsia="標楷體" w:hAnsi="標楷體"/>
                <w:sz w:val="22"/>
                <w:szCs w:val="22"/>
              </w:rPr>
              <w:t>。</w:t>
            </w:r>
          </w:p>
        </w:tc>
      </w:tr>
      <w:tr w:rsidR="002D0E14" w:rsidRPr="003E17A2" w14:paraId="68BEAE62" w14:textId="77777777">
        <w:tblPrEx>
          <w:tblCellMar>
            <w:top w:w="0" w:type="dxa"/>
            <w:bottom w:w="0" w:type="dxa"/>
          </w:tblCellMar>
        </w:tblPrEx>
        <w:tc>
          <w:tcPr>
            <w:tcW w:w="2600" w:type="dxa"/>
            <w:tcMar>
              <w:top w:w="60" w:type="dxa"/>
              <w:left w:w="80" w:type="dxa"/>
              <w:bottom w:w="60" w:type="dxa"/>
              <w:right w:w="80" w:type="dxa"/>
            </w:tcMar>
            <w:vAlign w:val="center"/>
          </w:tcPr>
          <w:p w14:paraId="6C509395" w14:textId="77777777" w:rsidR="002D0E14" w:rsidRPr="003E17A2" w:rsidRDefault="00000000">
            <w:pPr>
              <w:rPr>
                <w:rFonts w:ascii="標楷體" w:eastAsia="標楷體" w:hAnsi="標楷體"/>
              </w:rPr>
            </w:pPr>
            <w:r w:rsidRPr="003E17A2">
              <w:rPr>
                <w:rFonts w:ascii="標楷體" w:eastAsia="標楷體" w:hAnsi="標楷體"/>
                <w:sz w:val="22"/>
                <w:szCs w:val="22"/>
              </w:rPr>
              <w:t>.settings</w:t>
            </w:r>
            <w:proofErr w:type="gramStart"/>
            <w:r w:rsidRPr="003E17A2">
              <w:rPr>
                <w:rFonts w:ascii="標楷體" w:eastAsia="標楷體" w:hAnsi="標楷體"/>
                <w:sz w:val="22"/>
                <w:szCs w:val="22"/>
              </w:rPr>
              <w:t>／.</w:t>
            </w:r>
            <w:proofErr w:type="spellStart"/>
            <w:r w:rsidRPr="003E17A2">
              <w:rPr>
                <w:rFonts w:ascii="標楷體" w:eastAsia="標楷體" w:hAnsi="標楷體"/>
                <w:sz w:val="22"/>
                <w:szCs w:val="22"/>
              </w:rPr>
              <w:t>classpath</w:t>
            </w:r>
            <w:proofErr w:type="spellEnd"/>
            <w:r w:rsidRPr="003E17A2">
              <w:rPr>
                <w:rFonts w:ascii="標楷體" w:eastAsia="標楷體" w:hAnsi="標楷體"/>
                <w:sz w:val="22"/>
                <w:szCs w:val="22"/>
              </w:rPr>
              <w:t>／.project</w:t>
            </w:r>
            <w:proofErr w:type="gramEnd"/>
          </w:p>
        </w:tc>
        <w:tc>
          <w:tcPr>
            <w:tcW w:w="6800" w:type="dxa"/>
            <w:tcMar>
              <w:top w:w="60" w:type="dxa"/>
              <w:left w:w="80" w:type="dxa"/>
              <w:bottom w:w="60" w:type="dxa"/>
              <w:right w:w="80" w:type="dxa"/>
            </w:tcMar>
            <w:vAlign w:val="center"/>
          </w:tcPr>
          <w:p w14:paraId="6A3AB1AA"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 xml:space="preserve">Eclipse </w:t>
            </w:r>
            <w:proofErr w:type="spellStart"/>
            <w:r w:rsidRPr="003E17A2">
              <w:rPr>
                <w:rFonts w:ascii="標楷體" w:eastAsia="標楷體" w:hAnsi="標楷體"/>
                <w:sz w:val="22"/>
                <w:szCs w:val="22"/>
              </w:rPr>
              <w:t>整合開發環境之專案設定檔，記錄編譯路徑與建置設定，與一般</w:t>
            </w:r>
            <w:proofErr w:type="spellEnd"/>
            <w:r w:rsidRPr="003E17A2">
              <w:rPr>
                <w:rFonts w:ascii="標楷體" w:eastAsia="標楷體" w:hAnsi="標楷體"/>
                <w:sz w:val="22"/>
                <w:szCs w:val="22"/>
              </w:rPr>
              <w:t xml:space="preserve"> Eclipse Java </w:t>
            </w:r>
            <w:proofErr w:type="spellStart"/>
            <w:r w:rsidRPr="003E17A2">
              <w:rPr>
                <w:rFonts w:ascii="標楷體" w:eastAsia="標楷體" w:hAnsi="標楷體"/>
                <w:sz w:val="22"/>
                <w:szCs w:val="22"/>
              </w:rPr>
              <w:t>專案之設定方式相同</w:t>
            </w:r>
            <w:proofErr w:type="spellEnd"/>
            <w:r w:rsidRPr="003E17A2">
              <w:rPr>
                <w:rFonts w:ascii="標楷體" w:eastAsia="標楷體" w:hAnsi="標楷體"/>
                <w:sz w:val="22"/>
                <w:szCs w:val="22"/>
              </w:rPr>
              <w:t>。</w:t>
            </w:r>
          </w:p>
        </w:tc>
      </w:tr>
      <w:tr w:rsidR="002D0E14" w:rsidRPr="003E17A2" w14:paraId="38528BF9" w14:textId="77777777">
        <w:tblPrEx>
          <w:tblCellMar>
            <w:top w:w="0" w:type="dxa"/>
            <w:bottom w:w="0" w:type="dxa"/>
          </w:tblCellMar>
        </w:tblPrEx>
        <w:tc>
          <w:tcPr>
            <w:tcW w:w="2600" w:type="dxa"/>
            <w:tcMar>
              <w:top w:w="60" w:type="dxa"/>
              <w:left w:w="80" w:type="dxa"/>
              <w:bottom w:w="60" w:type="dxa"/>
              <w:right w:w="80" w:type="dxa"/>
            </w:tcMar>
            <w:vAlign w:val="center"/>
          </w:tcPr>
          <w:p w14:paraId="7634C774" w14:textId="77777777" w:rsidR="002D0E14" w:rsidRPr="003E17A2" w:rsidRDefault="00000000">
            <w:pPr>
              <w:rPr>
                <w:rFonts w:ascii="標楷體" w:eastAsia="標楷體" w:hAnsi="標楷體"/>
              </w:rPr>
            </w:pPr>
            <w:proofErr w:type="gramStart"/>
            <w:r w:rsidRPr="003E17A2">
              <w:rPr>
                <w:rFonts w:ascii="標楷體" w:eastAsia="標楷體" w:hAnsi="標楷體"/>
                <w:sz w:val="22"/>
                <w:szCs w:val="22"/>
              </w:rPr>
              <w:t>.</w:t>
            </w:r>
            <w:proofErr w:type="spellStart"/>
            <w:r w:rsidRPr="003E17A2">
              <w:rPr>
                <w:rFonts w:ascii="標楷體" w:eastAsia="標楷體" w:hAnsi="標楷體"/>
                <w:sz w:val="22"/>
                <w:szCs w:val="22"/>
              </w:rPr>
              <w:t>gitignore</w:t>
            </w:r>
            <w:proofErr w:type="spellEnd"/>
            <w:proofErr w:type="gramEnd"/>
          </w:p>
        </w:tc>
        <w:tc>
          <w:tcPr>
            <w:tcW w:w="6800" w:type="dxa"/>
            <w:tcMar>
              <w:top w:w="60" w:type="dxa"/>
              <w:left w:w="80" w:type="dxa"/>
              <w:bottom w:w="60" w:type="dxa"/>
              <w:right w:w="80" w:type="dxa"/>
            </w:tcMar>
            <w:vAlign w:val="center"/>
          </w:tcPr>
          <w:p w14:paraId="61D4B5E2"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記錄執行時應輸出、但不應上傳至版本控制系統之檔案清單（如編譯產物、暫存輸出檔</w:t>
            </w:r>
            <w:proofErr w:type="spellEnd"/>
            <w:r w:rsidRPr="003E17A2">
              <w:rPr>
                <w:rFonts w:ascii="標楷體" w:eastAsia="標楷體" w:hAnsi="標楷體"/>
                <w:sz w:val="22"/>
                <w:szCs w:val="22"/>
              </w:rPr>
              <w:t>）。</w:t>
            </w:r>
          </w:p>
        </w:tc>
      </w:tr>
      <w:tr w:rsidR="002D0E14" w:rsidRPr="003E17A2" w14:paraId="1EA073D0" w14:textId="77777777">
        <w:tblPrEx>
          <w:tblCellMar>
            <w:top w:w="0" w:type="dxa"/>
            <w:bottom w:w="0" w:type="dxa"/>
          </w:tblCellMar>
        </w:tblPrEx>
        <w:tc>
          <w:tcPr>
            <w:tcW w:w="2600" w:type="dxa"/>
            <w:tcMar>
              <w:top w:w="60" w:type="dxa"/>
              <w:left w:w="80" w:type="dxa"/>
              <w:bottom w:w="60" w:type="dxa"/>
              <w:right w:w="80" w:type="dxa"/>
            </w:tcMar>
            <w:vAlign w:val="center"/>
          </w:tcPr>
          <w:p w14:paraId="51D0A660" w14:textId="77777777" w:rsidR="002D0E14" w:rsidRPr="003E17A2" w:rsidRDefault="00000000">
            <w:pPr>
              <w:rPr>
                <w:rFonts w:ascii="標楷體" w:eastAsia="標楷體" w:hAnsi="標楷體"/>
              </w:rPr>
            </w:pPr>
            <w:r w:rsidRPr="003E17A2">
              <w:rPr>
                <w:rFonts w:ascii="標楷體" w:eastAsia="標楷體" w:hAnsi="標楷體"/>
                <w:sz w:val="22"/>
                <w:szCs w:val="22"/>
              </w:rPr>
              <w:t>simulation_report.txt</w:t>
            </w:r>
          </w:p>
        </w:tc>
        <w:tc>
          <w:tcPr>
            <w:tcW w:w="6800" w:type="dxa"/>
            <w:tcMar>
              <w:top w:w="60" w:type="dxa"/>
              <w:left w:w="80" w:type="dxa"/>
              <w:bottom w:w="60" w:type="dxa"/>
              <w:right w:w="80" w:type="dxa"/>
            </w:tcMar>
            <w:vAlign w:val="center"/>
          </w:tcPr>
          <w:p w14:paraId="4C8B7F53"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測試性構想之輸出資料：將單一網格單位面積由</w:t>
            </w:r>
            <w:proofErr w:type="spellEnd"/>
            <w:r w:rsidRPr="003E17A2">
              <w:rPr>
                <w:rFonts w:ascii="標楷體" w:eastAsia="標楷體" w:hAnsi="標楷體"/>
                <w:sz w:val="22"/>
                <w:szCs w:val="22"/>
              </w:rPr>
              <w:t xml:space="preserve"> 0.16 </w:t>
            </w:r>
            <w:proofErr w:type="spellStart"/>
            <w:r w:rsidRPr="003E17A2">
              <w:rPr>
                <w:rFonts w:ascii="標楷體" w:eastAsia="標楷體" w:hAnsi="標楷體"/>
                <w:sz w:val="22"/>
                <w:szCs w:val="22"/>
              </w:rPr>
              <w:t>平方公尺改為約一坪，並測試二十層大廈樓型後所得之報表；此一構想因建築生成邏輯難以調適，依</w:t>
            </w:r>
            <w:proofErr w:type="spellEnd"/>
            <w:r w:rsidRPr="003E17A2">
              <w:rPr>
                <w:rFonts w:ascii="標楷體" w:eastAsia="標楷體" w:hAnsi="標楷體"/>
                <w:sz w:val="22"/>
                <w:szCs w:val="22"/>
              </w:rPr>
              <w:t xml:space="preserve"> README </w:t>
            </w:r>
            <w:proofErr w:type="spellStart"/>
            <w:r w:rsidRPr="003E17A2">
              <w:rPr>
                <w:rFonts w:ascii="標楷體" w:eastAsia="標楷體" w:hAnsi="標楷體"/>
                <w:sz w:val="22"/>
                <w:szCs w:val="22"/>
              </w:rPr>
              <w:t>說明，目前處於半廢置狀態，本研究於第四章末節仍予以檢視，作為系統擴充性之討論素材</w:t>
            </w:r>
            <w:proofErr w:type="spellEnd"/>
            <w:r w:rsidRPr="003E17A2">
              <w:rPr>
                <w:rFonts w:ascii="標楷體" w:eastAsia="標楷體" w:hAnsi="標楷體"/>
                <w:sz w:val="22"/>
                <w:szCs w:val="22"/>
              </w:rPr>
              <w:t>。</w:t>
            </w:r>
          </w:p>
        </w:tc>
      </w:tr>
      <w:tr w:rsidR="002D0E14" w:rsidRPr="003E17A2" w14:paraId="2DF04F04" w14:textId="77777777">
        <w:tblPrEx>
          <w:tblCellMar>
            <w:top w:w="0" w:type="dxa"/>
            <w:bottom w:w="0" w:type="dxa"/>
          </w:tblCellMar>
        </w:tblPrEx>
        <w:tc>
          <w:tcPr>
            <w:tcW w:w="2600" w:type="dxa"/>
            <w:tcMar>
              <w:top w:w="60" w:type="dxa"/>
              <w:left w:w="80" w:type="dxa"/>
              <w:bottom w:w="60" w:type="dxa"/>
              <w:right w:w="80" w:type="dxa"/>
            </w:tcMar>
            <w:vAlign w:val="center"/>
          </w:tcPr>
          <w:p w14:paraId="0C87B22E" w14:textId="77777777" w:rsidR="002D0E14" w:rsidRPr="003E17A2" w:rsidRDefault="00000000">
            <w:pPr>
              <w:rPr>
                <w:rFonts w:ascii="標楷體" w:eastAsia="標楷體" w:hAnsi="標楷體"/>
              </w:rPr>
            </w:pPr>
            <w:r w:rsidRPr="003E17A2">
              <w:rPr>
                <w:rFonts w:ascii="標楷體" w:eastAsia="標楷體" w:hAnsi="標楷體"/>
                <w:sz w:val="22"/>
                <w:szCs w:val="22"/>
              </w:rPr>
              <w:t>預計的自定義輸入資料範例.txt</w:t>
            </w:r>
          </w:p>
        </w:tc>
        <w:tc>
          <w:tcPr>
            <w:tcW w:w="6800" w:type="dxa"/>
            <w:tcMar>
              <w:top w:w="60" w:type="dxa"/>
              <w:left w:w="80" w:type="dxa"/>
              <w:bottom w:w="60" w:type="dxa"/>
              <w:right w:w="80" w:type="dxa"/>
            </w:tcMar>
            <w:vAlign w:val="center"/>
          </w:tcPr>
          <w:p w14:paraId="4CCB4A5A"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以表情符號網格表示之自訂建築樣式範例，由上而下依序對應建築之第一至第五樓，供</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CustomRoomTextLoader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解析匯入</w:t>
            </w:r>
            <w:proofErr w:type="spellEnd"/>
            <w:r w:rsidRPr="003E17A2">
              <w:rPr>
                <w:rFonts w:ascii="標楷體" w:eastAsia="標楷體" w:hAnsi="標楷體"/>
                <w:sz w:val="22"/>
                <w:szCs w:val="22"/>
              </w:rPr>
              <w:t>。</w:t>
            </w:r>
          </w:p>
        </w:tc>
      </w:tr>
      <w:tr w:rsidR="002D0E14" w:rsidRPr="003E17A2" w14:paraId="4A625B2E" w14:textId="77777777">
        <w:tblPrEx>
          <w:tblCellMar>
            <w:top w:w="0" w:type="dxa"/>
            <w:bottom w:w="0" w:type="dxa"/>
          </w:tblCellMar>
        </w:tblPrEx>
        <w:tc>
          <w:tcPr>
            <w:tcW w:w="2600" w:type="dxa"/>
            <w:tcMar>
              <w:top w:w="60" w:type="dxa"/>
              <w:left w:w="80" w:type="dxa"/>
              <w:bottom w:w="60" w:type="dxa"/>
              <w:right w:w="80" w:type="dxa"/>
            </w:tcMar>
            <w:vAlign w:val="center"/>
          </w:tcPr>
          <w:p w14:paraId="77140AA4" w14:textId="77777777" w:rsidR="002D0E14" w:rsidRPr="003E17A2" w:rsidRDefault="00000000">
            <w:pPr>
              <w:rPr>
                <w:rFonts w:ascii="標楷體" w:eastAsia="標楷體" w:hAnsi="標楷體"/>
              </w:rPr>
            </w:pPr>
            <w:r w:rsidRPr="003E17A2">
              <w:rPr>
                <w:rFonts w:ascii="標楷體" w:eastAsia="標楷體" w:hAnsi="標楷體"/>
                <w:sz w:val="22"/>
                <w:szCs w:val="22"/>
              </w:rPr>
              <w:t xml:space="preserve">defaultResult.txt／smartResult.txt／hybridResult.txt </w:t>
            </w:r>
            <w:proofErr w:type="spellStart"/>
            <w:r w:rsidRPr="003E17A2">
              <w:rPr>
                <w:rFonts w:ascii="標楷體" w:eastAsia="標楷體" w:hAnsi="標楷體"/>
                <w:sz w:val="22"/>
                <w:szCs w:val="22"/>
              </w:rPr>
              <w:t>及對應</w:t>
            </w:r>
            <w:proofErr w:type="spellEnd"/>
            <w:r w:rsidRPr="003E17A2">
              <w:rPr>
                <w:rFonts w:ascii="標楷體" w:eastAsia="標楷體" w:hAnsi="標楷體"/>
                <w:sz w:val="22"/>
                <w:szCs w:val="22"/>
              </w:rPr>
              <w:t xml:space="preserve"> _</w:t>
            </w:r>
            <w:proofErr w:type="spellStart"/>
            <w:proofErr w:type="gramStart"/>
            <w:r w:rsidRPr="003E17A2">
              <w:rPr>
                <w:rFonts w:ascii="標楷體" w:eastAsia="標楷體" w:hAnsi="標楷體"/>
                <w:sz w:val="22"/>
                <w:szCs w:val="22"/>
              </w:rPr>
              <w:t>session.json</w:t>
            </w:r>
            <w:proofErr w:type="spellEnd"/>
            <w:proofErr w:type="gramEnd"/>
          </w:p>
        </w:tc>
        <w:tc>
          <w:tcPr>
            <w:tcW w:w="6800" w:type="dxa"/>
            <w:tcMar>
              <w:top w:w="60" w:type="dxa"/>
              <w:left w:w="80" w:type="dxa"/>
              <w:bottom w:w="60" w:type="dxa"/>
              <w:right w:w="80" w:type="dxa"/>
            </w:tcMar>
            <w:vAlign w:val="center"/>
          </w:tcPr>
          <w:p w14:paraId="56E92CA3"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單次執行時，三種模式各自之文字報表與可供前端回放之軌跡</w:t>
            </w:r>
            <w:proofErr w:type="spellEnd"/>
            <w:r w:rsidRPr="003E17A2">
              <w:rPr>
                <w:rFonts w:ascii="標楷體" w:eastAsia="標楷體" w:hAnsi="標楷體"/>
                <w:sz w:val="22"/>
                <w:szCs w:val="22"/>
              </w:rPr>
              <w:t xml:space="preserve"> JSON </w:t>
            </w:r>
            <w:proofErr w:type="spellStart"/>
            <w:r w:rsidRPr="003E17A2">
              <w:rPr>
                <w:rFonts w:ascii="標楷體" w:eastAsia="標楷體" w:hAnsi="標楷體"/>
                <w:sz w:val="22"/>
                <w:szCs w:val="22"/>
              </w:rPr>
              <w:t>檔案</w:t>
            </w:r>
            <w:proofErr w:type="spellEnd"/>
            <w:r w:rsidRPr="003E17A2">
              <w:rPr>
                <w:rFonts w:ascii="標楷體" w:eastAsia="標楷體" w:hAnsi="標楷體"/>
                <w:sz w:val="22"/>
                <w:szCs w:val="22"/>
              </w:rPr>
              <w:t>。</w:t>
            </w:r>
          </w:p>
        </w:tc>
      </w:tr>
    </w:tbl>
    <w:p w14:paraId="3A50D81E" w14:textId="77777777" w:rsidR="002D0E14" w:rsidRPr="003E17A2" w:rsidRDefault="002D0E14">
      <w:pPr>
        <w:rPr>
          <w:rFonts w:ascii="標楷體" w:eastAsia="標楷體" w:hAnsi="標楷體"/>
        </w:rPr>
      </w:pPr>
    </w:p>
    <w:p w14:paraId="4A7FB9A9" w14:textId="77777777" w:rsidR="002D0E14" w:rsidRPr="003E17A2" w:rsidRDefault="00000000">
      <w:pPr>
        <w:pStyle w:val="2"/>
        <w:rPr>
          <w:rFonts w:ascii="標楷體" w:eastAsia="標楷體" w:hAnsi="標楷體"/>
        </w:rPr>
      </w:pPr>
      <w:r w:rsidRPr="003E17A2">
        <w:rPr>
          <w:rFonts w:ascii="標楷體" w:eastAsia="標楷體" w:hAnsi="標楷體"/>
        </w:rPr>
        <w:t xml:space="preserve">4.3　</w:t>
      </w:r>
      <w:proofErr w:type="spellStart"/>
      <w:r w:rsidRPr="003E17A2">
        <w:rPr>
          <w:rFonts w:ascii="標楷體" w:eastAsia="標楷體" w:hAnsi="標楷體"/>
        </w:rPr>
        <w:t>專案運行流程</w:t>
      </w:r>
      <w:proofErr w:type="spellEnd"/>
    </w:p>
    <w:p w14:paraId="21025C2B"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本模擬器以主控台互動程式（simulator.sim，對應原始檔</w:t>
      </w:r>
      <w:proofErr w:type="spellEnd"/>
      <w:r w:rsidRPr="003E17A2">
        <w:rPr>
          <w:rFonts w:ascii="標楷體" w:eastAsia="標楷體" w:hAnsi="標楷體"/>
        </w:rPr>
        <w:t xml:space="preserve"> </w:t>
      </w:r>
      <w:proofErr w:type="spellStart"/>
      <w:r w:rsidRPr="003E17A2">
        <w:rPr>
          <w:rFonts w:ascii="標楷體" w:eastAsia="標楷體" w:hAnsi="標楷體"/>
        </w:rPr>
        <w:t>Sim.java）作為程式進入點，依</w:t>
      </w:r>
      <w:proofErr w:type="spellEnd"/>
      <w:r w:rsidRPr="003E17A2">
        <w:rPr>
          <w:rFonts w:ascii="標楷體" w:eastAsia="標楷體" w:hAnsi="標楷體"/>
        </w:rPr>
        <w:t xml:space="preserve"> </w:t>
      </w:r>
      <w:proofErr w:type="spellStart"/>
      <w:r w:rsidRPr="003E17A2">
        <w:rPr>
          <w:rFonts w:ascii="標楷體" w:eastAsia="標楷體" w:hAnsi="標楷體"/>
        </w:rPr>
        <w:t>README「如何執行」一節所載，其標準執行方式為編譯後於</w:t>
      </w:r>
      <w:proofErr w:type="spellEnd"/>
      <w:r w:rsidRPr="003E17A2">
        <w:rPr>
          <w:rFonts w:ascii="標楷體" w:eastAsia="標楷體" w:hAnsi="標楷體"/>
        </w:rPr>
        <w:t xml:space="preserve"> bin </w:t>
      </w:r>
      <w:proofErr w:type="spellStart"/>
      <w:r w:rsidRPr="003E17A2">
        <w:rPr>
          <w:rFonts w:ascii="標楷體" w:eastAsia="標楷體" w:hAnsi="標楷體"/>
        </w:rPr>
        <w:t>目錄下執行</w:t>
      </w:r>
      <w:proofErr w:type="spellEnd"/>
      <w:r w:rsidRPr="003E17A2">
        <w:rPr>
          <w:rFonts w:ascii="標楷體" w:eastAsia="標楷體" w:hAnsi="標楷體"/>
        </w:rPr>
        <w:t xml:space="preserve"> java simulator.sim，程式啟動後於主控台呈現「模擬器主控制台系統」選單，供使用者選擇「隨機／範圍取值模式」（模式一）或「文件導入模式」（模式二）。</w:t>
      </w:r>
    </w:p>
    <w:p w14:paraId="729693F1"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lastRenderedPageBreak/>
        <w:t xml:space="preserve">於模式一中，使用者依序輸入欲模擬之建築數量，並針對每一筆建築資料輸入樓層數範圍、樓地板長寬範圍等參數，程式即依此範圍隨機取值後呼叫 </w:t>
      </w:r>
      <w:proofErr w:type="spellStart"/>
      <w:r w:rsidRPr="003E17A2">
        <w:rPr>
          <w:rFonts w:ascii="標楷體" w:eastAsia="標楷體" w:hAnsi="標楷體"/>
        </w:rPr>
        <w:t>BuildingGenerator</w:t>
      </w:r>
      <w:proofErr w:type="spellEnd"/>
      <w:r w:rsidRPr="003E17A2">
        <w:rPr>
          <w:rFonts w:ascii="標楷體" w:eastAsia="標楷體" w:hAnsi="標楷體"/>
        </w:rPr>
        <w:t xml:space="preserve"> </w:t>
      </w:r>
      <w:proofErr w:type="spellStart"/>
      <w:r w:rsidRPr="003E17A2">
        <w:rPr>
          <w:rFonts w:ascii="標楷體" w:eastAsia="標楷體" w:hAnsi="標楷體"/>
        </w:rPr>
        <w:t>產生對應之建築配置；於模式二中，程式改由</w:t>
      </w:r>
      <w:proofErr w:type="spellEnd"/>
      <w:r w:rsidRPr="003E17A2">
        <w:rPr>
          <w:rFonts w:ascii="標楷體" w:eastAsia="標楷體" w:hAnsi="標楷體"/>
        </w:rPr>
        <w:t xml:space="preserve"> </w:t>
      </w:r>
      <w:proofErr w:type="spellStart"/>
      <w:r w:rsidRPr="003E17A2">
        <w:rPr>
          <w:rFonts w:ascii="標楷體" w:eastAsia="標楷體" w:hAnsi="標楷體"/>
        </w:rPr>
        <w:t>CustomRoomTextLoader</w:t>
      </w:r>
      <w:proofErr w:type="spellEnd"/>
      <w:r w:rsidRPr="003E17A2">
        <w:rPr>
          <w:rFonts w:ascii="標楷體" w:eastAsia="標楷體" w:hAnsi="標楷體"/>
        </w:rPr>
        <w:t xml:space="preserve"> </w:t>
      </w:r>
      <w:proofErr w:type="spellStart"/>
      <w:r w:rsidRPr="003E17A2">
        <w:rPr>
          <w:rFonts w:ascii="標楷體" w:eastAsia="標楷體" w:hAnsi="標楷體"/>
        </w:rPr>
        <w:t>讀取使用者以表情符號網格格式（如牆、可通行地板、一般門、防火門、樓梯、出口等符號）所繪製之自訂樓層文字檔，並交由</w:t>
      </w:r>
      <w:proofErr w:type="spellEnd"/>
      <w:r w:rsidRPr="003E17A2">
        <w:rPr>
          <w:rFonts w:ascii="標楷體" w:eastAsia="標楷體" w:hAnsi="標楷體"/>
        </w:rPr>
        <w:t xml:space="preserve"> </w:t>
      </w:r>
      <w:proofErr w:type="spellStart"/>
      <w:r w:rsidRPr="003E17A2">
        <w:rPr>
          <w:rFonts w:ascii="標楷體" w:eastAsia="標楷體" w:hAnsi="標楷體"/>
        </w:rPr>
        <w:t>CustomRoomParser</w:t>
      </w:r>
      <w:proofErr w:type="spellEnd"/>
      <w:r w:rsidRPr="003E17A2">
        <w:rPr>
          <w:rFonts w:ascii="標楷體" w:eastAsia="標楷體" w:hAnsi="標楷體"/>
        </w:rPr>
        <w:t xml:space="preserve"> 解析為與模式一相同之內部資料結構，兩種輸入模式於此之後即匯流至相同之模擬流程，此一設計使本模擬器同時具備「大量隨機情境批次比較」與「特定假想場域精確重現」兩種應用彈性。</w:t>
      </w:r>
    </w:p>
    <w:p w14:paraId="15B678D8"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建築配置確定後，Simulator</w:t>
      </w:r>
      <w:proofErr w:type="spellEnd"/>
      <w:r w:rsidRPr="003E17A2">
        <w:rPr>
          <w:rFonts w:ascii="標楷體" w:eastAsia="標楷體" w:hAnsi="標楷體"/>
        </w:rPr>
        <w:t xml:space="preserve"> </w:t>
      </w:r>
      <w:proofErr w:type="spellStart"/>
      <w:r w:rsidRPr="003E17A2">
        <w:rPr>
          <w:rFonts w:ascii="標楷體" w:eastAsia="標楷體" w:hAnsi="標楷體"/>
        </w:rPr>
        <w:t>類別依序呼叫</w:t>
      </w:r>
      <w:proofErr w:type="spellEnd"/>
      <w:r w:rsidRPr="003E17A2">
        <w:rPr>
          <w:rFonts w:ascii="標楷體" w:eastAsia="標楷體" w:hAnsi="標楷體"/>
        </w:rPr>
        <w:t xml:space="preserve"> </w:t>
      </w:r>
      <w:proofErr w:type="spellStart"/>
      <w:r w:rsidRPr="003E17A2">
        <w:rPr>
          <w:rFonts w:ascii="標楷體" w:eastAsia="標楷體" w:hAnsi="標楷體"/>
        </w:rPr>
        <w:t>ScenarioInitializer</w:t>
      </w:r>
      <w:proofErr w:type="spellEnd"/>
      <w:r w:rsidRPr="003E17A2">
        <w:rPr>
          <w:rFonts w:ascii="標楷體" w:eastAsia="標楷體" w:hAnsi="標楷體"/>
        </w:rPr>
        <w:t xml:space="preserve"> </w:t>
      </w:r>
      <w:proofErr w:type="spellStart"/>
      <w:r w:rsidRPr="003E17A2">
        <w:rPr>
          <w:rFonts w:ascii="標楷體" w:eastAsia="標楷體" w:hAnsi="標楷體"/>
        </w:rPr>
        <w:t>完成感測器（Detector）與人員（People）之初始化配置，再針對同一建築配置，依序以</w:t>
      </w:r>
      <w:proofErr w:type="spellEnd"/>
      <w:r w:rsidRPr="003E17A2">
        <w:rPr>
          <w:rFonts w:ascii="標楷體" w:eastAsia="標楷體" w:hAnsi="標楷體"/>
        </w:rPr>
        <w:t xml:space="preserve"> DEFAULT、SMART、HYBRID </w:t>
      </w:r>
      <w:proofErr w:type="spellStart"/>
      <w:r w:rsidRPr="003E17A2">
        <w:rPr>
          <w:rFonts w:ascii="標楷體" w:eastAsia="標楷體" w:hAnsi="標楷體"/>
        </w:rPr>
        <w:t>三種</w:t>
      </w:r>
      <w:proofErr w:type="spellEnd"/>
      <w:r w:rsidRPr="003E17A2">
        <w:rPr>
          <w:rFonts w:ascii="標楷體" w:eastAsia="標楷體" w:hAnsi="標楷體"/>
        </w:rPr>
        <w:t xml:space="preserve"> </w:t>
      </w:r>
      <w:proofErr w:type="spellStart"/>
      <w:r w:rsidRPr="003E17A2">
        <w:rPr>
          <w:rFonts w:ascii="標楷體" w:eastAsia="標楷體" w:hAnsi="標楷體"/>
        </w:rPr>
        <w:t>SimMode</w:t>
      </w:r>
      <w:proofErr w:type="spellEnd"/>
      <w:r w:rsidRPr="003E17A2">
        <w:rPr>
          <w:rFonts w:ascii="標楷體" w:eastAsia="標楷體" w:hAnsi="標楷體"/>
        </w:rPr>
        <w:t xml:space="preserve"> </w:t>
      </w:r>
      <w:proofErr w:type="spellStart"/>
      <w:r w:rsidRPr="003E17A2">
        <w:rPr>
          <w:rFonts w:ascii="標楷體" w:eastAsia="標楷體" w:hAnsi="標楷體"/>
        </w:rPr>
        <w:t>各執行一次完整之模擬生命週期。單一模式之模擬迴圈，由</w:t>
      </w:r>
      <w:proofErr w:type="spellEnd"/>
      <w:r w:rsidRPr="003E17A2">
        <w:rPr>
          <w:rFonts w:ascii="標楷體" w:eastAsia="標楷體" w:hAnsi="標楷體"/>
        </w:rPr>
        <w:t xml:space="preserve"> Simulator 逐 Tick </w:t>
      </w:r>
      <w:proofErr w:type="spellStart"/>
      <w:r w:rsidRPr="003E17A2">
        <w:rPr>
          <w:rFonts w:ascii="標楷體" w:eastAsia="標楷體" w:hAnsi="標楷體"/>
        </w:rPr>
        <w:t>呼叫</w:t>
      </w:r>
      <w:proofErr w:type="spellEnd"/>
      <w:r w:rsidRPr="003E17A2">
        <w:rPr>
          <w:rFonts w:ascii="標楷體" w:eastAsia="標楷體" w:hAnsi="標楷體"/>
        </w:rPr>
        <w:t xml:space="preserve"> </w:t>
      </w:r>
      <w:proofErr w:type="spellStart"/>
      <w:r w:rsidRPr="003E17A2">
        <w:rPr>
          <w:rFonts w:ascii="標楷體" w:eastAsia="標楷體" w:hAnsi="標楷體"/>
        </w:rPr>
        <w:t>EnvironmentSimulator</w:t>
      </w:r>
      <w:proofErr w:type="spellEnd"/>
      <w:r w:rsidRPr="003E17A2">
        <w:rPr>
          <w:rFonts w:ascii="標楷體" w:eastAsia="標楷體" w:hAnsi="標楷體"/>
        </w:rPr>
        <w:t xml:space="preserve"> </w:t>
      </w:r>
      <w:proofErr w:type="spellStart"/>
      <w:r w:rsidRPr="003E17A2">
        <w:rPr>
          <w:rFonts w:ascii="標楷體" w:eastAsia="標楷體" w:hAnsi="標楷體"/>
        </w:rPr>
        <w:t>之火場擴散計算（含</w:t>
      </w:r>
      <w:proofErr w:type="spellEnd"/>
      <w:r w:rsidRPr="003E17A2">
        <w:rPr>
          <w:rFonts w:ascii="標楷體" w:eastAsia="標楷體" w:hAnsi="標楷體"/>
        </w:rPr>
        <w:t xml:space="preserve"> </w:t>
      </w:r>
      <w:proofErr w:type="spellStart"/>
      <w:r w:rsidRPr="003E17A2">
        <w:rPr>
          <w:rFonts w:ascii="標楷體" w:eastAsia="標楷體" w:hAnsi="標楷體"/>
        </w:rPr>
        <w:t>CO、煙霧、溫度場之更新與四判据</w:t>
      </w:r>
      <w:proofErr w:type="spellEnd"/>
      <w:r w:rsidRPr="003E17A2">
        <w:rPr>
          <w:rFonts w:ascii="標楷體" w:eastAsia="標楷體" w:hAnsi="標楷體"/>
        </w:rPr>
        <w:t xml:space="preserve"> ASET </w:t>
      </w:r>
      <w:proofErr w:type="spellStart"/>
      <w:r w:rsidRPr="003E17A2">
        <w:rPr>
          <w:rFonts w:ascii="標楷體" w:eastAsia="標楷體" w:hAnsi="標楷體"/>
        </w:rPr>
        <w:t>判定</w:t>
      </w:r>
      <w:proofErr w:type="spellEnd"/>
      <w:r w:rsidRPr="003E17A2">
        <w:rPr>
          <w:rFonts w:ascii="標楷體" w:eastAsia="標楷體" w:hAnsi="標楷體"/>
        </w:rPr>
        <w:t>），</w:t>
      </w:r>
      <w:proofErr w:type="spellStart"/>
      <w:r w:rsidRPr="003E17A2">
        <w:rPr>
          <w:rFonts w:ascii="標楷體" w:eastAsia="標楷體" w:hAnsi="標楷體"/>
        </w:rPr>
        <w:t>再依當前模式呼叫對應之</w:t>
      </w:r>
      <w:proofErr w:type="spellEnd"/>
      <w:r w:rsidRPr="003E17A2">
        <w:rPr>
          <w:rFonts w:ascii="標楷體" w:eastAsia="標楷體" w:hAnsi="標楷體"/>
        </w:rPr>
        <w:t xml:space="preserve"> </w:t>
      </w:r>
      <w:proofErr w:type="spellStart"/>
      <w:r w:rsidRPr="003E17A2">
        <w:rPr>
          <w:rFonts w:ascii="標楷體" w:eastAsia="標楷體" w:hAnsi="標楷體"/>
        </w:rPr>
        <w:t>EscapeStrategy（DefaultEscapeStrategy</w:t>
      </w:r>
      <w:proofErr w:type="spellEnd"/>
      <w:r w:rsidRPr="003E17A2">
        <w:rPr>
          <w:rFonts w:ascii="標楷體" w:eastAsia="標楷體" w:hAnsi="標楷體"/>
        </w:rPr>
        <w:t xml:space="preserve"> 或 </w:t>
      </w:r>
      <w:proofErr w:type="spellStart"/>
      <w:r w:rsidRPr="003E17A2">
        <w:rPr>
          <w:rFonts w:ascii="標楷體" w:eastAsia="標楷體" w:hAnsi="標楷體"/>
        </w:rPr>
        <w:t>SmartEscapeStrategy）決定每位在世人員本</w:t>
      </w:r>
      <w:proofErr w:type="spellEnd"/>
      <w:r w:rsidRPr="003E17A2">
        <w:rPr>
          <w:rFonts w:ascii="標楷體" w:eastAsia="標楷體" w:hAnsi="標楷體"/>
        </w:rPr>
        <w:t xml:space="preserve"> Tick </w:t>
      </w:r>
      <w:proofErr w:type="spellStart"/>
      <w:r w:rsidRPr="003E17A2">
        <w:rPr>
          <w:rFonts w:ascii="標楷體" w:eastAsia="標楷體" w:hAnsi="標楷體"/>
        </w:rPr>
        <w:t>之移動或等待行為，直到建築內所有可停留格子皆已著火（allFloorsOnFire）為止，迴圈方告終止</w:t>
      </w:r>
      <w:proofErr w:type="spellEnd"/>
      <w:r w:rsidRPr="003E17A2">
        <w:rPr>
          <w:rFonts w:ascii="標楷體" w:eastAsia="標楷體" w:hAnsi="標楷體"/>
        </w:rPr>
        <w:t>。</w:t>
      </w:r>
    </w:p>
    <w:p w14:paraId="1446A65A"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三種模式之模擬皆結束後，Simulator</w:t>
      </w:r>
      <w:proofErr w:type="spellEnd"/>
      <w:r w:rsidRPr="003E17A2">
        <w:rPr>
          <w:rFonts w:ascii="標楷體" w:eastAsia="標楷體" w:hAnsi="標楷體"/>
        </w:rPr>
        <w:t xml:space="preserve"> </w:t>
      </w:r>
      <w:proofErr w:type="spellStart"/>
      <w:r w:rsidRPr="003E17A2">
        <w:rPr>
          <w:rFonts w:ascii="標楷體" w:eastAsia="標楷體" w:hAnsi="標楷體"/>
        </w:rPr>
        <w:t>將個別模式之統計數據彙整至</w:t>
      </w:r>
      <w:proofErr w:type="spellEnd"/>
      <w:r w:rsidRPr="003E17A2">
        <w:rPr>
          <w:rFonts w:ascii="標楷體" w:eastAsia="標楷體" w:hAnsi="標楷體"/>
        </w:rPr>
        <w:t xml:space="preserve"> </w:t>
      </w:r>
      <w:proofErr w:type="spellStart"/>
      <w:r w:rsidRPr="003E17A2">
        <w:rPr>
          <w:rFonts w:ascii="標楷體" w:eastAsia="標楷體" w:hAnsi="標楷體"/>
        </w:rPr>
        <w:t>ModeStats</w:t>
      </w:r>
      <w:proofErr w:type="spellEnd"/>
      <w:r w:rsidRPr="003E17A2">
        <w:rPr>
          <w:rFonts w:ascii="標楷體" w:eastAsia="標楷體" w:hAnsi="標楷體"/>
        </w:rPr>
        <w:t xml:space="preserve"> </w:t>
      </w:r>
      <w:proofErr w:type="spellStart"/>
      <w:r w:rsidRPr="003E17A2">
        <w:rPr>
          <w:rFonts w:ascii="標楷體" w:eastAsia="標楷體" w:hAnsi="標楷體"/>
        </w:rPr>
        <w:t>物件，交由</w:t>
      </w:r>
      <w:proofErr w:type="spellEnd"/>
      <w:r w:rsidRPr="003E17A2">
        <w:rPr>
          <w:rFonts w:ascii="標楷體" w:eastAsia="標楷體" w:hAnsi="標楷體"/>
        </w:rPr>
        <w:t xml:space="preserve"> </w:t>
      </w:r>
      <w:proofErr w:type="spellStart"/>
      <w:r w:rsidRPr="003E17A2">
        <w:rPr>
          <w:rFonts w:ascii="標楷體" w:eastAsia="標楷體" w:hAnsi="標楷體"/>
        </w:rPr>
        <w:t>ReportGenerator</w:t>
      </w:r>
      <w:proofErr w:type="spellEnd"/>
      <w:r w:rsidRPr="003E17A2">
        <w:rPr>
          <w:rFonts w:ascii="標楷體" w:eastAsia="標楷體" w:hAnsi="標楷體"/>
        </w:rPr>
        <w:t xml:space="preserve"> </w:t>
      </w:r>
      <w:proofErr w:type="spellStart"/>
      <w:r w:rsidRPr="003E17A2">
        <w:rPr>
          <w:rFonts w:ascii="標楷體" w:eastAsia="標楷體" w:hAnsi="標楷體"/>
        </w:rPr>
        <w:t>產生可讀之文字報表（對應</w:t>
      </w:r>
      <w:proofErr w:type="spellEnd"/>
      <w:r w:rsidRPr="003E17A2">
        <w:rPr>
          <w:rFonts w:ascii="標楷體" w:eastAsia="標楷體" w:hAnsi="標楷體"/>
        </w:rPr>
        <w:t xml:space="preserve"> defaultResult.txt </w:t>
      </w:r>
      <w:proofErr w:type="spellStart"/>
      <w:r w:rsidRPr="003E17A2">
        <w:rPr>
          <w:rFonts w:ascii="標楷體" w:eastAsia="標楷體" w:hAnsi="標楷體"/>
        </w:rPr>
        <w:t>等三份輸出檔</w:t>
      </w:r>
      <w:proofErr w:type="spellEnd"/>
      <w:r w:rsidRPr="003E17A2">
        <w:rPr>
          <w:rFonts w:ascii="標楷體" w:eastAsia="標楷體" w:hAnsi="標楷體"/>
        </w:rPr>
        <w:t>），</w:t>
      </w:r>
      <w:proofErr w:type="spellStart"/>
      <w:r w:rsidRPr="003E17A2">
        <w:rPr>
          <w:rFonts w:ascii="標楷體" w:eastAsia="標楷體" w:hAnsi="標楷體"/>
        </w:rPr>
        <w:t>並同步呼叫</w:t>
      </w:r>
      <w:proofErr w:type="spellEnd"/>
      <w:r w:rsidRPr="003E17A2">
        <w:rPr>
          <w:rFonts w:ascii="標楷體" w:eastAsia="標楷體" w:hAnsi="標楷體"/>
        </w:rPr>
        <w:t xml:space="preserve"> </w:t>
      </w:r>
      <w:proofErr w:type="spellStart"/>
      <w:r w:rsidRPr="003E17A2">
        <w:rPr>
          <w:rFonts w:ascii="標楷體" w:eastAsia="標楷體" w:hAnsi="標楷體"/>
        </w:rPr>
        <w:t>SessionExporter</w:t>
      </w:r>
      <w:proofErr w:type="spellEnd"/>
      <w:r w:rsidRPr="003E17A2">
        <w:rPr>
          <w:rFonts w:ascii="標楷體" w:eastAsia="標楷體" w:hAnsi="標楷體"/>
        </w:rPr>
        <w:t xml:space="preserve"> </w:t>
      </w:r>
      <w:proofErr w:type="spellStart"/>
      <w:r w:rsidRPr="003E17A2">
        <w:rPr>
          <w:rFonts w:ascii="標楷體" w:eastAsia="標楷體" w:hAnsi="標楷體"/>
        </w:rPr>
        <w:t>將人員軌跡、環境時序與事件紀錄匯出為結構化之</w:t>
      </w:r>
      <w:proofErr w:type="spellEnd"/>
      <w:r w:rsidRPr="003E17A2">
        <w:rPr>
          <w:rFonts w:ascii="標楷體" w:eastAsia="標楷體" w:hAnsi="標楷體"/>
        </w:rPr>
        <w:t xml:space="preserve"> JSON 檔案（對應「場景名稱_</w:t>
      </w:r>
      <w:proofErr w:type="gramStart"/>
      <w:r w:rsidRPr="003E17A2">
        <w:rPr>
          <w:rFonts w:ascii="標楷體" w:eastAsia="標楷體" w:hAnsi="標楷體"/>
        </w:rPr>
        <w:t>session.json</w:t>
      </w:r>
      <w:proofErr w:type="gramEnd"/>
      <w:r w:rsidRPr="003E17A2">
        <w:rPr>
          <w:rFonts w:ascii="標楷體" w:eastAsia="標楷體" w:hAnsi="標楷體"/>
        </w:rPr>
        <w:t>」），供其他子系統（如體驗示意模擬之前端三維渲染器）進行視覺化回放。若使用者於模式一中一次輸入多筆建築資料，前述流程將對每一筆建築配置重複執行，此即為 report 目錄下四十場情境報表之產生方式。整體運行流程可歸納為六個階段：輸入取得、建築生成與解析、情境初始化、三模式模擬迴圈、統計彙整、報表與軌跡匯出。</w:t>
      </w:r>
    </w:p>
    <w:p w14:paraId="756880CA" w14:textId="77777777" w:rsidR="002D0E14" w:rsidRPr="003E17A2" w:rsidRDefault="00000000">
      <w:pPr>
        <w:pStyle w:val="2"/>
        <w:rPr>
          <w:rFonts w:ascii="標楷體" w:eastAsia="標楷體" w:hAnsi="標楷體"/>
        </w:rPr>
      </w:pPr>
      <w:r w:rsidRPr="003E17A2">
        <w:rPr>
          <w:rFonts w:ascii="標楷體" w:eastAsia="標楷體" w:hAnsi="標楷體"/>
        </w:rPr>
        <w:t xml:space="preserve">4.4　</w:t>
      </w:r>
      <w:proofErr w:type="spellStart"/>
      <w:r w:rsidRPr="003E17A2">
        <w:rPr>
          <w:rFonts w:ascii="標楷體" w:eastAsia="標楷體" w:hAnsi="標楷體"/>
        </w:rPr>
        <w:t>類別架構</w:t>
      </w:r>
      <w:proofErr w:type="spellEnd"/>
    </w:p>
    <w:p w14:paraId="4521CB21"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本模擬器之類別架構，依其原始碼目錄下三十九個</w:t>
      </w:r>
      <w:proofErr w:type="spellEnd"/>
      <w:r w:rsidRPr="003E17A2">
        <w:rPr>
          <w:rFonts w:ascii="標楷體" w:eastAsia="標楷體" w:hAnsi="標楷體"/>
        </w:rPr>
        <w:t xml:space="preserve"> Java </w:t>
      </w:r>
      <w:proofErr w:type="spellStart"/>
      <w:r w:rsidRPr="003E17A2">
        <w:rPr>
          <w:rFonts w:ascii="標楷體" w:eastAsia="標楷體" w:hAnsi="標楷體"/>
        </w:rPr>
        <w:t>檔案（含編譯後</w:t>
      </w:r>
      <w:proofErr w:type="spellEnd"/>
      <w:r w:rsidRPr="003E17A2">
        <w:rPr>
          <w:rFonts w:ascii="標楷體" w:eastAsia="標楷體" w:hAnsi="標楷體"/>
        </w:rPr>
        <w:t xml:space="preserve"> bin </w:t>
      </w:r>
      <w:proofErr w:type="spellStart"/>
      <w:r w:rsidRPr="003E17A2">
        <w:rPr>
          <w:rFonts w:ascii="標楷體" w:eastAsia="標楷體" w:hAnsi="標楷體"/>
        </w:rPr>
        <w:t>目錄中對應之</w:t>
      </w:r>
      <w:proofErr w:type="spellEnd"/>
      <w:r w:rsidRPr="003E17A2">
        <w:rPr>
          <w:rFonts w:ascii="標楷體" w:eastAsia="標楷體" w:hAnsi="標楷體"/>
        </w:rPr>
        <w:t xml:space="preserve"> .class 檔）與專案內附之類別架構圖（docs/simulator_class_diagram.mermaid）所載，可依其職責劃分為六個子系統，</w:t>
      </w:r>
      <w:r w:rsidRPr="003E17A2">
        <w:rPr>
          <w:rFonts w:ascii="標楷體" w:eastAsia="標楷體" w:hAnsi="標楷體"/>
        </w:rPr>
        <w:lastRenderedPageBreak/>
        <w:t>整理如下表。此一劃分方式與第二章第 2.2 節所述「規則模組化程度高，便於分層驗證」之網格化方法優勢直接對應：各子系統間依賴關係清楚，使本研究得以逐一檢視個別子系統之理論前提，而非僅能就整體輸出進行事後推論。</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600"/>
      </w:tblGrid>
      <w:tr w:rsidR="002D0E14" w:rsidRPr="003E17A2" w14:paraId="22F089AB" w14:textId="77777777">
        <w:tblPrEx>
          <w:tblCellMar>
            <w:top w:w="0" w:type="dxa"/>
            <w:bottom w:w="0" w:type="dxa"/>
          </w:tblCellMar>
        </w:tblPrEx>
        <w:trPr>
          <w:tblHeader/>
        </w:trPr>
        <w:tc>
          <w:tcPr>
            <w:tcW w:w="1500" w:type="dxa"/>
            <w:shd w:val="clear" w:color="auto" w:fill="D9D9D9"/>
            <w:tcMar>
              <w:top w:w="60" w:type="dxa"/>
              <w:left w:w="80" w:type="dxa"/>
              <w:bottom w:w="60" w:type="dxa"/>
              <w:right w:w="80" w:type="dxa"/>
            </w:tcMar>
            <w:vAlign w:val="center"/>
          </w:tcPr>
          <w:p w14:paraId="3C7A93AB"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t>子系統</w:t>
            </w:r>
            <w:proofErr w:type="spellEnd"/>
          </w:p>
        </w:tc>
        <w:tc>
          <w:tcPr>
            <w:tcW w:w="3300" w:type="dxa"/>
            <w:shd w:val="clear" w:color="auto" w:fill="D9D9D9"/>
            <w:tcMar>
              <w:top w:w="60" w:type="dxa"/>
              <w:left w:w="80" w:type="dxa"/>
              <w:bottom w:w="60" w:type="dxa"/>
              <w:right w:w="80" w:type="dxa"/>
            </w:tcMar>
            <w:vAlign w:val="center"/>
          </w:tcPr>
          <w:p w14:paraId="457FE96D"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t>主要類別</w:t>
            </w:r>
            <w:proofErr w:type="spellEnd"/>
          </w:p>
        </w:tc>
        <w:tc>
          <w:tcPr>
            <w:tcW w:w="4600" w:type="dxa"/>
            <w:shd w:val="clear" w:color="auto" w:fill="D9D9D9"/>
            <w:tcMar>
              <w:top w:w="60" w:type="dxa"/>
              <w:left w:w="80" w:type="dxa"/>
              <w:bottom w:w="60" w:type="dxa"/>
              <w:right w:w="80" w:type="dxa"/>
            </w:tcMar>
            <w:vAlign w:val="center"/>
          </w:tcPr>
          <w:p w14:paraId="572AE06D" w14:textId="77777777" w:rsidR="002D0E14" w:rsidRPr="003E17A2" w:rsidRDefault="00000000">
            <w:pPr>
              <w:jc w:val="center"/>
              <w:rPr>
                <w:rFonts w:ascii="標楷體" w:eastAsia="標楷體" w:hAnsi="標楷體"/>
              </w:rPr>
            </w:pPr>
            <w:proofErr w:type="spellStart"/>
            <w:r w:rsidRPr="003E17A2">
              <w:rPr>
                <w:rFonts w:ascii="標楷體" w:eastAsia="標楷體" w:hAnsi="標楷體"/>
                <w:b/>
                <w:bCs/>
                <w:sz w:val="22"/>
                <w:szCs w:val="22"/>
              </w:rPr>
              <w:t>職責說明</w:t>
            </w:r>
            <w:proofErr w:type="spellEnd"/>
          </w:p>
        </w:tc>
      </w:tr>
      <w:tr w:rsidR="002D0E14" w:rsidRPr="003E17A2" w14:paraId="180EBD30" w14:textId="77777777">
        <w:tblPrEx>
          <w:tblCellMar>
            <w:top w:w="0" w:type="dxa"/>
            <w:bottom w:w="0" w:type="dxa"/>
          </w:tblCellMar>
        </w:tblPrEx>
        <w:tc>
          <w:tcPr>
            <w:tcW w:w="1500" w:type="dxa"/>
            <w:tcMar>
              <w:top w:w="60" w:type="dxa"/>
              <w:left w:w="80" w:type="dxa"/>
              <w:bottom w:w="60" w:type="dxa"/>
              <w:right w:w="80" w:type="dxa"/>
            </w:tcMar>
            <w:vAlign w:val="center"/>
          </w:tcPr>
          <w:p w14:paraId="00DE3752"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核心控制</w:t>
            </w:r>
            <w:proofErr w:type="spellEnd"/>
          </w:p>
        </w:tc>
        <w:tc>
          <w:tcPr>
            <w:tcW w:w="3300" w:type="dxa"/>
            <w:tcMar>
              <w:top w:w="60" w:type="dxa"/>
              <w:left w:w="80" w:type="dxa"/>
              <w:bottom w:w="60" w:type="dxa"/>
              <w:right w:w="80" w:type="dxa"/>
            </w:tcMar>
            <w:vAlign w:val="center"/>
          </w:tcPr>
          <w:p w14:paraId="67FD023A"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Simulator、SimulationContext、Sim（主控台入口</w:t>
            </w:r>
            <w:proofErr w:type="spellEnd"/>
            <w:r w:rsidRPr="003E17A2">
              <w:rPr>
                <w:rFonts w:ascii="標楷體" w:eastAsia="標楷體" w:hAnsi="標楷體"/>
                <w:sz w:val="22"/>
                <w:szCs w:val="22"/>
              </w:rPr>
              <w:t>）</w:t>
            </w:r>
          </w:p>
        </w:tc>
        <w:tc>
          <w:tcPr>
            <w:tcW w:w="4600" w:type="dxa"/>
            <w:tcMar>
              <w:top w:w="60" w:type="dxa"/>
              <w:left w:w="80" w:type="dxa"/>
              <w:bottom w:w="60" w:type="dxa"/>
              <w:right w:w="80" w:type="dxa"/>
            </w:tcMar>
            <w:vAlign w:val="center"/>
          </w:tcPr>
          <w:p w14:paraId="704B692C"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統籌建築生成、情境初始化、三模式模擬迴圈之執行順序，並實作</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SimulationContext</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介面，對外提供感測器查詢、人員查找、系統示警判定等共用服務</w:t>
            </w:r>
            <w:proofErr w:type="spellEnd"/>
            <w:r w:rsidRPr="003E17A2">
              <w:rPr>
                <w:rFonts w:ascii="標楷體" w:eastAsia="標楷體" w:hAnsi="標楷體"/>
                <w:sz w:val="22"/>
                <w:szCs w:val="22"/>
              </w:rPr>
              <w:t>。</w:t>
            </w:r>
          </w:p>
        </w:tc>
      </w:tr>
      <w:tr w:rsidR="002D0E14" w:rsidRPr="003E17A2" w14:paraId="73C76316" w14:textId="77777777">
        <w:tblPrEx>
          <w:tblCellMar>
            <w:top w:w="0" w:type="dxa"/>
            <w:bottom w:w="0" w:type="dxa"/>
          </w:tblCellMar>
        </w:tblPrEx>
        <w:tc>
          <w:tcPr>
            <w:tcW w:w="1500" w:type="dxa"/>
            <w:tcMar>
              <w:top w:w="60" w:type="dxa"/>
              <w:left w:w="80" w:type="dxa"/>
              <w:bottom w:w="60" w:type="dxa"/>
              <w:right w:w="80" w:type="dxa"/>
            </w:tcMar>
            <w:vAlign w:val="center"/>
          </w:tcPr>
          <w:p w14:paraId="087CAC30"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逃生策略（策略模式</w:t>
            </w:r>
            <w:proofErr w:type="spellEnd"/>
            <w:r w:rsidRPr="003E17A2">
              <w:rPr>
                <w:rFonts w:ascii="標楷體" w:eastAsia="標楷體" w:hAnsi="標楷體"/>
                <w:sz w:val="22"/>
                <w:szCs w:val="22"/>
              </w:rPr>
              <w:t>）</w:t>
            </w:r>
          </w:p>
        </w:tc>
        <w:tc>
          <w:tcPr>
            <w:tcW w:w="3300" w:type="dxa"/>
            <w:tcMar>
              <w:top w:w="60" w:type="dxa"/>
              <w:left w:w="80" w:type="dxa"/>
              <w:bottom w:w="60" w:type="dxa"/>
              <w:right w:w="80" w:type="dxa"/>
            </w:tcMar>
            <w:vAlign w:val="center"/>
          </w:tcPr>
          <w:p w14:paraId="31E6676F" w14:textId="77777777" w:rsidR="002D0E14" w:rsidRPr="003E17A2" w:rsidRDefault="00000000">
            <w:pPr>
              <w:jc w:val="center"/>
              <w:rPr>
                <w:rFonts w:ascii="標楷體" w:eastAsia="標楷體" w:hAnsi="標楷體"/>
                <w:lang w:val="pt-BR"/>
              </w:rPr>
            </w:pPr>
            <w:proofErr w:type="spellStart"/>
            <w:r w:rsidRPr="003E17A2">
              <w:rPr>
                <w:rFonts w:ascii="標楷體" w:eastAsia="標楷體" w:hAnsi="標楷體"/>
                <w:sz w:val="22"/>
                <w:szCs w:val="22"/>
                <w:lang w:val="pt-BR"/>
              </w:rPr>
              <w:t>EscapeStrategy</w:t>
            </w:r>
            <w:proofErr w:type="spellEnd"/>
            <w:r w:rsidRPr="003E17A2">
              <w:rPr>
                <w:rFonts w:ascii="標楷體" w:eastAsia="標楷體" w:hAnsi="標楷體"/>
                <w:sz w:val="22"/>
                <w:szCs w:val="22"/>
                <w:lang w:val="pt-BR"/>
              </w:rPr>
              <w:t>（</w:t>
            </w:r>
            <w:r w:rsidRPr="003E17A2">
              <w:rPr>
                <w:rFonts w:ascii="標楷體" w:eastAsia="標楷體" w:hAnsi="標楷體"/>
                <w:sz w:val="22"/>
                <w:szCs w:val="22"/>
              </w:rPr>
              <w:t>介面</w:t>
            </w:r>
            <w:r w:rsidRPr="003E17A2">
              <w:rPr>
                <w:rFonts w:ascii="標楷體" w:eastAsia="標楷體" w:hAnsi="標楷體"/>
                <w:sz w:val="22"/>
                <w:szCs w:val="22"/>
                <w:lang w:val="pt-BR"/>
              </w:rPr>
              <w:t>）</w:t>
            </w:r>
            <w:r w:rsidRPr="003E17A2">
              <w:rPr>
                <w:rFonts w:ascii="標楷體" w:eastAsia="標楷體" w:hAnsi="標楷體"/>
                <w:sz w:val="22"/>
                <w:szCs w:val="22"/>
              </w:rPr>
              <w:t>、</w:t>
            </w:r>
            <w:proofErr w:type="spellStart"/>
            <w:r w:rsidRPr="003E17A2">
              <w:rPr>
                <w:rFonts w:ascii="標楷體" w:eastAsia="標楷體" w:hAnsi="標楷體"/>
                <w:sz w:val="22"/>
                <w:szCs w:val="22"/>
                <w:lang w:val="pt-BR"/>
              </w:rPr>
              <w:t>DefaultEscapeStrategy</w:t>
            </w:r>
            <w:proofErr w:type="spellEnd"/>
            <w:r w:rsidRPr="003E17A2">
              <w:rPr>
                <w:rFonts w:ascii="標楷體" w:eastAsia="標楷體" w:hAnsi="標楷體"/>
                <w:sz w:val="22"/>
                <w:szCs w:val="22"/>
              </w:rPr>
              <w:t>、</w:t>
            </w:r>
            <w:proofErr w:type="spellStart"/>
            <w:r w:rsidRPr="003E17A2">
              <w:rPr>
                <w:rFonts w:ascii="標楷體" w:eastAsia="標楷體" w:hAnsi="標楷體"/>
                <w:sz w:val="22"/>
                <w:szCs w:val="22"/>
                <w:lang w:val="pt-BR"/>
              </w:rPr>
              <w:t>SmartEscapeStrategy</w:t>
            </w:r>
            <w:proofErr w:type="spellEnd"/>
          </w:p>
        </w:tc>
        <w:tc>
          <w:tcPr>
            <w:tcW w:w="4600" w:type="dxa"/>
            <w:tcMar>
              <w:top w:w="60" w:type="dxa"/>
              <w:left w:w="80" w:type="dxa"/>
              <w:bottom w:w="60" w:type="dxa"/>
              <w:right w:w="80" w:type="dxa"/>
            </w:tcMar>
            <w:vAlign w:val="center"/>
          </w:tcPr>
          <w:p w14:paraId="6F1AD76D"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以策略設計模式封裝</w:t>
            </w:r>
            <w:proofErr w:type="spellEnd"/>
            <w:r w:rsidRPr="003E17A2">
              <w:rPr>
                <w:rFonts w:ascii="標楷體" w:eastAsia="標楷體" w:hAnsi="標楷體"/>
                <w:sz w:val="22"/>
                <w:szCs w:val="22"/>
              </w:rPr>
              <w:t xml:space="preserve"> DEFAULT 與 SMART／HYBRID </w:t>
            </w:r>
            <w:proofErr w:type="spellStart"/>
            <w:r w:rsidRPr="003E17A2">
              <w:rPr>
                <w:rFonts w:ascii="標楷體" w:eastAsia="標楷體" w:hAnsi="標楷體"/>
                <w:sz w:val="22"/>
                <w:szCs w:val="22"/>
              </w:rPr>
              <w:t>兩種逃生決策邏輯，People</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物件依當前模式持有對應策略實例並委派其</w:t>
            </w:r>
            <w:proofErr w:type="spellEnd"/>
            <w:r w:rsidRPr="003E17A2">
              <w:rPr>
                <w:rFonts w:ascii="標楷體" w:eastAsia="標楷體" w:hAnsi="標楷體"/>
                <w:sz w:val="22"/>
                <w:szCs w:val="22"/>
              </w:rPr>
              <w:t xml:space="preserve"> </w:t>
            </w:r>
            <w:proofErr w:type="gramStart"/>
            <w:r w:rsidRPr="003E17A2">
              <w:rPr>
                <w:rFonts w:ascii="標楷體" w:eastAsia="標楷體" w:hAnsi="標楷體"/>
                <w:sz w:val="22"/>
                <w:szCs w:val="22"/>
              </w:rPr>
              <w:t>escape(</w:t>
            </w:r>
            <w:proofErr w:type="gram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方法決定每</w:t>
            </w:r>
            <w:proofErr w:type="spellEnd"/>
            <w:r w:rsidRPr="003E17A2">
              <w:rPr>
                <w:rFonts w:ascii="標楷體" w:eastAsia="標楷體" w:hAnsi="標楷體"/>
                <w:sz w:val="22"/>
                <w:szCs w:val="22"/>
              </w:rPr>
              <w:t xml:space="preserve"> Tick </w:t>
            </w:r>
            <w:proofErr w:type="spellStart"/>
            <w:r w:rsidRPr="003E17A2">
              <w:rPr>
                <w:rFonts w:ascii="標楷體" w:eastAsia="標楷體" w:hAnsi="標楷體"/>
                <w:sz w:val="22"/>
                <w:szCs w:val="22"/>
              </w:rPr>
              <w:t>行為</w:t>
            </w:r>
            <w:proofErr w:type="spellEnd"/>
            <w:r w:rsidRPr="003E17A2">
              <w:rPr>
                <w:rFonts w:ascii="標楷體" w:eastAsia="標楷體" w:hAnsi="標楷體"/>
                <w:sz w:val="22"/>
                <w:szCs w:val="22"/>
              </w:rPr>
              <w:t>。</w:t>
            </w:r>
          </w:p>
        </w:tc>
      </w:tr>
      <w:tr w:rsidR="002D0E14" w:rsidRPr="003E17A2" w14:paraId="4DF6566D" w14:textId="77777777">
        <w:tblPrEx>
          <w:tblCellMar>
            <w:top w:w="0" w:type="dxa"/>
            <w:bottom w:w="0" w:type="dxa"/>
          </w:tblCellMar>
        </w:tblPrEx>
        <w:tc>
          <w:tcPr>
            <w:tcW w:w="1500" w:type="dxa"/>
            <w:tcMar>
              <w:top w:w="60" w:type="dxa"/>
              <w:left w:w="80" w:type="dxa"/>
              <w:bottom w:w="60" w:type="dxa"/>
              <w:right w:w="80" w:type="dxa"/>
            </w:tcMar>
            <w:vAlign w:val="center"/>
          </w:tcPr>
          <w:p w14:paraId="433131D0"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人員與行為</w:t>
            </w:r>
            <w:proofErr w:type="spellEnd"/>
          </w:p>
        </w:tc>
        <w:tc>
          <w:tcPr>
            <w:tcW w:w="3300" w:type="dxa"/>
            <w:tcMar>
              <w:top w:w="60" w:type="dxa"/>
              <w:left w:w="80" w:type="dxa"/>
              <w:bottom w:w="60" w:type="dxa"/>
              <w:right w:w="80" w:type="dxa"/>
            </w:tcMar>
            <w:vAlign w:val="center"/>
          </w:tcPr>
          <w:p w14:paraId="5150C4EA"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People、PanicModel、VisionSystem、RouteFinder、PersonKpi、DeathCause、DeviceStatus</w:t>
            </w:r>
          </w:p>
        </w:tc>
        <w:tc>
          <w:tcPr>
            <w:tcW w:w="4600" w:type="dxa"/>
            <w:tcMar>
              <w:top w:w="60" w:type="dxa"/>
              <w:left w:w="80" w:type="dxa"/>
              <w:bottom w:w="60" w:type="dxa"/>
              <w:right w:w="80" w:type="dxa"/>
            </w:tcMar>
            <w:vAlign w:val="center"/>
          </w:tcPr>
          <w:p w14:paraId="229F225F"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 xml:space="preserve">People </w:t>
            </w:r>
            <w:proofErr w:type="spellStart"/>
            <w:r w:rsidRPr="003E17A2">
              <w:rPr>
                <w:rFonts w:ascii="標楷體" w:eastAsia="標楷體" w:hAnsi="標楷體"/>
                <w:sz w:val="22"/>
                <w:szCs w:val="22"/>
              </w:rPr>
              <w:t>為人員之核心物件，整合恐慌模型、視線系統（陰影投射演算法</w:t>
            </w:r>
            <w:proofErr w:type="spellEnd"/>
            <w:r w:rsidRPr="003E17A2">
              <w:rPr>
                <w:rFonts w:ascii="標楷體" w:eastAsia="標楷體" w:hAnsi="標楷體"/>
                <w:sz w:val="22"/>
                <w:szCs w:val="22"/>
              </w:rPr>
              <w:t>）、</w:t>
            </w:r>
            <w:proofErr w:type="spellStart"/>
            <w:r w:rsidRPr="003E17A2">
              <w:rPr>
                <w:rFonts w:ascii="標楷體" w:eastAsia="標楷體" w:hAnsi="標楷體"/>
                <w:sz w:val="22"/>
                <w:szCs w:val="22"/>
              </w:rPr>
              <w:t>路徑搜尋（內部呼叫</w:t>
            </w:r>
            <w:proofErr w:type="spellEnd"/>
            <w:r w:rsidRPr="003E17A2">
              <w:rPr>
                <w:rFonts w:ascii="標楷體" w:eastAsia="標楷體" w:hAnsi="標楷體"/>
                <w:sz w:val="22"/>
                <w:szCs w:val="22"/>
              </w:rPr>
              <w:t xml:space="preserve"> Dijkstra）、</w:t>
            </w:r>
            <w:proofErr w:type="spellStart"/>
            <w:r w:rsidRPr="003E17A2">
              <w:rPr>
                <w:rFonts w:ascii="標楷體" w:eastAsia="標楷體" w:hAnsi="標楷體"/>
                <w:sz w:val="22"/>
                <w:szCs w:val="22"/>
              </w:rPr>
              <w:t>個人關鍵績效指標、死因判定與行動裝置狀態等子模組</w:t>
            </w:r>
            <w:proofErr w:type="spellEnd"/>
            <w:r w:rsidRPr="003E17A2">
              <w:rPr>
                <w:rFonts w:ascii="標楷體" w:eastAsia="標楷體" w:hAnsi="標楷體"/>
                <w:sz w:val="22"/>
                <w:szCs w:val="22"/>
              </w:rPr>
              <w:t>。</w:t>
            </w:r>
          </w:p>
        </w:tc>
      </w:tr>
      <w:tr w:rsidR="002D0E14" w:rsidRPr="003E17A2" w14:paraId="209A0860" w14:textId="77777777">
        <w:tblPrEx>
          <w:tblCellMar>
            <w:top w:w="0" w:type="dxa"/>
            <w:bottom w:w="0" w:type="dxa"/>
          </w:tblCellMar>
        </w:tblPrEx>
        <w:tc>
          <w:tcPr>
            <w:tcW w:w="1500" w:type="dxa"/>
            <w:tcMar>
              <w:top w:w="60" w:type="dxa"/>
              <w:left w:w="80" w:type="dxa"/>
              <w:bottom w:w="60" w:type="dxa"/>
              <w:right w:w="80" w:type="dxa"/>
            </w:tcMar>
            <w:vAlign w:val="center"/>
          </w:tcPr>
          <w:p w14:paraId="7E5E6B1C"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環境與火災物理</w:t>
            </w:r>
            <w:proofErr w:type="spellEnd"/>
          </w:p>
        </w:tc>
        <w:tc>
          <w:tcPr>
            <w:tcW w:w="3300" w:type="dxa"/>
            <w:tcMar>
              <w:top w:w="60" w:type="dxa"/>
              <w:left w:w="80" w:type="dxa"/>
              <w:bottom w:w="60" w:type="dxa"/>
              <w:right w:w="80" w:type="dxa"/>
            </w:tcMar>
            <w:vAlign w:val="center"/>
          </w:tcPr>
          <w:p w14:paraId="0740175F"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EnvironmentSimulator、FireChemistry、FireCause、FuelType、PhysicalConstants、DoorFlowModel、DoorLeakageModel、VentilationProfile</w:t>
            </w:r>
          </w:p>
        </w:tc>
        <w:tc>
          <w:tcPr>
            <w:tcW w:w="4600" w:type="dxa"/>
            <w:tcMar>
              <w:top w:w="60" w:type="dxa"/>
              <w:left w:w="80" w:type="dxa"/>
              <w:bottom w:w="60" w:type="dxa"/>
              <w:right w:w="80" w:type="dxa"/>
            </w:tcMar>
            <w:vAlign w:val="center"/>
          </w:tcPr>
          <w:p w14:paraId="40CD5747"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EnvironmentSimulator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為每</w:t>
            </w:r>
            <w:proofErr w:type="spellEnd"/>
            <w:r w:rsidRPr="003E17A2">
              <w:rPr>
                <w:rFonts w:ascii="標楷體" w:eastAsia="標楷體" w:hAnsi="標楷體"/>
                <w:sz w:val="22"/>
                <w:szCs w:val="22"/>
              </w:rPr>
              <w:t xml:space="preserve"> Tick </w:t>
            </w:r>
            <w:proofErr w:type="spellStart"/>
            <w:r w:rsidRPr="003E17A2">
              <w:rPr>
                <w:rFonts w:ascii="標楷體" w:eastAsia="標楷體" w:hAnsi="標楷體"/>
                <w:sz w:val="22"/>
                <w:szCs w:val="22"/>
              </w:rPr>
              <w:t>火場擴散計算之總入口，呼叫</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FireChemistry</w:t>
            </w:r>
            <w:proofErr w:type="spellEnd"/>
            <w:r w:rsidRPr="003E17A2">
              <w:rPr>
                <w:rFonts w:ascii="標楷體" w:eastAsia="標楷體" w:hAnsi="標楷體"/>
                <w:sz w:val="22"/>
                <w:szCs w:val="22"/>
              </w:rPr>
              <w:t xml:space="preserve"> 與 </w:t>
            </w:r>
            <w:proofErr w:type="spellStart"/>
            <w:r w:rsidRPr="003E17A2">
              <w:rPr>
                <w:rFonts w:ascii="標楷體" w:eastAsia="標楷體" w:hAnsi="標楷體"/>
                <w:sz w:val="22"/>
                <w:szCs w:val="22"/>
              </w:rPr>
              <w:t>FuelType</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計算熱釋放率與</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CO／煙塵生成速率，呼叫</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DoorLeakageModel</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計算門之孔口流量洩漏比例，並依</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PhysicalConstants</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所定義之各項物理常數換算單位</w:t>
            </w:r>
            <w:proofErr w:type="spellEnd"/>
            <w:r w:rsidRPr="003E17A2">
              <w:rPr>
                <w:rFonts w:ascii="標楷體" w:eastAsia="標楷體" w:hAnsi="標楷體"/>
                <w:sz w:val="22"/>
                <w:szCs w:val="22"/>
              </w:rPr>
              <w:t>。</w:t>
            </w:r>
          </w:p>
        </w:tc>
      </w:tr>
      <w:tr w:rsidR="002D0E14" w:rsidRPr="003E17A2" w14:paraId="34F509E2" w14:textId="77777777">
        <w:tblPrEx>
          <w:tblCellMar>
            <w:top w:w="0" w:type="dxa"/>
            <w:bottom w:w="0" w:type="dxa"/>
          </w:tblCellMar>
        </w:tblPrEx>
        <w:tc>
          <w:tcPr>
            <w:tcW w:w="1500" w:type="dxa"/>
            <w:tcMar>
              <w:top w:w="60" w:type="dxa"/>
              <w:left w:w="80" w:type="dxa"/>
              <w:bottom w:w="60" w:type="dxa"/>
              <w:right w:w="80" w:type="dxa"/>
            </w:tcMar>
            <w:vAlign w:val="center"/>
          </w:tcPr>
          <w:p w14:paraId="50400C96"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世界物件與空間</w:t>
            </w:r>
            <w:proofErr w:type="spellEnd"/>
          </w:p>
        </w:tc>
        <w:tc>
          <w:tcPr>
            <w:tcW w:w="3300" w:type="dxa"/>
            <w:tcMar>
              <w:top w:w="60" w:type="dxa"/>
              <w:left w:w="80" w:type="dxa"/>
              <w:bottom w:w="60" w:type="dxa"/>
              <w:right w:w="80" w:type="dxa"/>
            </w:tcMar>
            <w:vAlign w:val="center"/>
          </w:tcPr>
          <w:p w14:paraId="442FBBCC"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Obj、Door、Stage（樓梯間</w:t>
            </w:r>
            <w:proofErr w:type="spellEnd"/>
            <w:r w:rsidRPr="003E17A2">
              <w:rPr>
                <w:rFonts w:ascii="標楷體" w:eastAsia="標楷體" w:hAnsi="標楷體"/>
                <w:sz w:val="22"/>
                <w:szCs w:val="22"/>
              </w:rPr>
              <w:t>）、</w:t>
            </w:r>
            <w:proofErr w:type="spellStart"/>
            <w:r w:rsidRPr="003E17A2">
              <w:rPr>
                <w:rFonts w:ascii="標楷體" w:eastAsia="標楷體" w:hAnsi="標楷體"/>
                <w:sz w:val="22"/>
                <w:szCs w:val="22"/>
              </w:rPr>
              <w:t>Space、GridKeys、Detector</w:t>
            </w:r>
            <w:proofErr w:type="spellEnd"/>
          </w:p>
        </w:tc>
        <w:tc>
          <w:tcPr>
            <w:tcW w:w="4600" w:type="dxa"/>
            <w:tcMar>
              <w:top w:w="60" w:type="dxa"/>
              <w:left w:w="80" w:type="dxa"/>
              <w:bottom w:w="60" w:type="dxa"/>
              <w:right w:w="80" w:type="dxa"/>
            </w:tcMar>
            <w:vAlign w:val="center"/>
          </w:tcPr>
          <w:p w14:paraId="76444AC3"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定義建築網格中各類靜態物件（牆、門、樓梯、出口、感測器）之共同基礎類別</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Obj，並由</w:t>
            </w:r>
            <w:proofErr w:type="spellEnd"/>
            <w:r w:rsidRPr="003E17A2">
              <w:rPr>
                <w:rFonts w:ascii="標楷體" w:eastAsia="標楷體" w:hAnsi="標楷體"/>
                <w:sz w:val="22"/>
                <w:szCs w:val="22"/>
              </w:rPr>
              <w:t xml:space="preserve"> Space </w:t>
            </w:r>
            <w:proofErr w:type="spellStart"/>
            <w:r w:rsidRPr="003E17A2">
              <w:rPr>
                <w:rFonts w:ascii="標楷體" w:eastAsia="標楷體" w:hAnsi="標楷體"/>
                <w:sz w:val="22"/>
                <w:szCs w:val="22"/>
              </w:rPr>
              <w:t>統籌整體網格空間與</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EnvironmentSimulator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之互動介面</w:t>
            </w:r>
            <w:proofErr w:type="spellEnd"/>
            <w:r w:rsidRPr="003E17A2">
              <w:rPr>
                <w:rFonts w:ascii="標楷體" w:eastAsia="標楷體" w:hAnsi="標楷體"/>
                <w:sz w:val="22"/>
                <w:szCs w:val="22"/>
              </w:rPr>
              <w:t>。</w:t>
            </w:r>
          </w:p>
        </w:tc>
      </w:tr>
      <w:tr w:rsidR="002D0E14" w:rsidRPr="003E17A2" w14:paraId="01E8C897" w14:textId="77777777">
        <w:tblPrEx>
          <w:tblCellMar>
            <w:top w:w="0" w:type="dxa"/>
            <w:bottom w:w="0" w:type="dxa"/>
          </w:tblCellMar>
        </w:tblPrEx>
        <w:tc>
          <w:tcPr>
            <w:tcW w:w="1500" w:type="dxa"/>
            <w:tcMar>
              <w:top w:w="60" w:type="dxa"/>
              <w:left w:w="80" w:type="dxa"/>
              <w:bottom w:w="60" w:type="dxa"/>
              <w:right w:w="80" w:type="dxa"/>
            </w:tcMar>
            <w:vAlign w:val="center"/>
          </w:tcPr>
          <w:p w14:paraId="3789046F"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場景生成與資料</w:t>
            </w:r>
            <w:proofErr w:type="spellEnd"/>
          </w:p>
        </w:tc>
        <w:tc>
          <w:tcPr>
            <w:tcW w:w="3300" w:type="dxa"/>
            <w:tcMar>
              <w:top w:w="60" w:type="dxa"/>
              <w:left w:w="80" w:type="dxa"/>
              <w:bottom w:w="60" w:type="dxa"/>
              <w:right w:w="80" w:type="dxa"/>
            </w:tcMar>
            <w:vAlign w:val="center"/>
          </w:tcPr>
          <w:p w14:paraId="1E7BEE4B" w14:textId="77777777" w:rsidR="002D0E14" w:rsidRPr="003E17A2" w:rsidRDefault="00000000">
            <w:pPr>
              <w:jc w:val="center"/>
              <w:rPr>
                <w:rFonts w:ascii="標楷體" w:eastAsia="標楷體" w:hAnsi="標楷體"/>
              </w:rPr>
            </w:pPr>
            <w:r w:rsidRPr="003E17A2">
              <w:rPr>
                <w:rFonts w:ascii="標楷體" w:eastAsia="標楷體" w:hAnsi="標楷體"/>
                <w:sz w:val="22"/>
                <w:szCs w:val="22"/>
              </w:rPr>
              <w:t>BuildingGenerator、CustomRoomParser、CustomRoomTextLoader、ScenarioInitializer、Data、Range、SimMode、ConsoleMapPrinter</w:t>
            </w:r>
          </w:p>
        </w:tc>
        <w:tc>
          <w:tcPr>
            <w:tcW w:w="4600" w:type="dxa"/>
            <w:tcMar>
              <w:top w:w="60" w:type="dxa"/>
              <w:left w:w="80" w:type="dxa"/>
              <w:bottom w:w="60" w:type="dxa"/>
              <w:right w:w="80" w:type="dxa"/>
            </w:tcMar>
            <w:vAlign w:val="center"/>
          </w:tcPr>
          <w:p w14:paraId="1371702A"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BuildingGenerator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依二元空間分割演算法隨機生成建築配置；CustomRoomParser</w:t>
            </w:r>
            <w:proofErr w:type="spellEnd"/>
            <w:r w:rsidRPr="003E17A2">
              <w:rPr>
                <w:rFonts w:ascii="標楷體" w:eastAsia="標楷體" w:hAnsi="標楷體"/>
                <w:sz w:val="22"/>
                <w:szCs w:val="22"/>
              </w:rPr>
              <w:t xml:space="preserve"> 與 </w:t>
            </w:r>
            <w:proofErr w:type="spellStart"/>
            <w:r w:rsidRPr="003E17A2">
              <w:rPr>
                <w:rFonts w:ascii="標楷體" w:eastAsia="標楷體" w:hAnsi="標楷體"/>
                <w:sz w:val="22"/>
                <w:szCs w:val="22"/>
              </w:rPr>
              <w:t>CustomRoomTextLoader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負責解析使用者自訂之表情符號網格文字檔；ScenarioInitializer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依生成或解析所得之建築配置，完成感測器與人員之初始化</w:t>
            </w:r>
            <w:proofErr w:type="spellEnd"/>
            <w:r w:rsidRPr="003E17A2">
              <w:rPr>
                <w:rFonts w:ascii="標楷體" w:eastAsia="標楷體" w:hAnsi="標楷體"/>
                <w:sz w:val="22"/>
                <w:szCs w:val="22"/>
              </w:rPr>
              <w:t>。</w:t>
            </w:r>
          </w:p>
        </w:tc>
      </w:tr>
      <w:tr w:rsidR="002D0E14" w:rsidRPr="003E17A2" w14:paraId="154D50C9" w14:textId="77777777">
        <w:tblPrEx>
          <w:tblCellMar>
            <w:top w:w="0" w:type="dxa"/>
            <w:bottom w:w="0" w:type="dxa"/>
          </w:tblCellMar>
        </w:tblPrEx>
        <w:tc>
          <w:tcPr>
            <w:tcW w:w="1500" w:type="dxa"/>
            <w:tcMar>
              <w:top w:w="60" w:type="dxa"/>
              <w:left w:w="80" w:type="dxa"/>
              <w:bottom w:w="60" w:type="dxa"/>
              <w:right w:w="80" w:type="dxa"/>
            </w:tcMar>
            <w:vAlign w:val="center"/>
          </w:tcPr>
          <w:p w14:paraId="5A63E75A" w14:textId="77777777" w:rsidR="002D0E14" w:rsidRPr="003E17A2" w:rsidRDefault="00000000">
            <w:pPr>
              <w:rPr>
                <w:rFonts w:ascii="標楷體" w:eastAsia="標楷體" w:hAnsi="標楷體"/>
              </w:rPr>
            </w:pPr>
            <w:proofErr w:type="spellStart"/>
            <w:r w:rsidRPr="003E17A2">
              <w:rPr>
                <w:rFonts w:ascii="標楷體" w:eastAsia="標楷體" w:hAnsi="標楷體"/>
                <w:sz w:val="22"/>
                <w:szCs w:val="22"/>
              </w:rPr>
              <w:t>結果統計與匯出</w:t>
            </w:r>
            <w:proofErr w:type="spellEnd"/>
          </w:p>
        </w:tc>
        <w:tc>
          <w:tcPr>
            <w:tcW w:w="3300" w:type="dxa"/>
            <w:tcMar>
              <w:top w:w="60" w:type="dxa"/>
              <w:left w:w="80" w:type="dxa"/>
              <w:bottom w:w="60" w:type="dxa"/>
              <w:right w:w="80" w:type="dxa"/>
            </w:tcMar>
            <w:vAlign w:val="center"/>
          </w:tcPr>
          <w:p w14:paraId="45AF3EC4"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SimResult、ModeStats、Outcome、ReportGenerator、SessionExporter</w:t>
            </w:r>
            <w:proofErr w:type="spellEnd"/>
          </w:p>
        </w:tc>
        <w:tc>
          <w:tcPr>
            <w:tcW w:w="4600" w:type="dxa"/>
            <w:tcMar>
              <w:top w:w="60" w:type="dxa"/>
              <w:left w:w="80" w:type="dxa"/>
              <w:bottom w:w="60" w:type="dxa"/>
              <w:right w:w="80" w:type="dxa"/>
            </w:tcMar>
            <w:vAlign w:val="center"/>
          </w:tcPr>
          <w:p w14:paraId="6F07B23A" w14:textId="77777777" w:rsidR="002D0E14" w:rsidRPr="003E17A2" w:rsidRDefault="00000000">
            <w:pPr>
              <w:jc w:val="center"/>
              <w:rPr>
                <w:rFonts w:ascii="標楷體" w:eastAsia="標楷體" w:hAnsi="標楷體"/>
              </w:rPr>
            </w:pPr>
            <w:proofErr w:type="spellStart"/>
            <w:r w:rsidRPr="003E17A2">
              <w:rPr>
                <w:rFonts w:ascii="標楷體" w:eastAsia="標楷體" w:hAnsi="標楷體"/>
                <w:sz w:val="22"/>
                <w:szCs w:val="22"/>
              </w:rPr>
              <w:t>SimResult</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記錄單場模擬之逐人結局；ModeStats</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彙整單一模式跨多場模擬之統計量；ReportGenerator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產出可讀文字報表；SessionExporter</w:t>
            </w:r>
            <w:proofErr w:type="spellEnd"/>
            <w:r w:rsidRPr="003E17A2">
              <w:rPr>
                <w:rFonts w:ascii="標楷體" w:eastAsia="標楷體" w:hAnsi="標楷體"/>
                <w:sz w:val="22"/>
                <w:szCs w:val="22"/>
              </w:rPr>
              <w:t xml:space="preserve"> </w:t>
            </w:r>
            <w:proofErr w:type="spellStart"/>
            <w:r w:rsidRPr="003E17A2">
              <w:rPr>
                <w:rFonts w:ascii="標楷體" w:eastAsia="標楷體" w:hAnsi="標楷體"/>
                <w:sz w:val="22"/>
                <w:szCs w:val="22"/>
              </w:rPr>
              <w:t>產出供前端回放之</w:t>
            </w:r>
            <w:proofErr w:type="spellEnd"/>
            <w:r w:rsidRPr="003E17A2">
              <w:rPr>
                <w:rFonts w:ascii="標楷體" w:eastAsia="標楷體" w:hAnsi="標楷體"/>
                <w:sz w:val="22"/>
                <w:szCs w:val="22"/>
              </w:rPr>
              <w:t xml:space="preserve"> JSON </w:t>
            </w:r>
            <w:proofErr w:type="spellStart"/>
            <w:r w:rsidRPr="003E17A2">
              <w:rPr>
                <w:rFonts w:ascii="標楷體" w:eastAsia="標楷體" w:hAnsi="標楷體"/>
                <w:sz w:val="22"/>
                <w:szCs w:val="22"/>
              </w:rPr>
              <w:t>軌跡檔</w:t>
            </w:r>
            <w:proofErr w:type="spellEnd"/>
            <w:r w:rsidRPr="003E17A2">
              <w:rPr>
                <w:rFonts w:ascii="標楷體" w:eastAsia="標楷體" w:hAnsi="標楷體"/>
                <w:sz w:val="22"/>
                <w:szCs w:val="22"/>
              </w:rPr>
              <w:t>。</w:t>
            </w:r>
          </w:p>
        </w:tc>
      </w:tr>
    </w:tbl>
    <w:p w14:paraId="5220F048" w14:textId="77777777" w:rsidR="002D0E14" w:rsidRPr="003E17A2" w:rsidRDefault="002D0E14">
      <w:pPr>
        <w:rPr>
          <w:rFonts w:ascii="標楷體" w:eastAsia="標楷體" w:hAnsi="標楷體"/>
        </w:rPr>
      </w:pPr>
    </w:p>
    <w:p w14:paraId="54AEDC03"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就類別間之依賴關係而言，Simulator</w:t>
      </w:r>
      <w:proofErr w:type="spellEnd"/>
      <w:r w:rsidRPr="003E17A2">
        <w:rPr>
          <w:rFonts w:ascii="標楷體" w:eastAsia="標楷體" w:hAnsi="標楷體"/>
        </w:rPr>
        <w:t xml:space="preserve"> 作為統籌者，直接依賴上述六個子系統中之絕大部分核心類別，此一「單一統籌者、多個職責明確之子模組」架構，符合物件</w:t>
      </w:r>
      <w:r w:rsidRPr="003E17A2">
        <w:rPr>
          <w:rFonts w:ascii="標楷體" w:eastAsia="標楷體" w:hAnsi="標楷體"/>
        </w:rPr>
        <w:lastRenderedPageBreak/>
        <w:t xml:space="preserve">導向設計中高內聚、低耦合之基本原則。EscapeStrategy </w:t>
      </w:r>
      <w:proofErr w:type="spellStart"/>
      <w:r w:rsidRPr="003E17A2">
        <w:rPr>
          <w:rFonts w:ascii="標楷體" w:eastAsia="標楷體" w:hAnsi="標楷體"/>
        </w:rPr>
        <w:t>介面之策略模式設計，尤其值得特別說明：DEFAULT</w:t>
      </w:r>
      <w:proofErr w:type="spellEnd"/>
      <w:r w:rsidRPr="003E17A2">
        <w:rPr>
          <w:rFonts w:ascii="標楷體" w:eastAsia="標楷體" w:hAnsi="標楷體"/>
        </w:rPr>
        <w:t xml:space="preserve"> 與 SMART／HYBRID 模式間之行為差異，並非以條件分支散落於單一龐大類別中實現，而是封裝為兩個各自獨立、可分別測試之策略類別，此一設計方式，使第三章所述「同一建築配置、同一起火點、同一人員初始位置」之控制變因比較實驗，得以在程式層次上被嚴格保證：三種模式共用完全相同之建築、人員初始狀態與環境物理規則，僅逃生策略之委派物件不同，此為本模擬器控制變因設計之程式層級證據。</w:t>
      </w:r>
    </w:p>
    <w:p w14:paraId="533B4178" w14:textId="77777777" w:rsidR="002D0E14" w:rsidRPr="003E17A2" w:rsidRDefault="00000000">
      <w:pPr>
        <w:pStyle w:val="2"/>
        <w:rPr>
          <w:rFonts w:ascii="標楷體" w:eastAsia="標楷體" w:hAnsi="標楷體"/>
        </w:rPr>
      </w:pPr>
      <w:r w:rsidRPr="003E17A2">
        <w:rPr>
          <w:rFonts w:ascii="標楷體" w:eastAsia="標楷體" w:hAnsi="標楷體"/>
        </w:rPr>
        <w:t xml:space="preserve">4.5　</w:t>
      </w:r>
      <w:proofErr w:type="spellStart"/>
      <w:r w:rsidRPr="003E17A2">
        <w:rPr>
          <w:rFonts w:ascii="標楷體" w:eastAsia="標楷體" w:hAnsi="標楷體"/>
        </w:rPr>
        <w:t>輸出指標</w:t>
      </w:r>
      <w:proofErr w:type="spellEnd"/>
    </w:p>
    <w:p w14:paraId="234B8564"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本模擬器之輸出，分為「文字報表」與「軌跡</w:t>
      </w:r>
      <w:proofErr w:type="spellEnd"/>
      <w:r w:rsidRPr="003E17A2">
        <w:rPr>
          <w:rFonts w:ascii="標楷體" w:eastAsia="標楷體" w:hAnsi="標楷體"/>
        </w:rPr>
        <w:t xml:space="preserve"> JSON </w:t>
      </w:r>
      <w:proofErr w:type="spellStart"/>
      <w:r w:rsidRPr="003E17A2">
        <w:rPr>
          <w:rFonts w:ascii="標楷體" w:eastAsia="標楷體" w:hAnsi="標楷體"/>
        </w:rPr>
        <w:t>檔」兩種形式，分別對應不同之使用情境</w:t>
      </w:r>
      <w:proofErr w:type="spellEnd"/>
      <w:r w:rsidRPr="003E17A2">
        <w:rPr>
          <w:rFonts w:ascii="標楷體" w:eastAsia="標楷體" w:hAnsi="標楷體"/>
        </w:rPr>
        <w:t>。</w:t>
      </w:r>
    </w:p>
    <w:p w14:paraId="23491D47"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文字報表（如</w:t>
      </w:r>
      <w:proofErr w:type="spellEnd"/>
      <w:r w:rsidRPr="003E17A2">
        <w:rPr>
          <w:rFonts w:ascii="標楷體" w:eastAsia="標楷體" w:hAnsi="標楷體"/>
        </w:rPr>
        <w:t xml:space="preserve"> defaultResult.txt 及 report </w:t>
      </w:r>
      <w:proofErr w:type="spellStart"/>
      <w:r w:rsidRPr="003E17A2">
        <w:rPr>
          <w:rFonts w:ascii="標楷體" w:eastAsia="標楷體" w:hAnsi="標楷體"/>
        </w:rPr>
        <w:t>目錄下四十場情境之彙整報表）以</w:t>
      </w:r>
      <w:proofErr w:type="spellEnd"/>
      <w:r w:rsidRPr="003E17A2">
        <w:rPr>
          <w:rFonts w:ascii="標楷體" w:eastAsia="標楷體" w:hAnsi="標楷體"/>
        </w:rPr>
        <w:t xml:space="preserve"> </w:t>
      </w:r>
      <w:proofErr w:type="spellStart"/>
      <w:r w:rsidRPr="003E17A2">
        <w:rPr>
          <w:rFonts w:ascii="標楷體" w:eastAsia="標楷體" w:hAnsi="標楷體"/>
        </w:rPr>
        <w:t>ReportGenerator</w:t>
      </w:r>
      <w:proofErr w:type="spellEnd"/>
      <w:r w:rsidRPr="003E17A2">
        <w:rPr>
          <w:rFonts w:ascii="標楷體" w:eastAsia="標楷體" w:hAnsi="標楷體"/>
        </w:rPr>
        <w:t xml:space="preserve"> </w:t>
      </w:r>
      <w:proofErr w:type="spellStart"/>
      <w:r w:rsidRPr="003E17A2">
        <w:rPr>
          <w:rFonts w:ascii="標楷體" w:eastAsia="標楷體" w:hAnsi="標楷體"/>
        </w:rPr>
        <w:t>產生，其內容依本研究實際檢視</w:t>
      </w:r>
      <w:proofErr w:type="spellEnd"/>
      <w:r w:rsidRPr="003E17A2">
        <w:rPr>
          <w:rFonts w:ascii="標楷體" w:eastAsia="標楷體" w:hAnsi="標楷體"/>
        </w:rPr>
        <w:t xml:space="preserve"> report 目錄下數據總結資料夾之報表檔案，包含以下十四類指標：逃生率／死亡率／受困率（場次等權重平均）；系統嚴重失誤機率（總人數加權平均）；進入高煙區比例；臨界 CO </w:t>
      </w:r>
      <w:proofErr w:type="spellStart"/>
      <w:r w:rsidRPr="003E17A2">
        <w:rPr>
          <w:rFonts w:ascii="標楷體" w:eastAsia="標楷體" w:hAnsi="標楷體"/>
        </w:rPr>
        <w:t>暴露比例；誤入危險路線比例；改道成功率；死因比例（燒死／CO</w:t>
      </w:r>
      <w:proofErr w:type="spellEnd"/>
      <w:r w:rsidRPr="003E17A2">
        <w:rPr>
          <w:rFonts w:ascii="標楷體" w:eastAsia="標楷體" w:hAnsi="標楷體"/>
        </w:rPr>
        <w:t xml:space="preserve"> 中毒致死）；弱勢對象辨識率；平均逃脫所需時間（RSET，僅計入成功逃生者）；建議撤回至改道完成之延遲；可用安全逃生時間（ASET）；安全餘裕（ASET</w:t>
      </w:r>
      <w:r w:rsidRPr="003E17A2">
        <w:rPr>
          <w:rFonts w:ascii="Cambria Math" w:eastAsia="標楷體" w:hAnsi="Cambria Math" w:cs="Cambria Math"/>
        </w:rPr>
        <w:t>−</w:t>
      </w:r>
      <w:r w:rsidRPr="003E17A2">
        <w:rPr>
          <w:rFonts w:ascii="標楷體" w:eastAsia="標楷體" w:hAnsi="標楷體"/>
        </w:rPr>
        <w:t>RSET）；平均察覺時間；以及 HYBRID 模式下平均每場主動控制動作次數。報表並於每一項可能產生分母歧義之指標旁，明確標註其計算基準（場次平權或人數加權），此一標註方式呼應第一章「基本名詞定義」中對系統嚴重失誤機率計算基準之特別說明，避免報表使用者誤將不同分母定義之指標直接橫向比較。</w:t>
      </w:r>
    </w:p>
    <w:p w14:paraId="46F4FF5D"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軌跡</w:t>
      </w:r>
      <w:proofErr w:type="spellEnd"/>
      <w:r w:rsidRPr="003E17A2">
        <w:rPr>
          <w:rFonts w:ascii="標楷體" w:eastAsia="標楷體" w:hAnsi="標楷體"/>
        </w:rPr>
        <w:t xml:space="preserve"> JSON </w:t>
      </w:r>
      <w:proofErr w:type="spellStart"/>
      <w:r w:rsidRPr="003E17A2">
        <w:rPr>
          <w:rFonts w:ascii="標楷體" w:eastAsia="標楷體" w:hAnsi="標楷體"/>
        </w:rPr>
        <w:t>檔（場景名稱_session.json）以</w:t>
      </w:r>
      <w:proofErr w:type="spellEnd"/>
      <w:r w:rsidRPr="003E17A2">
        <w:rPr>
          <w:rFonts w:ascii="標楷體" w:eastAsia="標楷體" w:hAnsi="標楷體"/>
        </w:rPr>
        <w:t xml:space="preserve"> </w:t>
      </w:r>
      <w:proofErr w:type="spellStart"/>
      <w:r w:rsidRPr="003E17A2">
        <w:rPr>
          <w:rFonts w:ascii="標楷體" w:eastAsia="標楷體" w:hAnsi="標楷體"/>
        </w:rPr>
        <w:t>SessionExporter</w:t>
      </w:r>
      <w:proofErr w:type="spellEnd"/>
      <w:r w:rsidRPr="003E17A2">
        <w:rPr>
          <w:rFonts w:ascii="標楷體" w:eastAsia="標楷體" w:hAnsi="標楷體"/>
        </w:rPr>
        <w:t xml:space="preserve"> </w:t>
      </w:r>
      <w:proofErr w:type="spellStart"/>
      <w:r w:rsidRPr="003E17A2">
        <w:rPr>
          <w:rFonts w:ascii="標楷體" w:eastAsia="標楷體" w:hAnsi="標楷體"/>
        </w:rPr>
        <w:t>產生，其結構依</w:t>
      </w:r>
      <w:proofErr w:type="spellEnd"/>
      <w:r w:rsidRPr="003E17A2">
        <w:rPr>
          <w:rFonts w:ascii="標楷體" w:eastAsia="標楷體" w:hAnsi="標楷體"/>
        </w:rPr>
        <w:t xml:space="preserve"> docs/07-json-schema.md </w:t>
      </w:r>
      <w:proofErr w:type="spellStart"/>
      <w:r w:rsidRPr="003E17A2">
        <w:rPr>
          <w:rFonts w:ascii="標楷體" w:eastAsia="標楷體" w:hAnsi="標楷體"/>
        </w:rPr>
        <w:t>所定義，包含</w:t>
      </w:r>
      <w:proofErr w:type="spellEnd"/>
      <w:r w:rsidRPr="003E17A2">
        <w:rPr>
          <w:rFonts w:ascii="標楷體" w:eastAsia="標楷體" w:hAnsi="標楷體"/>
        </w:rPr>
        <w:t xml:space="preserve"> metadata（場景名稱、樓層數、網格行列數、匯出時間）、staticMap（靜態建築元素之座標與類型）、eventLogs（含 AWARE、ADVICE_ISSUED、ADVICE_REVOKED、REROUTE、TRAPPED、ESCAPE、DEATH、SYSTEM_FAIL </w:t>
      </w:r>
      <w:proofErr w:type="spellStart"/>
      <w:r w:rsidRPr="003E17A2">
        <w:rPr>
          <w:rFonts w:ascii="標楷體" w:eastAsia="標楷體" w:hAnsi="標楷體"/>
        </w:rPr>
        <w:t>八類事件之逐</w:t>
      </w:r>
      <w:proofErr w:type="spellEnd"/>
      <w:r w:rsidRPr="003E17A2">
        <w:rPr>
          <w:rFonts w:ascii="標楷體" w:eastAsia="標楷體" w:hAnsi="標楷體"/>
        </w:rPr>
        <w:t xml:space="preserve"> Tick </w:t>
      </w:r>
      <w:proofErr w:type="spellStart"/>
      <w:r w:rsidRPr="003E17A2">
        <w:rPr>
          <w:rFonts w:ascii="標楷體" w:eastAsia="標楷體" w:hAnsi="標楷體"/>
        </w:rPr>
        <w:t>記錄</w:t>
      </w:r>
      <w:proofErr w:type="spellEnd"/>
      <w:r w:rsidRPr="003E17A2">
        <w:rPr>
          <w:rFonts w:ascii="標楷體" w:eastAsia="標楷體" w:hAnsi="標楷體"/>
        </w:rPr>
        <w:t>）、</w:t>
      </w:r>
      <w:proofErr w:type="spellStart"/>
      <w:r w:rsidRPr="003E17A2">
        <w:rPr>
          <w:rFonts w:ascii="標楷體" w:eastAsia="標楷體" w:hAnsi="標楷體"/>
        </w:rPr>
        <w:t>以及</w:t>
      </w:r>
      <w:proofErr w:type="spellEnd"/>
      <w:r w:rsidRPr="003E17A2">
        <w:rPr>
          <w:rFonts w:ascii="標楷體" w:eastAsia="標楷體" w:hAnsi="標楷體"/>
        </w:rPr>
        <w:t xml:space="preserve"> </w:t>
      </w:r>
      <w:proofErr w:type="spellStart"/>
      <w:r w:rsidRPr="003E17A2">
        <w:rPr>
          <w:rFonts w:ascii="標楷體" w:eastAsia="標楷體" w:hAnsi="標楷體"/>
        </w:rPr>
        <w:t>timeline（逐</w:t>
      </w:r>
      <w:proofErr w:type="spellEnd"/>
      <w:r w:rsidRPr="003E17A2">
        <w:rPr>
          <w:rFonts w:ascii="標楷體" w:eastAsia="標楷體" w:hAnsi="標楷體"/>
        </w:rPr>
        <w:t xml:space="preserve"> Tick </w:t>
      </w:r>
      <w:proofErr w:type="spellStart"/>
      <w:r w:rsidRPr="003E17A2">
        <w:rPr>
          <w:rFonts w:ascii="標楷體" w:eastAsia="標楷體" w:hAnsi="標楷體"/>
        </w:rPr>
        <w:t>之人員狀態、感測器狀態與環境狀態陣列）四大區塊。其中人員狀態之</w:t>
      </w:r>
      <w:proofErr w:type="spellEnd"/>
      <w:r w:rsidRPr="003E17A2">
        <w:rPr>
          <w:rFonts w:ascii="標楷體" w:eastAsia="標楷體" w:hAnsi="標楷體"/>
        </w:rPr>
        <w:t xml:space="preserve"> </w:t>
      </w:r>
      <w:proofErr w:type="spellStart"/>
      <w:r w:rsidRPr="003E17A2">
        <w:rPr>
          <w:rFonts w:ascii="標楷體" w:eastAsia="標楷體" w:hAnsi="標楷體"/>
        </w:rPr>
        <w:t>fedCO</w:t>
      </w:r>
      <w:proofErr w:type="spellEnd"/>
      <w:r w:rsidRPr="003E17A2">
        <w:rPr>
          <w:rFonts w:ascii="標楷體" w:eastAsia="標楷體" w:hAnsi="標楷體"/>
        </w:rPr>
        <w:t xml:space="preserve"> </w:t>
      </w:r>
      <w:proofErr w:type="spellStart"/>
      <w:r w:rsidRPr="003E17A2">
        <w:rPr>
          <w:rFonts w:ascii="標楷體" w:eastAsia="標楷體" w:hAnsi="標楷體"/>
        </w:rPr>
        <w:t>欄位對應</w:t>
      </w:r>
      <w:proofErr w:type="spellEnd"/>
      <w:r w:rsidRPr="003E17A2">
        <w:rPr>
          <w:rFonts w:ascii="標楷體" w:eastAsia="標楷體" w:hAnsi="標楷體"/>
        </w:rPr>
        <w:t xml:space="preserve"> Purser </w:t>
      </w:r>
      <w:proofErr w:type="spellStart"/>
      <w:r w:rsidRPr="003E17A2">
        <w:rPr>
          <w:rFonts w:ascii="標楷體" w:eastAsia="標楷體" w:hAnsi="標楷體"/>
        </w:rPr>
        <w:t>累積劑量模型，環境狀態之</w:t>
      </w:r>
      <w:proofErr w:type="spellEnd"/>
      <w:r w:rsidRPr="003E17A2">
        <w:rPr>
          <w:rFonts w:ascii="標楷體" w:eastAsia="標楷體" w:hAnsi="標楷體"/>
        </w:rPr>
        <w:t xml:space="preserve"> </w:t>
      </w:r>
      <w:proofErr w:type="spellStart"/>
      <w:r w:rsidRPr="003E17A2">
        <w:rPr>
          <w:rFonts w:ascii="標楷體" w:eastAsia="標楷體" w:hAnsi="標楷體"/>
        </w:rPr>
        <w:t>smoke／coPpm／tempC</w:t>
      </w:r>
      <w:proofErr w:type="spellEnd"/>
      <w:r w:rsidRPr="003E17A2">
        <w:rPr>
          <w:rFonts w:ascii="標楷體" w:eastAsia="標楷體" w:hAnsi="標楷體"/>
        </w:rPr>
        <w:t xml:space="preserve"> </w:t>
      </w:r>
      <w:proofErr w:type="spellStart"/>
      <w:r w:rsidRPr="003E17A2">
        <w:rPr>
          <w:rFonts w:ascii="標楷體" w:eastAsia="標楷體" w:hAnsi="標楷體"/>
        </w:rPr>
        <w:t>三欄位對應第二章所述已分離追蹤之能見度代理量、</w:t>
      </w:r>
      <w:r w:rsidRPr="003E17A2">
        <w:rPr>
          <w:rFonts w:ascii="標楷體" w:eastAsia="標楷體" w:hAnsi="標楷體"/>
        </w:rPr>
        <w:lastRenderedPageBreak/>
        <w:t>CO</w:t>
      </w:r>
      <w:proofErr w:type="spellEnd"/>
      <w:r w:rsidRPr="003E17A2">
        <w:rPr>
          <w:rFonts w:ascii="標楷體" w:eastAsia="標楷體" w:hAnsi="標楷體"/>
        </w:rPr>
        <w:t xml:space="preserve"> </w:t>
      </w:r>
      <w:proofErr w:type="spellStart"/>
      <w:r w:rsidRPr="003E17A2">
        <w:rPr>
          <w:rFonts w:ascii="標楷體" w:eastAsia="標楷體" w:hAnsi="標楷體"/>
        </w:rPr>
        <w:t>濃度與溫度場，此一</w:t>
      </w:r>
      <w:proofErr w:type="spellEnd"/>
      <w:r w:rsidRPr="003E17A2">
        <w:rPr>
          <w:rFonts w:ascii="標楷體" w:eastAsia="標楷體" w:hAnsi="標楷體"/>
        </w:rPr>
        <w:t xml:space="preserve"> JSON </w:t>
      </w:r>
      <w:proofErr w:type="spellStart"/>
      <w:r w:rsidRPr="003E17A2">
        <w:rPr>
          <w:rFonts w:ascii="標楷體" w:eastAsia="標楷體" w:hAnsi="標楷體"/>
        </w:rPr>
        <w:t>結構之欄位設計，與構想報告書第</w:t>
      </w:r>
      <w:proofErr w:type="spellEnd"/>
      <w:r w:rsidRPr="003E17A2">
        <w:rPr>
          <w:rFonts w:ascii="標楷體" w:eastAsia="標楷體" w:hAnsi="標楷體"/>
        </w:rPr>
        <w:t xml:space="preserve"> 4.8 節所述「advice_issued、sensor_data_failed、route_invalidated、advice_expired／withdrawn、reroute／retreat」等建議生命週期事件之命名方式高度一致，顯示物理驗證預測模擬與體驗示意模擬兩個子系統，雖依構想報告書 3.7 </w:t>
      </w:r>
      <w:proofErr w:type="spellStart"/>
      <w:r w:rsidRPr="003E17A2">
        <w:rPr>
          <w:rFonts w:ascii="標楷體" w:eastAsia="標楷體" w:hAnsi="標楷體"/>
        </w:rPr>
        <w:t>節所述「尚未形成正式即時資料交換</w:t>
      </w:r>
      <w:proofErr w:type="spellEnd"/>
      <w:r w:rsidRPr="003E17A2">
        <w:rPr>
          <w:rFonts w:ascii="標楷體" w:eastAsia="標楷體" w:hAnsi="標楷體"/>
        </w:rPr>
        <w:t>」，</w:t>
      </w:r>
      <w:proofErr w:type="spellStart"/>
      <w:r w:rsidRPr="003E17A2">
        <w:rPr>
          <w:rFonts w:ascii="標楷體" w:eastAsia="標楷體" w:hAnsi="標楷體"/>
        </w:rPr>
        <w:t>然於事件分類之概念層次上，已具備可相互對應之共同詞彙基礎</w:t>
      </w:r>
      <w:proofErr w:type="spellEnd"/>
      <w:r w:rsidRPr="003E17A2">
        <w:rPr>
          <w:rFonts w:ascii="標楷體" w:eastAsia="標楷體" w:hAnsi="標楷體"/>
        </w:rPr>
        <w:t>。</w:t>
      </w:r>
    </w:p>
    <w:p w14:paraId="3FF57311" w14:textId="77777777" w:rsidR="002D0E14" w:rsidRPr="003E17A2" w:rsidRDefault="00000000">
      <w:pPr>
        <w:pStyle w:val="2"/>
        <w:rPr>
          <w:rFonts w:ascii="標楷體" w:eastAsia="標楷體" w:hAnsi="標楷體"/>
        </w:rPr>
      </w:pPr>
      <w:r w:rsidRPr="003E17A2">
        <w:rPr>
          <w:rFonts w:ascii="標楷體" w:eastAsia="標楷體" w:hAnsi="標楷體"/>
        </w:rPr>
        <w:t xml:space="preserve">4.6　</w:t>
      </w:r>
      <w:proofErr w:type="spellStart"/>
      <w:r w:rsidRPr="003E17A2">
        <w:rPr>
          <w:rFonts w:ascii="標楷體" w:eastAsia="標楷體" w:hAnsi="標楷體"/>
        </w:rPr>
        <w:t>半廢置構想之技術檢討：網格單位換算實驗</w:t>
      </w:r>
      <w:proofErr w:type="spellEnd"/>
    </w:p>
    <w:p w14:paraId="464C3CAD"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本模擬器根目錄下之</w:t>
      </w:r>
      <w:proofErr w:type="spellEnd"/>
      <w:r w:rsidRPr="003E17A2">
        <w:rPr>
          <w:rFonts w:ascii="標楷體" w:eastAsia="標楷體" w:hAnsi="標楷體"/>
        </w:rPr>
        <w:t xml:space="preserve"> </w:t>
      </w:r>
      <w:proofErr w:type="spellStart"/>
      <w:r w:rsidRPr="003E17A2">
        <w:rPr>
          <w:rFonts w:ascii="標楷體" w:eastAsia="標楷體" w:hAnsi="標楷體"/>
        </w:rPr>
        <w:t>simulation_report.txt，記錄了一項依</w:t>
      </w:r>
      <w:proofErr w:type="spellEnd"/>
      <w:r w:rsidRPr="003E17A2">
        <w:rPr>
          <w:rFonts w:ascii="標楷體" w:eastAsia="標楷體" w:hAnsi="標楷體"/>
        </w:rPr>
        <w:t xml:space="preserve"> README </w:t>
      </w:r>
      <w:proofErr w:type="spellStart"/>
      <w:r w:rsidRPr="003E17A2">
        <w:rPr>
          <w:rFonts w:ascii="標楷體" w:eastAsia="標楷體" w:hAnsi="標楷體"/>
        </w:rPr>
        <w:t>說明「目前處於半廢置狀態」之技術構想：將原本每一網格代表</w:t>
      </w:r>
      <w:proofErr w:type="spellEnd"/>
      <w:r w:rsidRPr="003E17A2">
        <w:rPr>
          <w:rFonts w:ascii="標楷體" w:eastAsia="標楷體" w:hAnsi="標楷體"/>
        </w:rPr>
        <w:t xml:space="preserve"> 0.16 </w:t>
      </w:r>
      <w:proofErr w:type="spellStart"/>
      <w:r w:rsidRPr="003E17A2">
        <w:rPr>
          <w:rFonts w:ascii="標楷體" w:eastAsia="標楷體" w:hAnsi="標楷體"/>
        </w:rPr>
        <w:t>平方公尺（即</w:t>
      </w:r>
      <w:proofErr w:type="spellEnd"/>
      <w:r w:rsidRPr="003E17A2">
        <w:rPr>
          <w:rFonts w:ascii="標楷體" w:eastAsia="標楷體" w:hAnsi="標楷體"/>
        </w:rPr>
        <w:t xml:space="preserve"> 0.4 </w:t>
      </w:r>
      <w:proofErr w:type="spellStart"/>
      <w:r w:rsidRPr="003E17A2">
        <w:rPr>
          <w:rFonts w:ascii="標楷體" w:eastAsia="標楷體" w:hAnsi="標楷體"/>
        </w:rPr>
        <w:t>公尺見方）之設定，改為每一網格代表約一坪（約</w:t>
      </w:r>
      <w:proofErr w:type="spellEnd"/>
      <w:r w:rsidRPr="003E17A2">
        <w:rPr>
          <w:rFonts w:ascii="標楷體" w:eastAsia="標楷體" w:hAnsi="標楷體"/>
        </w:rPr>
        <w:t xml:space="preserve"> 3.3 </w:t>
      </w:r>
      <w:proofErr w:type="spellStart"/>
      <w:r w:rsidRPr="003E17A2">
        <w:rPr>
          <w:rFonts w:ascii="標楷體" w:eastAsia="標楷體" w:hAnsi="標楷體"/>
        </w:rPr>
        <w:t>平方公尺</w:t>
      </w:r>
      <w:proofErr w:type="spellEnd"/>
      <w:r w:rsidRPr="003E17A2">
        <w:rPr>
          <w:rFonts w:ascii="標楷體" w:eastAsia="標楷體" w:hAnsi="標楷體"/>
        </w:rPr>
        <w:t xml:space="preserve">），並以此重新測試二十層、11×11 </w:t>
      </w:r>
      <w:proofErr w:type="spellStart"/>
      <w:r w:rsidRPr="003E17A2">
        <w:rPr>
          <w:rFonts w:ascii="標楷體" w:eastAsia="標楷體" w:hAnsi="標楷體"/>
        </w:rPr>
        <w:t>網格規模之大廈樓型。本研究檢視該報表發現，此一參數調整後之無系統情境逃生率約為</w:t>
      </w:r>
      <w:proofErr w:type="spellEnd"/>
      <w:r w:rsidRPr="003E17A2">
        <w:rPr>
          <w:rFonts w:ascii="標楷體" w:eastAsia="標楷體" w:hAnsi="標楷體"/>
        </w:rPr>
        <w:t xml:space="preserve"> 19.72%，</w:t>
      </w:r>
      <w:proofErr w:type="spellStart"/>
      <w:r w:rsidRPr="003E17A2">
        <w:rPr>
          <w:rFonts w:ascii="標楷體" w:eastAsia="標楷體" w:hAnsi="標楷體"/>
        </w:rPr>
        <w:t>與第五章所引用、以原始</w:t>
      </w:r>
      <w:proofErr w:type="spellEnd"/>
      <w:r w:rsidRPr="003E17A2">
        <w:rPr>
          <w:rFonts w:ascii="標楷體" w:eastAsia="標楷體" w:hAnsi="標楷體"/>
        </w:rPr>
        <w:t xml:space="preserve"> 0.4 </w:t>
      </w:r>
      <w:proofErr w:type="spellStart"/>
      <w:r w:rsidRPr="003E17A2">
        <w:rPr>
          <w:rFonts w:ascii="標楷體" w:eastAsia="標楷體" w:hAnsi="標楷體"/>
        </w:rPr>
        <w:t>公尺網格所得之公寓類建築無系統逃生率（約</w:t>
      </w:r>
      <w:proofErr w:type="spellEnd"/>
      <w:r w:rsidRPr="003E17A2">
        <w:rPr>
          <w:rFonts w:ascii="標楷體" w:eastAsia="標楷體" w:hAnsi="標楷體"/>
        </w:rPr>
        <w:t xml:space="preserve"> 6% 至 15%）</w:t>
      </w:r>
      <w:proofErr w:type="spellStart"/>
      <w:r w:rsidRPr="003E17A2">
        <w:rPr>
          <w:rFonts w:ascii="標楷體" w:eastAsia="標楷體" w:hAnsi="標楷體"/>
        </w:rPr>
        <w:t>相比，呈現明顯較高之基礎逃生率</w:t>
      </w:r>
      <w:proofErr w:type="spellEnd"/>
      <w:r w:rsidRPr="003E17A2">
        <w:rPr>
          <w:rFonts w:ascii="標楷體" w:eastAsia="標楷體" w:hAnsi="標楷體"/>
        </w:rPr>
        <w:t>。</w:t>
      </w:r>
    </w:p>
    <w:p w14:paraId="75C08918"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此一差異之技術成因，可自本模擬器之單位換算邏輯推知：PhysicalConstants</w:t>
      </w:r>
      <w:proofErr w:type="spellEnd"/>
      <w:r w:rsidRPr="003E17A2">
        <w:rPr>
          <w:rFonts w:ascii="標楷體" w:eastAsia="標楷體" w:hAnsi="標楷體"/>
        </w:rPr>
        <w:t xml:space="preserve"> </w:t>
      </w:r>
      <w:proofErr w:type="spellStart"/>
      <w:r w:rsidRPr="003E17A2">
        <w:rPr>
          <w:rFonts w:ascii="標楷體" w:eastAsia="標楷體" w:hAnsi="標楷體"/>
        </w:rPr>
        <w:t>類別明確註記「block</w:t>
      </w:r>
      <w:proofErr w:type="spellEnd"/>
      <w:r w:rsidRPr="003E17A2">
        <w:rPr>
          <w:rFonts w:ascii="標楷體" w:eastAsia="標楷體" w:hAnsi="標楷體"/>
        </w:rPr>
        <w:t xml:space="preserve">=0.4m、tick=1s </w:t>
      </w:r>
      <w:proofErr w:type="spellStart"/>
      <w:r w:rsidRPr="003E17A2">
        <w:rPr>
          <w:rFonts w:ascii="標楷體" w:eastAsia="標楷體" w:hAnsi="標楷體"/>
        </w:rPr>
        <w:t>是『反推法』選出的一組合理預設值</w:t>
      </w:r>
      <w:proofErr w:type="spellEnd"/>
      <w:r w:rsidRPr="003E17A2">
        <w:rPr>
          <w:rFonts w:ascii="標楷體" w:eastAsia="標楷體" w:hAnsi="標楷體"/>
        </w:rPr>
        <w:t>……</w:t>
      </w:r>
      <w:proofErr w:type="spellStart"/>
      <w:r w:rsidRPr="003E17A2">
        <w:rPr>
          <w:rFonts w:ascii="標楷體" w:eastAsia="標楷體" w:hAnsi="標楷體"/>
        </w:rPr>
        <w:t>一旦選定，後面所有速度／擴散／生成速率的校正都以此為準</w:t>
      </w:r>
      <w:proofErr w:type="spellEnd"/>
      <w:r w:rsidRPr="003E17A2">
        <w:rPr>
          <w:rFonts w:ascii="標楷體" w:eastAsia="標楷體" w:hAnsi="標楷體"/>
        </w:rPr>
        <w:t>」，</w:t>
      </w:r>
      <w:proofErr w:type="spellStart"/>
      <w:r w:rsidRPr="003E17A2">
        <w:rPr>
          <w:rFonts w:ascii="標楷體" w:eastAsia="標楷體" w:hAnsi="標楷體"/>
        </w:rPr>
        <w:t>此意謂人員移動速度、CO</w:t>
      </w:r>
      <w:proofErr w:type="spellEnd"/>
      <w:r w:rsidRPr="003E17A2">
        <w:rPr>
          <w:rFonts w:ascii="標楷體" w:eastAsia="標楷體" w:hAnsi="標楷體"/>
        </w:rPr>
        <w:t xml:space="preserve"> </w:t>
      </w:r>
      <w:proofErr w:type="spellStart"/>
      <w:r w:rsidRPr="003E17A2">
        <w:rPr>
          <w:rFonts w:ascii="標楷體" w:eastAsia="標楷體" w:hAnsi="標楷體"/>
        </w:rPr>
        <w:t>生成速率、煙霧擴散係數等眾多物理參數，均已依</w:t>
      </w:r>
      <w:proofErr w:type="spellEnd"/>
      <w:r w:rsidRPr="003E17A2">
        <w:rPr>
          <w:rFonts w:ascii="標楷體" w:eastAsia="標楷體" w:hAnsi="標楷體"/>
        </w:rPr>
        <w:t xml:space="preserve"> 0.4 公尺網格校正完成；若逕行將網格邊長放大至約一坪見方，而未同步重新校正前述所有速度與擴散參數，將導致「人員每格移動所代表之實際距離變長，但物理擴散與生成速率之校正基準未同步調整」之尺度不一致問題，此極可能是該實驗逃生率明顯偏高、且 README 將其標註為「因建築難以調適」而半廢置之技術原因。本研究將此一構想之檢討，列為第五章「未來可做的研究」之具體項目，說明如欲重啟此一網格尺度調整方向，須同步完成速度、擴散係數與生成速率三方面之重新校正，而非僅調整單一網格邊長參數。</w:t>
      </w:r>
    </w:p>
    <w:p w14:paraId="76584C29" w14:textId="77777777" w:rsidR="002D0E14" w:rsidRPr="003E17A2" w:rsidRDefault="00000000">
      <w:pPr>
        <w:pStyle w:val="1"/>
        <w:pageBreakBefore/>
        <w:rPr>
          <w:rFonts w:ascii="標楷體" w:eastAsia="標楷體" w:hAnsi="標楷體"/>
        </w:rPr>
      </w:pPr>
      <w:proofErr w:type="spellStart"/>
      <w:r w:rsidRPr="003E17A2">
        <w:rPr>
          <w:rFonts w:ascii="標楷體" w:eastAsia="標楷體" w:hAnsi="標楷體"/>
        </w:rPr>
        <w:lastRenderedPageBreak/>
        <w:t>第五章</w:t>
      </w:r>
      <w:proofErr w:type="spellEnd"/>
      <w:r w:rsidRPr="003E17A2">
        <w:rPr>
          <w:rFonts w:ascii="標楷體" w:eastAsia="標楷體" w:hAnsi="標楷體"/>
        </w:rPr>
        <w:t xml:space="preserve">　</w:t>
      </w:r>
      <w:proofErr w:type="spellStart"/>
      <w:r w:rsidRPr="003E17A2">
        <w:rPr>
          <w:rFonts w:ascii="標楷體" w:eastAsia="標楷體" w:hAnsi="標楷體"/>
        </w:rPr>
        <w:t>結論</w:t>
      </w:r>
      <w:proofErr w:type="spellEnd"/>
    </w:p>
    <w:p w14:paraId="346EB735" w14:textId="77777777" w:rsidR="002D0E14" w:rsidRPr="003E17A2" w:rsidRDefault="00000000">
      <w:pPr>
        <w:pStyle w:val="2"/>
        <w:rPr>
          <w:rFonts w:ascii="標楷體" w:eastAsia="標楷體" w:hAnsi="標楷體"/>
        </w:rPr>
      </w:pPr>
      <w:r w:rsidRPr="003E17A2">
        <w:rPr>
          <w:rFonts w:ascii="標楷體" w:eastAsia="標楷體" w:hAnsi="標楷體"/>
        </w:rPr>
        <w:t xml:space="preserve">5.1　</w:t>
      </w:r>
      <w:proofErr w:type="spellStart"/>
      <w:r w:rsidRPr="003E17A2">
        <w:rPr>
          <w:rFonts w:ascii="標楷體" w:eastAsia="標楷體" w:hAnsi="標楷體"/>
        </w:rPr>
        <w:t>模擬數據結論</w:t>
      </w:r>
      <w:proofErr w:type="spellEnd"/>
    </w:p>
    <w:p w14:paraId="16773EE7"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本研究彙整本模擬器所輸出之八十場情境模擬資料（低矮建築與公寓類建築各四十場，每場均依序執行</w:t>
      </w:r>
      <w:proofErr w:type="spellEnd"/>
      <w:r w:rsidRPr="003E17A2">
        <w:rPr>
          <w:rFonts w:ascii="標楷體" w:eastAsia="標楷體" w:hAnsi="標楷體"/>
        </w:rPr>
        <w:t xml:space="preserve"> DEFAULT、SMART、HYBRID </w:t>
      </w:r>
      <w:proofErr w:type="spellStart"/>
      <w:r w:rsidRPr="003E17A2">
        <w:rPr>
          <w:rFonts w:ascii="標楷體" w:eastAsia="標楷體" w:hAnsi="標楷體"/>
        </w:rPr>
        <w:t>三種模式</w:t>
      </w:r>
      <w:proofErr w:type="spellEnd"/>
      <w:r w:rsidRPr="003E17A2">
        <w:rPr>
          <w:rFonts w:ascii="標楷體" w:eastAsia="標楷體" w:hAnsi="標楷體"/>
        </w:rPr>
        <w:t>），</w:t>
      </w:r>
      <w:proofErr w:type="spellStart"/>
      <w:r w:rsidRPr="003E17A2">
        <w:rPr>
          <w:rFonts w:ascii="標楷體" w:eastAsia="標楷體" w:hAnsi="標楷體"/>
        </w:rPr>
        <w:t>並依開發者於數據總結文件中所載之分析架構，歸納以下三項具體發現</w:t>
      </w:r>
      <w:proofErr w:type="spellEnd"/>
      <w:r w:rsidRPr="003E17A2">
        <w:rPr>
          <w:rFonts w:ascii="標楷體" w:eastAsia="標楷體" w:hAnsi="標楷體"/>
        </w:rPr>
        <w:t>。</w:t>
      </w:r>
    </w:p>
    <w:p w14:paraId="77B4E4CE" w14:textId="77777777" w:rsidR="002D0E14" w:rsidRPr="003E17A2" w:rsidRDefault="00000000">
      <w:pPr>
        <w:spacing w:before="120" w:after="120"/>
        <w:ind w:firstLine="480"/>
        <w:jc w:val="both"/>
        <w:rPr>
          <w:rFonts w:ascii="標楷體" w:eastAsia="標楷體" w:hAnsi="標楷體"/>
        </w:rPr>
      </w:pPr>
      <w:proofErr w:type="spellStart"/>
      <w:r w:rsidRPr="003E17A2">
        <w:rPr>
          <w:rFonts w:ascii="標楷體" w:eastAsia="標楷體" w:hAnsi="標楷體"/>
          <w:b/>
          <w:bCs/>
        </w:rPr>
        <w:t>第一，建築垂直疏散距離為影響基礎逃生率之主要因素，惟系統介入之邊際效益方向相反</w:t>
      </w:r>
      <w:proofErr w:type="spellEnd"/>
      <w:r w:rsidRPr="003E17A2">
        <w:rPr>
          <w:rFonts w:ascii="標楷體" w:eastAsia="標楷體" w:hAnsi="標楷體"/>
          <w:b/>
          <w:bCs/>
        </w:rPr>
        <w:t>。</w:t>
      </w:r>
    </w:p>
    <w:p w14:paraId="71BA9836"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資料顯示，低矮建築（一層樓）於</w:t>
      </w:r>
      <w:proofErr w:type="spellEnd"/>
      <w:r w:rsidRPr="003E17A2">
        <w:rPr>
          <w:rFonts w:ascii="標楷體" w:eastAsia="標楷體" w:hAnsi="標楷體"/>
        </w:rPr>
        <w:t xml:space="preserve"> DEFAULT </w:t>
      </w:r>
      <w:proofErr w:type="spellStart"/>
      <w:r w:rsidRPr="003E17A2">
        <w:rPr>
          <w:rFonts w:ascii="標楷體" w:eastAsia="標楷體" w:hAnsi="標楷體"/>
        </w:rPr>
        <w:t>情境下之逃生率普遍座落於</w:t>
      </w:r>
      <w:proofErr w:type="spellEnd"/>
      <w:r w:rsidRPr="003E17A2">
        <w:rPr>
          <w:rFonts w:ascii="標楷體" w:eastAsia="標楷體" w:hAnsi="標楷體"/>
        </w:rPr>
        <w:t xml:space="preserve"> 22% 至 41% </w:t>
      </w:r>
      <w:proofErr w:type="spellStart"/>
      <w:r w:rsidRPr="003E17A2">
        <w:rPr>
          <w:rFonts w:ascii="標楷體" w:eastAsia="標楷體" w:hAnsi="標楷體"/>
        </w:rPr>
        <w:t>區間，而公寓類建築（五層樓）於</w:t>
      </w:r>
      <w:proofErr w:type="spellEnd"/>
      <w:r w:rsidRPr="003E17A2">
        <w:rPr>
          <w:rFonts w:ascii="標楷體" w:eastAsia="標楷體" w:hAnsi="標楷體"/>
        </w:rPr>
        <w:t xml:space="preserve"> DEFAULT </w:t>
      </w:r>
      <w:proofErr w:type="spellStart"/>
      <w:r w:rsidRPr="003E17A2">
        <w:rPr>
          <w:rFonts w:ascii="標楷體" w:eastAsia="標楷體" w:hAnsi="標楷體"/>
        </w:rPr>
        <w:t>情境下之逃生率則僅約</w:t>
      </w:r>
      <w:proofErr w:type="spellEnd"/>
      <w:r w:rsidRPr="003E17A2">
        <w:rPr>
          <w:rFonts w:ascii="標楷體" w:eastAsia="標楷體" w:hAnsi="標楷體"/>
        </w:rPr>
        <w:t xml:space="preserve"> 6% 至 11%。此一對比顯示，樓層數增加、垂直疏散距離拉長，將使無系統介入下之基礎逃生率大幅下降，此一方向與消防工程之一般認知相符。然而，就「系統輔助帶來之提升幅度」而言，公寓類建築之提升幅度反而較低矮建築更大：低矮建築於系統輔助後平均提升約 20 至 26 </w:t>
      </w:r>
      <w:proofErr w:type="spellStart"/>
      <w:r w:rsidRPr="003E17A2">
        <w:rPr>
          <w:rFonts w:ascii="標楷體" w:eastAsia="標楷體" w:hAnsi="標楷體"/>
        </w:rPr>
        <w:t>個百分點，公寓類建築則平均提升約</w:t>
      </w:r>
      <w:proofErr w:type="spellEnd"/>
      <w:r w:rsidRPr="003E17A2">
        <w:rPr>
          <w:rFonts w:ascii="標楷體" w:eastAsia="標楷體" w:hAnsi="標楷體"/>
        </w:rPr>
        <w:t xml:space="preserve"> 33 至 44 個百分點。此一結果之數學成因，部分可歸因於公寓類建築之基礎逃生率原本即偏低，故系統介入之改善空間相對較大；惟就決策支援系統之政策意涵而言，此一結果顯示系統介入之邊際效益，於基礎逃生率偏低之高樓層建築情境中相對更大，此一發現支持構想報告書中「以多樓層 KTV 為研究情境」之選擇具備合理性，蓋多樓層場域正是決策支援系統邊際效益相對明顯之情境類型。下圖為公寓類建築十筆意外失火情境下，三種模式逃生率之逐場比較，圖中紅點為 </w:t>
      </w:r>
      <w:proofErr w:type="spellStart"/>
      <w:r w:rsidRPr="003E17A2">
        <w:rPr>
          <w:rFonts w:ascii="標楷體" w:eastAsia="標楷體" w:hAnsi="標楷體"/>
        </w:rPr>
        <w:t>DEFAULT（無系統</w:t>
      </w:r>
      <w:proofErr w:type="spellEnd"/>
      <w:r w:rsidRPr="003E17A2">
        <w:rPr>
          <w:rFonts w:ascii="標楷體" w:eastAsia="標楷體" w:hAnsi="標楷體"/>
        </w:rPr>
        <w:t>）、</w:t>
      </w:r>
      <w:proofErr w:type="spellStart"/>
      <w:r w:rsidRPr="003E17A2">
        <w:rPr>
          <w:rFonts w:ascii="標楷體" w:eastAsia="標楷體" w:hAnsi="標楷體"/>
        </w:rPr>
        <w:t>橘點為</w:t>
      </w:r>
      <w:proofErr w:type="spellEnd"/>
      <w:r w:rsidRPr="003E17A2">
        <w:rPr>
          <w:rFonts w:ascii="標楷體" w:eastAsia="標楷體" w:hAnsi="標楷體"/>
        </w:rPr>
        <w:t xml:space="preserve"> </w:t>
      </w:r>
      <w:proofErr w:type="spellStart"/>
      <w:r w:rsidRPr="003E17A2">
        <w:rPr>
          <w:rFonts w:ascii="標楷體" w:eastAsia="標楷體" w:hAnsi="標楷體"/>
        </w:rPr>
        <w:t>SMART（決策支援</w:t>
      </w:r>
      <w:proofErr w:type="spellEnd"/>
      <w:r w:rsidRPr="003E17A2">
        <w:rPr>
          <w:rFonts w:ascii="標楷體" w:eastAsia="標楷體" w:hAnsi="標楷體"/>
        </w:rPr>
        <w:t>）、</w:t>
      </w:r>
      <w:proofErr w:type="spellStart"/>
      <w:r w:rsidRPr="003E17A2">
        <w:rPr>
          <w:rFonts w:ascii="標楷體" w:eastAsia="標楷體" w:hAnsi="標楷體"/>
        </w:rPr>
        <w:t>綠點為</w:t>
      </w:r>
      <w:proofErr w:type="spellEnd"/>
      <w:r w:rsidRPr="003E17A2">
        <w:rPr>
          <w:rFonts w:ascii="標楷體" w:eastAsia="標楷體" w:hAnsi="標楷體"/>
        </w:rPr>
        <w:t xml:space="preserve"> </w:t>
      </w:r>
      <w:proofErr w:type="spellStart"/>
      <w:r w:rsidRPr="003E17A2">
        <w:rPr>
          <w:rFonts w:ascii="標楷體" w:eastAsia="標楷體" w:hAnsi="標楷體"/>
        </w:rPr>
        <w:t>HYBRID（決策支援＋備援主動控制</w:t>
      </w:r>
      <w:proofErr w:type="spellEnd"/>
      <w:r w:rsidRPr="003E17A2">
        <w:rPr>
          <w:rFonts w:ascii="標楷體" w:eastAsia="標楷體" w:hAnsi="標楷體"/>
        </w:rPr>
        <w:t>），</w:t>
      </w:r>
      <w:proofErr w:type="spellStart"/>
      <w:r w:rsidRPr="003E17A2">
        <w:rPr>
          <w:rFonts w:ascii="標楷體" w:eastAsia="標楷體" w:hAnsi="標楷體"/>
        </w:rPr>
        <w:t>縱軸為逃生率（單位：百分比</w:t>
      </w:r>
      <w:proofErr w:type="spellEnd"/>
      <w:r w:rsidRPr="003E17A2">
        <w:rPr>
          <w:rFonts w:ascii="標楷體" w:eastAsia="標楷體" w:hAnsi="標楷體"/>
        </w:rPr>
        <w:t>）。</w:t>
      </w:r>
    </w:p>
    <w:p w14:paraId="1E6E46AE" w14:textId="77777777" w:rsidR="002D0E14" w:rsidRPr="003E17A2" w:rsidRDefault="00000000">
      <w:pPr>
        <w:spacing w:before="200" w:after="80"/>
        <w:jc w:val="center"/>
        <w:rPr>
          <w:rFonts w:ascii="標楷體" w:eastAsia="標楷體" w:hAnsi="標楷體"/>
        </w:rPr>
      </w:pPr>
      <w:r w:rsidRPr="003E17A2">
        <w:rPr>
          <w:rFonts w:ascii="標楷體" w:eastAsia="標楷體" w:hAnsi="標楷體"/>
          <w:noProof/>
        </w:rPr>
        <w:drawing>
          <wp:inline distT="0" distB="0" distL="0" distR="0" wp14:anchorId="5197ED09" wp14:editId="4C6D4A9C">
            <wp:extent cx="4381500" cy="21717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71700"/>
                    </a:xfrm>
                    <a:prstGeom prst="rect">
                      <a:avLst/>
                    </a:prstGeom>
                  </pic:spPr>
                </pic:pic>
              </a:graphicData>
            </a:graphic>
          </wp:inline>
        </w:drawing>
      </w:r>
    </w:p>
    <w:p w14:paraId="079A4CD1" w14:textId="77777777" w:rsidR="002D0E14" w:rsidRPr="003E17A2" w:rsidRDefault="00000000">
      <w:pPr>
        <w:spacing w:after="200"/>
        <w:jc w:val="center"/>
        <w:rPr>
          <w:rFonts w:ascii="標楷體" w:eastAsia="標楷體" w:hAnsi="標楷體"/>
        </w:rPr>
      </w:pPr>
      <w:r w:rsidRPr="003E17A2">
        <w:rPr>
          <w:rFonts w:ascii="標楷體" w:eastAsia="標楷體" w:hAnsi="標楷體"/>
          <w:sz w:val="20"/>
          <w:szCs w:val="20"/>
        </w:rPr>
        <w:lastRenderedPageBreak/>
        <w:t xml:space="preserve">圖 5-1　</w:t>
      </w:r>
      <w:proofErr w:type="spellStart"/>
      <w:r w:rsidRPr="003E17A2">
        <w:rPr>
          <w:rFonts w:ascii="標楷體" w:eastAsia="標楷體" w:hAnsi="標楷體"/>
          <w:sz w:val="20"/>
          <w:szCs w:val="20"/>
        </w:rPr>
        <w:t>公寓類建築、意外失火情境，十筆場景之三模式逃生率比較（資料來源：本模擬器</w:t>
      </w:r>
      <w:proofErr w:type="spellEnd"/>
      <w:r w:rsidRPr="003E17A2">
        <w:rPr>
          <w:rFonts w:ascii="標楷體" w:eastAsia="標楷體" w:hAnsi="標楷體"/>
          <w:sz w:val="20"/>
          <w:szCs w:val="20"/>
        </w:rPr>
        <w:t xml:space="preserve"> report </w:t>
      </w:r>
      <w:proofErr w:type="spellStart"/>
      <w:r w:rsidRPr="003E17A2">
        <w:rPr>
          <w:rFonts w:ascii="標楷體" w:eastAsia="標楷體" w:hAnsi="標楷體"/>
          <w:sz w:val="20"/>
          <w:szCs w:val="20"/>
        </w:rPr>
        <w:t>目錄數據總結</w:t>
      </w:r>
      <w:proofErr w:type="spellEnd"/>
      <w:r w:rsidRPr="003E17A2">
        <w:rPr>
          <w:rFonts w:ascii="標楷體" w:eastAsia="標楷體" w:hAnsi="標楷體"/>
          <w:sz w:val="20"/>
          <w:szCs w:val="20"/>
        </w:rPr>
        <w:t>）</w:t>
      </w:r>
    </w:p>
    <w:p w14:paraId="4581ABF7" w14:textId="77777777" w:rsidR="002D0E14" w:rsidRPr="003E17A2" w:rsidRDefault="00000000">
      <w:pPr>
        <w:spacing w:before="120" w:after="120"/>
        <w:ind w:firstLine="480"/>
        <w:jc w:val="both"/>
        <w:rPr>
          <w:rFonts w:ascii="標楷體" w:eastAsia="標楷體" w:hAnsi="標楷體"/>
        </w:rPr>
      </w:pPr>
      <w:proofErr w:type="spellStart"/>
      <w:r w:rsidRPr="003E17A2">
        <w:rPr>
          <w:rFonts w:ascii="標楷體" w:eastAsia="標楷體" w:hAnsi="標楷體"/>
          <w:b/>
          <w:bCs/>
        </w:rPr>
        <w:t>第二，起火原因決定逃生之可用時間窗口，進而影響系統介入之絕對成效</w:t>
      </w:r>
      <w:proofErr w:type="spellEnd"/>
      <w:r w:rsidRPr="003E17A2">
        <w:rPr>
          <w:rFonts w:ascii="標楷體" w:eastAsia="標楷體" w:hAnsi="標楷體"/>
          <w:b/>
          <w:bCs/>
        </w:rPr>
        <w:t>。</w:t>
      </w:r>
    </w:p>
    <w:p w14:paraId="1AAF0BDC"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四類起火原因中，意外失火（ACCIDENTAL）於兩種建築類型下之逃生率均為最高（低矮建築自</w:t>
      </w:r>
      <w:proofErr w:type="spellEnd"/>
      <w:r w:rsidRPr="003E17A2">
        <w:rPr>
          <w:rFonts w:ascii="標楷體" w:eastAsia="標楷體" w:hAnsi="標楷體"/>
        </w:rPr>
        <w:t xml:space="preserve"> 41% </w:t>
      </w:r>
      <w:proofErr w:type="spellStart"/>
      <w:r w:rsidRPr="003E17A2">
        <w:rPr>
          <w:rFonts w:ascii="標楷體" w:eastAsia="標楷體" w:hAnsi="標楷體"/>
        </w:rPr>
        <w:t>提升至</w:t>
      </w:r>
      <w:proofErr w:type="spellEnd"/>
      <w:r w:rsidRPr="003E17A2">
        <w:rPr>
          <w:rFonts w:ascii="標楷體" w:eastAsia="標楷體" w:hAnsi="標楷體"/>
        </w:rPr>
        <w:t xml:space="preserve"> 67%，</w:t>
      </w:r>
      <w:proofErr w:type="spellStart"/>
      <w:r w:rsidRPr="003E17A2">
        <w:rPr>
          <w:rFonts w:ascii="標楷體" w:eastAsia="標楷體" w:hAnsi="標楷體"/>
        </w:rPr>
        <w:t>公寓類建築自約</w:t>
      </w:r>
      <w:proofErr w:type="spellEnd"/>
      <w:r w:rsidRPr="003E17A2">
        <w:rPr>
          <w:rFonts w:ascii="標楷體" w:eastAsia="標楷體" w:hAnsi="標楷體"/>
        </w:rPr>
        <w:t xml:space="preserve"> 11% </w:t>
      </w:r>
      <w:proofErr w:type="spellStart"/>
      <w:r w:rsidRPr="003E17A2">
        <w:rPr>
          <w:rFonts w:ascii="標楷體" w:eastAsia="標楷體" w:hAnsi="標楷體"/>
        </w:rPr>
        <w:t>提升至</w:t>
      </w:r>
      <w:proofErr w:type="spellEnd"/>
      <w:r w:rsidRPr="003E17A2">
        <w:rPr>
          <w:rFonts w:ascii="標楷體" w:eastAsia="標楷體" w:hAnsi="標楷體"/>
        </w:rPr>
        <w:t xml:space="preserve"> 49%），</w:t>
      </w:r>
      <w:proofErr w:type="spellStart"/>
      <w:r w:rsidRPr="003E17A2">
        <w:rPr>
          <w:rFonts w:ascii="標楷體" w:eastAsia="標楷體" w:hAnsi="標楷體"/>
        </w:rPr>
        <w:t>此一現象之可能成因，為意外火災通常對應</w:t>
      </w:r>
      <w:proofErr w:type="spellEnd"/>
      <w:r w:rsidRPr="003E17A2">
        <w:rPr>
          <w:rFonts w:ascii="標楷體" w:eastAsia="標楷體" w:hAnsi="標楷體"/>
        </w:rPr>
        <w:t xml:space="preserve"> MEDIUM 等級之火災成長曲線，其熱釋放率成長速度低於電器走火（FAST）與化學或縱火（ULTRA_FAST），使人員擁有相對較多之反應時間。相對而言，縱火（ARSON）之逃生率於兩類建築中均偏低，尤其於公寓類建築中，DEFAULT </w:t>
      </w:r>
      <w:proofErr w:type="spellStart"/>
      <w:r w:rsidRPr="003E17A2">
        <w:rPr>
          <w:rFonts w:ascii="標楷體" w:eastAsia="標楷體" w:hAnsi="標楷體"/>
        </w:rPr>
        <w:t>情境逃生率僅約</w:t>
      </w:r>
      <w:proofErr w:type="spellEnd"/>
      <w:r w:rsidRPr="003E17A2">
        <w:rPr>
          <w:rFonts w:ascii="標楷體" w:eastAsia="標楷體" w:hAnsi="標楷體"/>
        </w:rPr>
        <w:t xml:space="preserve"> 6%，</w:t>
      </w:r>
      <w:proofErr w:type="spellStart"/>
      <w:r w:rsidRPr="003E17A2">
        <w:rPr>
          <w:rFonts w:ascii="標楷體" w:eastAsia="標楷體" w:hAnsi="標楷體"/>
        </w:rPr>
        <w:t>系統輔助後亦僅提升至</w:t>
      </w:r>
      <w:proofErr w:type="spellEnd"/>
      <w:r w:rsidRPr="003E17A2">
        <w:rPr>
          <w:rFonts w:ascii="標楷體" w:eastAsia="標楷體" w:hAnsi="標楷體"/>
        </w:rPr>
        <w:t xml:space="preserve"> 37% 至 39%。</w:t>
      </w:r>
      <w:proofErr w:type="spellStart"/>
      <w:r w:rsidRPr="003E17A2">
        <w:rPr>
          <w:rFonts w:ascii="標楷體" w:eastAsia="標楷體" w:hAnsi="標楷體"/>
        </w:rPr>
        <w:t>化學災害（CHEMICAL）於公寓類建築中之</w:t>
      </w:r>
      <w:proofErr w:type="spellEnd"/>
      <w:r w:rsidRPr="003E17A2">
        <w:rPr>
          <w:rFonts w:ascii="標楷體" w:eastAsia="標楷體" w:hAnsi="標楷體"/>
        </w:rPr>
        <w:t xml:space="preserve"> DEFAULT </w:t>
      </w:r>
      <w:proofErr w:type="spellStart"/>
      <w:r w:rsidRPr="003E17A2">
        <w:rPr>
          <w:rFonts w:ascii="標楷體" w:eastAsia="標楷體" w:hAnsi="標楷體"/>
        </w:rPr>
        <w:t>情境基礎逃生率為四類起火原因中最低（約</w:t>
      </w:r>
      <w:proofErr w:type="spellEnd"/>
      <w:r w:rsidRPr="003E17A2">
        <w:rPr>
          <w:rFonts w:ascii="標楷體" w:eastAsia="標楷體" w:hAnsi="標楷體"/>
        </w:rPr>
        <w:t xml:space="preserve"> 7.4%），</w:t>
      </w:r>
      <w:proofErr w:type="spellStart"/>
      <w:r w:rsidRPr="003E17A2">
        <w:rPr>
          <w:rFonts w:ascii="標楷體" w:eastAsia="標楷體" w:hAnsi="標楷體"/>
        </w:rPr>
        <w:t>然系統輔助後之提升幅度卻為四類中最大（提升約</w:t>
      </w:r>
      <w:proofErr w:type="spellEnd"/>
      <w:r w:rsidRPr="003E17A2">
        <w:rPr>
          <w:rFonts w:ascii="標楷體" w:eastAsia="標楷體" w:hAnsi="標楷體"/>
        </w:rPr>
        <w:t xml:space="preserve"> 44.5 個百分點），此一組合顯示化學災害因其猛烈與難以預測之特性，人員若僅依賴個人局部感知，逃生表現極為不利，但一旦有系統性之全域感測與路徑指引介入，其效益提升之絕對幅度即相對顯著。下圖為低矮建築十筆電器走火情境下之三模式逃生率比較，可見場次間之波動幅度較圖 5-1 </w:t>
      </w:r>
      <w:proofErr w:type="spellStart"/>
      <w:r w:rsidRPr="003E17A2">
        <w:rPr>
          <w:rFonts w:ascii="標楷體" w:eastAsia="標楷體" w:hAnsi="標楷體"/>
        </w:rPr>
        <w:t>為大，此一現象與第三項發現所述之邊際效益不穩定性相互呼應</w:t>
      </w:r>
      <w:proofErr w:type="spellEnd"/>
      <w:r w:rsidRPr="003E17A2">
        <w:rPr>
          <w:rFonts w:ascii="標楷體" w:eastAsia="標楷體" w:hAnsi="標楷體"/>
        </w:rPr>
        <w:t>。</w:t>
      </w:r>
    </w:p>
    <w:p w14:paraId="4866A454" w14:textId="77777777" w:rsidR="002D0E14" w:rsidRPr="003E17A2" w:rsidRDefault="00000000">
      <w:pPr>
        <w:spacing w:before="200" w:after="80"/>
        <w:jc w:val="center"/>
        <w:rPr>
          <w:rFonts w:ascii="標楷體" w:eastAsia="標楷體" w:hAnsi="標楷體"/>
        </w:rPr>
      </w:pPr>
      <w:r w:rsidRPr="003E17A2">
        <w:rPr>
          <w:rFonts w:ascii="標楷體" w:eastAsia="標楷體" w:hAnsi="標楷體"/>
          <w:noProof/>
        </w:rPr>
        <w:drawing>
          <wp:inline distT="0" distB="0" distL="0" distR="0" wp14:anchorId="17D4226F" wp14:editId="4039B50C">
            <wp:extent cx="4381500" cy="2152650"/>
            <wp:effectExtent l="0" t="0" r="0" b="0"/>
            <wp:docPr id="819446892" name="圖片 8194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152650"/>
                    </a:xfrm>
                    <a:prstGeom prst="rect">
                      <a:avLst/>
                    </a:prstGeom>
                  </pic:spPr>
                </pic:pic>
              </a:graphicData>
            </a:graphic>
          </wp:inline>
        </w:drawing>
      </w:r>
    </w:p>
    <w:p w14:paraId="24BB0734" w14:textId="77777777" w:rsidR="002D0E14" w:rsidRPr="003E17A2" w:rsidRDefault="00000000">
      <w:pPr>
        <w:spacing w:after="200"/>
        <w:jc w:val="center"/>
        <w:rPr>
          <w:rFonts w:ascii="標楷體" w:eastAsia="標楷體" w:hAnsi="標楷體"/>
        </w:rPr>
      </w:pPr>
      <w:r w:rsidRPr="003E17A2">
        <w:rPr>
          <w:rFonts w:ascii="標楷體" w:eastAsia="標楷體" w:hAnsi="標楷體"/>
          <w:sz w:val="20"/>
          <w:szCs w:val="20"/>
        </w:rPr>
        <w:t xml:space="preserve">圖 5-2　</w:t>
      </w:r>
      <w:proofErr w:type="spellStart"/>
      <w:r w:rsidRPr="003E17A2">
        <w:rPr>
          <w:rFonts w:ascii="標楷體" w:eastAsia="標楷體" w:hAnsi="標楷體"/>
          <w:sz w:val="20"/>
          <w:szCs w:val="20"/>
        </w:rPr>
        <w:t>低矮建築、電器走火情境，十筆場景之三模式逃生率比較（資料來源：本模擬器</w:t>
      </w:r>
      <w:proofErr w:type="spellEnd"/>
      <w:r w:rsidRPr="003E17A2">
        <w:rPr>
          <w:rFonts w:ascii="標楷體" w:eastAsia="標楷體" w:hAnsi="標楷體"/>
          <w:sz w:val="20"/>
          <w:szCs w:val="20"/>
        </w:rPr>
        <w:t xml:space="preserve"> report </w:t>
      </w:r>
      <w:proofErr w:type="spellStart"/>
      <w:r w:rsidRPr="003E17A2">
        <w:rPr>
          <w:rFonts w:ascii="標楷體" w:eastAsia="標楷體" w:hAnsi="標楷體"/>
          <w:sz w:val="20"/>
          <w:szCs w:val="20"/>
        </w:rPr>
        <w:t>目錄數據總結</w:t>
      </w:r>
      <w:proofErr w:type="spellEnd"/>
      <w:r w:rsidRPr="003E17A2">
        <w:rPr>
          <w:rFonts w:ascii="標楷體" w:eastAsia="標楷體" w:hAnsi="標楷體"/>
          <w:sz w:val="20"/>
          <w:szCs w:val="20"/>
        </w:rPr>
        <w:t>）</w:t>
      </w:r>
    </w:p>
    <w:p w14:paraId="361023D1" w14:textId="77777777" w:rsidR="002D0E14" w:rsidRPr="003E17A2" w:rsidRDefault="00000000">
      <w:pPr>
        <w:spacing w:before="120" w:after="120"/>
        <w:ind w:firstLine="480"/>
        <w:jc w:val="both"/>
        <w:rPr>
          <w:rFonts w:ascii="標楷體" w:eastAsia="標楷體" w:hAnsi="標楷體"/>
        </w:rPr>
      </w:pPr>
      <w:proofErr w:type="spellStart"/>
      <w:r w:rsidRPr="003E17A2">
        <w:rPr>
          <w:rFonts w:ascii="標楷體" w:eastAsia="標楷體" w:hAnsi="標楷體"/>
          <w:b/>
          <w:bCs/>
        </w:rPr>
        <w:t>第三，備援主動控制機制（HYBRID）之邊際效益，相較於「決策支援」機制（SMART）本身之效益，呈現較不穩定之波動</w:t>
      </w:r>
      <w:proofErr w:type="spellEnd"/>
      <w:r w:rsidRPr="003E17A2">
        <w:rPr>
          <w:rFonts w:ascii="標楷體" w:eastAsia="標楷體" w:hAnsi="標楷體"/>
          <w:b/>
          <w:bCs/>
        </w:rPr>
        <w:t>。</w:t>
      </w:r>
    </w:p>
    <w:p w14:paraId="243ADF2C"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多數情境下，「決策支援＋備援主動控制」相較於單純「決策支援」呈現進一步之逃生率提升（如低矮建築意外情境、公寓類建築電器情境），然亦有若干組別出現持平甚至輕微下降之現象，例如低矮建築之電器與縱火情境、公寓類建築之化學與縱火情境，其中公寓類建築縱火情境之降幅最為明顯（約 1.8 個百分點）。此一不穩定</w:t>
      </w:r>
      <w:r w:rsidRPr="003E17A2">
        <w:rPr>
          <w:rFonts w:ascii="標楷體" w:eastAsia="標楷體" w:hAnsi="標楷體"/>
        </w:rPr>
        <w:lastRenderedPageBreak/>
        <w:t>性，依開發者於數據總結文件中之分析，其可能成因有二：其一，各組樣本數僅十筆，本身即存在隨機波動之空間，此點於統計上係樣本規模有限所致，而非系統設計之必然缺陷；其二，於快速蔓延型火災（電器走火、縱火，對應 FAST 與 ULTRA_FAST 火災成長曲線）中，備援機制（主動關門與提升排煙換氣率）之啟動與生效速度，可能追趕不及火勢之發展速度，因此其邊際貢獻相對有限，不若「自無系統至有系統輔助」之提升具有結構性之顯著幅度。</w:t>
      </w:r>
    </w:p>
    <w:p w14:paraId="01905116"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此外，系統嚴重失誤機率此一風險性指標，於本研究所引用之樣本情境中，數值普遍偏低（如報表所載單一情境下</w:t>
      </w:r>
      <w:proofErr w:type="spellEnd"/>
      <w:r w:rsidRPr="003E17A2">
        <w:rPr>
          <w:rFonts w:ascii="標楷體" w:eastAsia="標楷體" w:hAnsi="標楷體"/>
        </w:rPr>
        <w:t xml:space="preserve"> SMART </w:t>
      </w:r>
      <w:proofErr w:type="spellStart"/>
      <w:r w:rsidRPr="003E17A2">
        <w:rPr>
          <w:rFonts w:ascii="標楷體" w:eastAsia="標楷體" w:hAnsi="標楷體"/>
        </w:rPr>
        <w:t>模式之系統嚴重失誤機率約</w:t>
      </w:r>
      <w:proofErr w:type="spellEnd"/>
      <w:r w:rsidRPr="003E17A2">
        <w:rPr>
          <w:rFonts w:ascii="標楷體" w:eastAsia="標楷體" w:hAnsi="標楷體"/>
        </w:rPr>
        <w:t xml:space="preserve"> 1.75% 至 2.22%，HYBRID </w:t>
      </w:r>
      <w:proofErr w:type="spellStart"/>
      <w:r w:rsidRPr="003E17A2">
        <w:rPr>
          <w:rFonts w:ascii="標楷體" w:eastAsia="標楷體" w:hAnsi="標楷體"/>
        </w:rPr>
        <w:t>模式則多數情境下為</w:t>
      </w:r>
      <w:proofErr w:type="spellEnd"/>
      <w:r w:rsidRPr="003E17A2">
        <w:rPr>
          <w:rFonts w:ascii="標楷體" w:eastAsia="標楷體" w:hAnsi="標楷體"/>
        </w:rPr>
        <w:t xml:space="preserve"> 0.00%），此一結果初步顯示，於本模擬所設定之簡化假設下，決策支援系統之介入，尚未觀察到大規模「系統介入反而導致原本可逃生者未能逃生」之現象；惟此一結論之外推範圍，應嚴格限定於本研究所測試之樣本規模與情境條件，不應直接推論至真實建築或其他未經測試之火災類型。</w:t>
      </w:r>
    </w:p>
    <w:p w14:paraId="18837204" w14:textId="77777777" w:rsidR="002D0E14" w:rsidRPr="003E17A2" w:rsidRDefault="00000000">
      <w:pPr>
        <w:pStyle w:val="2"/>
        <w:rPr>
          <w:rFonts w:ascii="標楷體" w:eastAsia="標楷體" w:hAnsi="標楷體"/>
        </w:rPr>
      </w:pPr>
      <w:r w:rsidRPr="003E17A2">
        <w:rPr>
          <w:rFonts w:ascii="標楷體" w:eastAsia="標楷體" w:hAnsi="標楷體"/>
        </w:rPr>
        <w:t xml:space="preserve">5.2　</w:t>
      </w:r>
      <w:proofErr w:type="spellStart"/>
      <w:r w:rsidRPr="003E17A2">
        <w:rPr>
          <w:rFonts w:ascii="標楷體" w:eastAsia="標楷體" w:hAnsi="標楷體"/>
        </w:rPr>
        <w:t>對構想之影響</w:t>
      </w:r>
      <w:proofErr w:type="spellEnd"/>
    </w:p>
    <w:p w14:paraId="05B9BFB3"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本研究之量化模擬結果，對第一章所述「公共場域火災決策支援系統」構想，具有以下三點具體意涵</w:t>
      </w:r>
      <w:proofErr w:type="spellEnd"/>
      <w:r w:rsidRPr="003E17A2">
        <w:rPr>
          <w:rFonts w:ascii="標楷體" w:eastAsia="標楷體" w:hAnsi="標楷體"/>
        </w:rPr>
        <w:t>。</w:t>
      </w:r>
    </w:p>
    <w:p w14:paraId="41FBF681"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第一，本研究之結果，為構想報告書所主張之核心命題——「決策支援系統之介入能改善火場逃生表現」——提供了一套獨立於介面設計之外、具備物理與統計基礎之初步佐證。構想報告書第 1.6 </w:t>
      </w:r>
      <w:proofErr w:type="spellStart"/>
      <w:r w:rsidRPr="003E17A2">
        <w:rPr>
          <w:rFonts w:ascii="標楷體" w:eastAsia="標楷體" w:hAnsi="標楷體"/>
        </w:rPr>
        <w:t>節所列具體目標之第三項為「建立具來源、時效與撤回機制的規則式決策支援</w:t>
      </w:r>
      <w:proofErr w:type="spellEnd"/>
      <w:r w:rsidRPr="003E17A2">
        <w:rPr>
          <w:rFonts w:ascii="標楷體" w:eastAsia="標楷體" w:hAnsi="標楷體"/>
        </w:rPr>
        <w:t>」，</w:t>
      </w:r>
      <w:proofErr w:type="spellStart"/>
      <w:r w:rsidRPr="003E17A2">
        <w:rPr>
          <w:rFonts w:ascii="標楷體" w:eastAsia="標楷體" w:hAnsi="標楷體"/>
        </w:rPr>
        <w:t>本研究第四章已確認此一規則式決策支援（Dijkstra</w:t>
      </w:r>
      <w:proofErr w:type="spellEnd"/>
      <w:r w:rsidRPr="003E17A2">
        <w:rPr>
          <w:rFonts w:ascii="標楷體" w:eastAsia="標楷體" w:hAnsi="標楷體"/>
        </w:rPr>
        <w:t xml:space="preserve"> 路徑規劃與危險硬性排除機制）於本模擬器中確實實作，且第五章之量化結果顯示，此一規則式決策支援於多數測試情境下，確實伴隨逃生率之提升，此一發現與構想報告書之核心主張方向一致。</w:t>
      </w:r>
    </w:p>
    <w:p w14:paraId="7A2C8518"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第二，本研究之條件依賴性發現，為構想報告書第</w:t>
      </w:r>
      <w:proofErr w:type="spellEnd"/>
      <w:r w:rsidRPr="003E17A2">
        <w:rPr>
          <w:rFonts w:ascii="標楷體" w:eastAsia="標楷體" w:hAnsi="標楷體"/>
        </w:rPr>
        <w:t xml:space="preserve"> 3.2 </w:t>
      </w:r>
      <w:proofErr w:type="spellStart"/>
      <w:r w:rsidRPr="003E17A2">
        <w:rPr>
          <w:rFonts w:ascii="標楷體" w:eastAsia="標楷體" w:hAnsi="標楷體"/>
        </w:rPr>
        <w:t>節「系統定位與應用範圍」所述之推廣策略，提供了更為具體之優先順序建議。構想報告書原將多樓層</w:t>
      </w:r>
      <w:proofErr w:type="spellEnd"/>
      <w:r w:rsidRPr="003E17A2">
        <w:rPr>
          <w:rFonts w:ascii="標楷體" w:eastAsia="標楷體" w:hAnsi="標楷體"/>
        </w:rPr>
        <w:t xml:space="preserve"> KTV 作為主要研究情境，本研究之量化結果進一步顯示，決策支援系統之邊際效益於高樓層、基礎逃生率偏低之建築情境中相對更大，此一發現可作為未來若依構想報告書第 4.12 </w:t>
      </w:r>
      <w:proofErr w:type="spellStart"/>
      <w:r w:rsidRPr="003E17A2">
        <w:rPr>
          <w:rFonts w:ascii="標楷體" w:eastAsia="標楷體" w:hAnsi="標楷體"/>
        </w:rPr>
        <w:t>節「既有公共場域導入方式」進行第二階段封閉場域試點時，優先選擇建築類型之量化參考依據</w:t>
      </w:r>
      <w:proofErr w:type="spellEnd"/>
      <w:r w:rsidRPr="003E17A2">
        <w:rPr>
          <w:rFonts w:ascii="標楷體" w:eastAsia="標楷體" w:hAnsi="標楷體"/>
        </w:rPr>
        <w:t>。</w:t>
      </w:r>
    </w:p>
    <w:p w14:paraId="18FAE428"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lastRenderedPageBreak/>
        <w:t>第三，本研究之系統嚴重失誤機率分析，直接回應並部分緩解了構想報告書第</w:t>
      </w:r>
      <w:proofErr w:type="spellEnd"/>
      <w:r w:rsidRPr="003E17A2">
        <w:rPr>
          <w:rFonts w:ascii="標楷體" w:eastAsia="標楷體" w:hAnsi="標楷體"/>
        </w:rPr>
        <w:t xml:space="preserve"> 1.4 節所列第四項流程瓶頸——「系統在資料不足時仍可能呈現過度精確的答案，造成過度信任」——之疑慮。惟本研究亦須指出，此一風險於本模擬中偏低之發現，係建立於本模擬器所設定之特定硬體限制參數（如感測器故障率 0.2%、</w:t>
      </w:r>
      <w:proofErr w:type="spellStart"/>
      <w:r w:rsidRPr="003E17A2">
        <w:rPr>
          <w:rFonts w:ascii="標楷體" w:eastAsia="標楷體" w:hAnsi="標楷體"/>
        </w:rPr>
        <w:t>行動裝置無電機率初始</w:t>
      </w:r>
      <w:proofErr w:type="spellEnd"/>
      <w:r w:rsidRPr="003E17A2">
        <w:rPr>
          <w:rFonts w:ascii="標楷體" w:eastAsia="標楷體" w:hAnsi="標楷體"/>
        </w:rPr>
        <w:t xml:space="preserve"> 5%）之上，若未來實際部署環境之硬體可靠度與本模擬假設存在落差，系統嚴重失誤機率之實際數值，仍需重新以真實硬體數據校準後之模擬進行評估，不宜逕行援引本研究之低機率結果作為實際部署之安全保證。</w:t>
      </w:r>
    </w:p>
    <w:p w14:paraId="6C0F7E83"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 xml:space="preserve">整體而言，本研究之量化模擬結果，於「方向性支持構想核心主張」之範圍內，為前述決策支援系統構想提供了具參考價值之補充證據；然依第一章重要聲明所載，此一支持不應被解讀為對構想「已證實可提升真實存活率」之背書，構想報告書第 7.3 </w:t>
      </w:r>
      <w:proofErr w:type="spellStart"/>
      <w:r w:rsidRPr="003E17A2">
        <w:rPr>
          <w:rFonts w:ascii="標楷體" w:eastAsia="標楷體" w:hAnsi="標楷體"/>
        </w:rPr>
        <w:t>節「目前限制」亦已自陳「未證明能提高真實存活率</w:t>
      </w:r>
      <w:proofErr w:type="spellEnd"/>
      <w:r w:rsidRPr="003E17A2">
        <w:rPr>
          <w:rFonts w:ascii="標楷體" w:eastAsia="標楷體" w:hAnsi="標楷體"/>
        </w:rPr>
        <w:t>」，</w:t>
      </w:r>
      <w:proofErr w:type="spellStart"/>
      <w:r w:rsidRPr="003E17A2">
        <w:rPr>
          <w:rFonts w:ascii="標楷體" w:eastAsia="標楷體" w:hAnsi="標楷體"/>
        </w:rPr>
        <w:t>本研究之結論與此一自我限制之陳述並無矛盾</w:t>
      </w:r>
      <w:proofErr w:type="spellEnd"/>
      <w:r w:rsidRPr="003E17A2">
        <w:rPr>
          <w:rFonts w:ascii="標楷體" w:eastAsia="標楷體" w:hAnsi="標楷體"/>
        </w:rPr>
        <w:t>。</w:t>
      </w:r>
    </w:p>
    <w:p w14:paraId="29755955" w14:textId="77777777" w:rsidR="002D0E14" w:rsidRPr="003E17A2" w:rsidRDefault="00000000">
      <w:pPr>
        <w:pStyle w:val="2"/>
        <w:rPr>
          <w:rFonts w:ascii="標楷體" w:eastAsia="標楷體" w:hAnsi="標楷體"/>
        </w:rPr>
      </w:pPr>
      <w:r w:rsidRPr="003E17A2">
        <w:rPr>
          <w:rFonts w:ascii="標楷體" w:eastAsia="標楷體" w:hAnsi="標楷體"/>
        </w:rPr>
        <w:t xml:space="preserve">5.3　</w:t>
      </w:r>
      <w:proofErr w:type="spellStart"/>
      <w:r w:rsidRPr="003E17A2">
        <w:rPr>
          <w:rFonts w:ascii="標楷體" w:eastAsia="標楷體" w:hAnsi="標楷體"/>
        </w:rPr>
        <w:t>研究限制</w:t>
      </w:r>
      <w:proofErr w:type="spellEnd"/>
    </w:p>
    <w:p w14:paraId="15F0E188"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本研究之限制，可歸納為以下五項，其中部分限制承接自模擬器原始文件之自我揭露，部分則為本研究於分析過程中另行歸納所得</w:t>
      </w:r>
      <w:proofErr w:type="spellEnd"/>
      <w:r w:rsidRPr="003E17A2">
        <w:rPr>
          <w:rFonts w:ascii="標楷體" w:eastAsia="標楷體" w:hAnsi="標楷體"/>
        </w:rPr>
        <w:t>。</w:t>
      </w:r>
    </w:p>
    <w:p w14:paraId="5508D51A"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第一，樣本規模有限，統計檢定力不足。本研究所引用之八十場情境模擬，於每一「建築類型</w:t>
      </w:r>
      <w:proofErr w:type="spellEnd"/>
      <w:r w:rsidRPr="003E17A2">
        <w:rPr>
          <w:rFonts w:ascii="標楷體" w:eastAsia="標楷體" w:hAnsi="標楷體"/>
        </w:rPr>
        <w:t xml:space="preserve"> × </w:t>
      </w:r>
      <w:proofErr w:type="spellStart"/>
      <w:r w:rsidRPr="003E17A2">
        <w:rPr>
          <w:rFonts w:ascii="標楷體" w:eastAsia="標楷體" w:hAnsi="標楷體"/>
        </w:rPr>
        <w:t>起火原因」組合下，僅各有十筆場景資料，此一樣本規模雖足以呈現方向性趨勢，然依第</w:t>
      </w:r>
      <w:proofErr w:type="spellEnd"/>
      <w:r w:rsidRPr="003E17A2">
        <w:rPr>
          <w:rFonts w:ascii="標楷體" w:eastAsia="標楷體" w:hAnsi="標楷體"/>
        </w:rPr>
        <w:t xml:space="preserve"> 5.1 節所述，亦是備援主動控制機制邊際效益呈現不穩定波動之可能成因之一。未來若欲取得具備統計顯著性檢定基礎之結論，須大幅擴增各組合下之場景重複次數。</w:t>
      </w:r>
    </w:p>
    <w:p w14:paraId="4EE43736"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第二，工程假設參數未經實證校準。依第三章第</w:t>
      </w:r>
      <w:proofErr w:type="spellEnd"/>
      <w:r w:rsidRPr="003E17A2">
        <w:rPr>
          <w:rFonts w:ascii="標楷體" w:eastAsia="標楷體" w:hAnsi="標楷體"/>
        </w:rPr>
        <w:t xml:space="preserve"> 3.1 </w:t>
      </w:r>
      <w:proofErr w:type="spellStart"/>
      <w:r w:rsidRPr="003E17A2">
        <w:rPr>
          <w:rFonts w:ascii="標楷體" w:eastAsia="標楷體" w:hAnsi="標楷體"/>
        </w:rPr>
        <w:t>節之分類，本模擬中屬於「純屬工程假設」層次之參數（如系統服從率</w:t>
      </w:r>
      <w:proofErr w:type="spellEnd"/>
      <w:r w:rsidRPr="003E17A2">
        <w:rPr>
          <w:rFonts w:ascii="標楷體" w:eastAsia="標楷體" w:hAnsi="標楷體"/>
        </w:rPr>
        <w:t xml:space="preserve"> 85%、各類硬體故障機率、人員社會行為機率），均未經真人受試者實驗或實際硬體妥善率統計之校準，其取值雖具備內部邏輯之合理性，然其準確程度尚無法與具備文獻直接對應之物理公式相提並論。</w:t>
      </w:r>
    </w:p>
    <w:p w14:paraId="2426FA9F"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三，建築模型與真實建築之對應關係有限。本研究第五章所稱之「低矮建築」與「公寓」，依開發者於數據總結文件補充說明所載，均為依規則生成之研究模型，其樓層規模、樓地板面積與角色配置雖參考公共場域之一般特性設定，然非對任何特</w:t>
      </w:r>
      <w:r w:rsidRPr="003E17A2">
        <w:rPr>
          <w:rFonts w:ascii="標楷體" w:eastAsia="標楷體" w:hAnsi="標楷體"/>
        </w:rPr>
        <w:lastRenderedPageBreak/>
        <w:t xml:space="preserve">定既有建築（包括構想報告書所引用之錢櫃 KTV </w:t>
      </w:r>
      <w:proofErr w:type="spellStart"/>
      <w:r w:rsidRPr="003E17A2">
        <w:rPr>
          <w:rFonts w:ascii="標楷體" w:eastAsia="標楷體" w:hAnsi="標楷體"/>
        </w:rPr>
        <w:t>案例）之精確重建，此一限制與第二章第</w:t>
      </w:r>
      <w:proofErr w:type="spellEnd"/>
      <w:r w:rsidRPr="003E17A2">
        <w:rPr>
          <w:rFonts w:ascii="標楷體" w:eastAsia="標楷體" w:hAnsi="標楷體"/>
        </w:rPr>
        <w:t xml:space="preserve"> 2.2 </w:t>
      </w:r>
      <w:proofErr w:type="spellStart"/>
      <w:r w:rsidRPr="003E17A2">
        <w:rPr>
          <w:rFonts w:ascii="標楷體" w:eastAsia="標楷體" w:hAnsi="標楷體"/>
        </w:rPr>
        <w:t>節所述網格化方法於建築幾何呈現上之侷限直接相關</w:t>
      </w:r>
      <w:proofErr w:type="spellEnd"/>
      <w:r w:rsidRPr="003E17A2">
        <w:rPr>
          <w:rFonts w:ascii="標楷體" w:eastAsia="標楷體" w:hAnsi="標楷體"/>
        </w:rPr>
        <w:t>。</w:t>
      </w:r>
    </w:p>
    <w:p w14:paraId="06695DBD"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第四，缺乏消防人員到場救援之機制。開發者於數據總結文件補充說明中明確記載，因時間限制，本模擬並未設計消防人員抵達之情形，亦未設置 119 消防專線之對應機制。此一限制之影響為：本模擬之逃生率數值，反映的是「人員完全依賴自救或系統輔助、無外部救援介入」之極端情境，與真實火災中消防人員可能提前到場搜救之情境有所落差，此亦是開發者自陳「難以使用現有之火災倖存率統計數據精準校正模擬」之直接原因。</w:t>
      </w:r>
    </w:p>
    <w:p w14:paraId="133DC313"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第五，未經專業審核與跨系統實證整合。依第一章重要聲明所載，本模擬器之規則庫尚未經消防專家審核，構想報告書第</w:t>
      </w:r>
      <w:proofErr w:type="spellEnd"/>
      <w:r w:rsidRPr="003E17A2">
        <w:rPr>
          <w:rFonts w:ascii="標楷體" w:eastAsia="標楷體" w:hAnsi="標楷體"/>
        </w:rPr>
        <w:t xml:space="preserve"> 4.6 </w:t>
      </w:r>
      <w:proofErr w:type="spellStart"/>
      <w:r w:rsidRPr="003E17A2">
        <w:rPr>
          <w:rFonts w:ascii="標楷體" w:eastAsia="標楷體" w:hAnsi="標楷體"/>
        </w:rPr>
        <w:t>節所述之生成式</w:t>
      </w:r>
      <w:proofErr w:type="spellEnd"/>
      <w:r w:rsidRPr="003E17A2">
        <w:rPr>
          <w:rFonts w:ascii="標楷體" w:eastAsia="標楷體" w:hAnsi="標楷體"/>
        </w:rPr>
        <w:t xml:space="preserve"> AI 應用，於本模擬器之執行期決策中亦未實際採用；此外，本模擬器與體驗示意模擬（第一人稱訓練系統）及構想報告書所述之研究／指揮分析端，依構想報告書 3.7 </w:t>
      </w:r>
      <w:proofErr w:type="spellStart"/>
      <w:r w:rsidRPr="003E17A2">
        <w:rPr>
          <w:rFonts w:ascii="標楷體" w:eastAsia="標楷體" w:hAnsi="標楷體"/>
        </w:rPr>
        <w:t>節所載，尚未形成正式之即時資料交換，三個子系統目前仍以各自獨立之原型型態存在</w:t>
      </w:r>
      <w:proofErr w:type="spellEnd"/>
      <w:r w:rsidRPr="003E17A2">
        <w:rPr>
          <w:rFonts w:ascii="標楷體" w:eastAsia="標楷體" w:hAnsi="標楷體"/>
        </w:rPr>
        <w:t>。</w:t>
      </w:r>
    </w:p>
    <w:p w14:paraId="43717835" w14:textId="77777777" w:rsidR="002D0E14" w:rsidRPr="003E17A2" w:rsidRDefault="00000000">
      <w:pPr>
        <w:pStyle w:val="2"/>
        <w:rPr>
          <w:rFonts w:ascii="標楷體" w:eastAsia="標楷體" w:hAnsi="標楷體"/>
        </w:rPr>
      </w:pPr>
      <w:r w:rsidRPr="003E17A2">
        <w:rPr>
          <w:rFonts w:ascii="標楷體" w:eastAsia="標楷體" w:hAnsi="標楷體"/>
        </w:rPr>
        <w:t xml:space="preserve">5.4　</w:t>
      </w:r>
      <w:proofErr w:type="spellStart"/>
      <w:r w:rsidRPr="003E17A2">
        <w:rPr>
          <w:rFonts w:ascii="標楷體" w:eastAsia="標楷體" w:hAnsi="標楷體"/>
        </w:rPr>
        <w:t>未來可做的研究</w:t>
      </w:r>
      <w:proofErr w:type="spellEnd"/>
    </w:p>
    <w:p w14:paraId="731D6DF4"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依據前述研究限制，本研究提出以下五項具體且可操作之未來研究方向，部分方向並直接呼應構想報告書第</w:t>
      </w:r>
      <w:proofErr w:type="spellEnd"/>
      <w:r w:rsidRPr="003E17A2">
        <w:rPr>
          <w:rFonts w:ascii="標楷體" w:eastAsia="標楷體" w:hAnsi="標楷體"/>
        </w:rPr>
        <w:t xml:space="preserve"> 7.4 </w:t>
      </w:r>
      <w:proofErr w:type="spellStart"/>
      <w:r w:rsidRPr="003E17A2">
        <w:rPr>
          <w:rFonts w:ascii="標楷體" w:eastAsia="標楷體" w:hAnsi="標楷體"/>
        </w:rPr>
        <w:t>節「未來驗證方向」所列之規劃</w:t>
      </w:r>
      <w:proofErr w:type="spellEnd"/>
      <w:r w:rsidRPr="003E17A2">
        <w:rPr>
          <w:rFonts w:ascii="標楷體" w:eastAsia="標楷體" w:hAnsi="標楷體"/>
        </w:rPr>
        <w:t>。</w:t>
      </w:r>
    </w:p>
    <w:p w14:paraId="4B102EA3"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第一，擴增樣本規模並引入正式統計檢定。建議於後續研究中，將每一「建築類型</w:t>
      </w:r>
      <w:proofErr w:type="spellEnd"/>
      <w:r w:rsidRPr="003E17A2">
        <w:rPr>
          <w:rFonts w:ascii="標楷體" w:eastAsia="標楷體" w:hAnsi="標楷體"/>
        </w:rPr>
        <w:t xml:space="preserve"> × 起火原因」組合之場景重複次數，自目前之十筆擴增至具備統計檢定力之規模，並對逃生率、死亡率等關鍵指標進行變異數分析或非參數檢定，以量化判斷本研究第 5.1 </w:t>
      </w:r>
      <w:proofErr w:type="spellStart"/>
      <w:r w:rsidRPr="003E17A2">
        <w:rPr>
          <w:rFonts w:ascii="標楷體" w:eastAsia="標楷體" w:hAnsi="標楷體"/>
        </w:rPr>
        <w:t>節所述之組間差異，是否達統計顯著水準，而非僅止於描述性統計之趨勢觀察</w:t>
      </w:r>
      <w:proofErr w:type="spellEnd"/>
      <w:r w:rsidRPr="003E17A2">
        <w:rPr>
          <w:rFonts w:ascii="標楷體" w:eastAsia="標楷體" w:hAnsi="標楷體"/>
        </w:rPr>
        <w:t>。</w:t>
      </w:r>
    </w:p>
    <w:p w14:paraId="46DA0CF0"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第二，以真人受試者疏散實驗，校準工程假設參數與人員行為模型。此一方向直接對應構想報告書第</w:t>
      </w:r>
      <w:proofErr w:type="spellEnd"/>
      <w:r w:rsidRPr="003E17A2">
        <w:rPr>
          <w:rFonts w:ascii="標楷體" w:eastAsia="標楷體" w:hAnsi="標楷體"/>
        </w:rPr>
        <w:t xml:space="preserve"> 7.4 節所列「真人先導測試」，建議以固定通知與動態撤回兩種資訊條件，招募約十至二十人進行對照實驗，量測其察覺時間、有效行動時間、過期資訊使用情形與改道時間，並將所得實證數據，用以校準本模擬器中系統服從率、恐慌易感度等純屬工程假設之參數。</w:t>
      </w:r>
    </w:p>
    <w:p w14:paraId="362F3857"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第三，以既有真實建築之平面圖與消防安全檢查資料，取代規則生成之研究模型。此一方向對應構想報告書第</w:t>
      </w:r>
      <w:proofErr w:type="spellEnd"/>
      <w:r w:rsidRPr="003E17A2">
        <w:rPr>
          <w:rFonts w:ascii="標楷體" w:eastAsia="標楷體" w:hAnsi="標楷體"/>
        </w:rPr>
        <w:t xml:space="preserve"> 7.4 節所列「建築資料驗證」，建議選取一個真實但非緊</w:t>
      </w:r>
      <w:r w:rsidRPr="003E17A2">
        <w:rPr>
          <w:rFonts w:ascii="標楷體" w:eastAsia="標楷體" w:hAnsi="標楷體"/>
        </w:rPr>
        <w:lastRenderedPageBreak/>
        <w:t>急使用中之場域，建立其精確平面模型並匯入本模擬器（可透過既有之自訂房間文字檔匯入機制實現），以檢驗模擬結果於真實建築拓樸下是否仍呈現與規則生成建築相似之趨勢。</w:t>
      </w:r>
    </w:p>
    <w:p w14:paraId="4C9143B0"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第四，補足消防人員到場救援之模擬機制。建議於後續版本中，依真實消防單位之出勤反應時間統計，加入「消防人員於特定</w:t>
      </w:r>
      <w:proofErr w:type="spellEnd"/>
      <w:r w:rsidRPr="003E17A2">
        <w:rPr>
          <w:rFonts w:ascii="標楷體" w:eastAsia="標楷體" w:hAnsi="標楷體"/>
        </w:rPr>
        <w:t xml:space="preserve"> Tick 後到場，並開始執行搜救或滅火行動」之模組，使模擬情境更貼近真實火災之完整應變流程，並使模擬所得之逃生率與死亡率數值，具備與官方火災統計資料進行更直接比對之基礎。</w:t>
      </w:r>
    </w:p>
    <w:p w14:paraId="7BDE87DB" w14:textId="77777777" w:rsidR="002D0E14" w:rsidRPr="003E17A2" w:rsidRDefault="00000000">
      <w:pPr>
        <w:spacing w:after="160" w:line="360" w:lineRule="auto"/>
        <w:ind w:firstLine="480"/>
        <w:jc w:val="both"/>
        <w:rPr>
          <w:rFonts w:ascii="標楷體" w:eastAsia="標楷體" w:hAnsi="標楷體"/>
        </w:rPr>
      </w:pPr>
      <w:proofErr w:type="spellStart"/>
      <w:r w:rsidRPr="003E17A2">
        <w:rPr>
          <w:rFonts w:ascii="標楷體" w:eastAsia="標楷體" w:hAnsi="標楷體"/>
        </w:rPr>
        <w:t>第五，重啟並完整校正網格單位換算實驗。依第四章第</w:t>
      </w:r>
      <w:proofErr w:type="spellEnd"/>
      <w:r w:rsidRPr="003E17A2">
        <w:rPr>
          <w:rFonts w:ascii="標楷體" w:eastAsia="標楷體" w:hAnsi="標楷體"/>
        </w:rPr>
        <w:t xml:space="preserve"> 4.6 </w:t>
      </w:r>
      <w:proofErr w:type="spellStart"/>
      <w:r w:rsidRPr="003E17A2">
        <w:rPr>
          <w:rFonts w:ascii="標楷體" w:eastAsia="標楷體" w:hAnsi="標楷體"/>
        </w:rPr>
        <w:t>節之技術檢討，建議後續研究若欲支援更大規模（如二十層以上）建築之模擬，應同步完成人員移動速度、CO</w:t>
      </w:r>
      <w:proofErr w:type="spellEnd"/>
      <w:r w:rsidRPr="003E17A2">
        <w:rPr>
          <w:rFonts w:ascii="標楷體" w:eastAsia="標楷體" w:hAnsi="標楷體"/>
        </w:rPr>
        <w:t xml:space="preserve"> 與煙霧擴散係數、生成速率三方面參數之重新校正，而非僅調整網格邊長，以避免第四章所述之尺度不一致問題，使本模擬器得以在更廣泛之建築規模範圍內，維持其逃生率結果與現實統計量級之合理對應關係。</w:t>
      </w:r>
    </w:p>
    <w:p w14:paraId="230EE35B" w14:textId="77777777" w:rsidR="002D0E14" w:rsidRPr="003E17A2" w:rsidRDefault="00000000">
      <w:pPr>
        <w:pStyle w:val="2"/>
        <w:rPr>
          <w:rFonts w:ascii="標楷體" w:eastAsia="標楷體" w:hAnsi="標楷體"/>
        </w:rPr>
      </w:pPr>
      <w:r w:rsidRPr="003E17A2">
        <w:rPr>
          <w:rFonts w:ascii="標楷體" w:eastAsia="標楷體" w:hAnsi="標楷體"/>
        </w:rPr>
        <w:t xml:space="preserve">5.5　</w:t>
      </w:r>
      <w:proofErr w:type="spellStart"/>
      <w:r w:rsidRPr="003E17A2">
        <w:rPr>
          <w:rFonts w:ascii="標楷體" w:eastAsia="標楷體" w:hAnsi="標楷體"/>
        </w:rPr>
        <w:t>總結</w:t>
      </w:r>
      <w:proofErr w:type="spellEnd"/>
    </w:p>
    <w:p w14:paraId="0D34EB36"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研究以第四屆「解決未來問題能力競賽」中「公共場域火災決策支援系統」構想為前提，針對其物理驗證預測模擬子系統，依序完成方法論檢視、可行性分析、系統分析與量化結論四個部分之研究工作。研究確認：本模擬器所依據之物理公式與統計分布，多數具備明確之國際標準或學術文獻對應，其邏輯結構未違背既有科學原則；本模擬結果具備方向性與宏觀量級之可驗證性，惟尚未完成與真實火災事件之定量精確校準；本模擬器之元資料夾結構、程式運行流程與類別架構，具備清楚之模組化設計，使各項物理假設得以逐一檢視與追溯；八十場情境模擬之量化結果顯示，決策支援系統之介入，於多數測試情境下伴隨逃生率之提升，且此一效益之幅度，於基礎逃生率偏低之高樓層建築情境中相對更大，惟備援主動控制機制之邊際效益，則因起火原因與樣本規模而呈現不穩定之波動。</w:t>
      </w:r>
    </w:p>
    <w:p w14:paraId="42301F3B" w14:textId="77777777" w:rsidR="002D0E14" w:rsidRPr="003E17A2" w:rsidRDefault="00000000">
      <w:pPr>
        <w:spacing w:after="160" w:line="360" w:lineRule="auto"/>
        <w:ind w:firstLine="480"/>
        <w:jc w:val="both"/>
        <w:rPr>
          <w:rFonts w:ascii="標楷體" w:eastAsia="標楷體" w:hAnsi="標楷體"/>
        </w:rPr>
      </w:pPr>
      <w:r w:rsidRPr="003E17A2">
        <w:rPr>
          <w:rFonts w:ascii="標楷體" w:eastAsia="標楷體" w:hAnsi="標楷體"/>
        </w:rPr>
        <w:t>本研究之整體貢獻，在於提供一套獨立於介面與流程設計之外、具備明確理論依據之量化驗證方法，使「公共場域火災決策支援系統」此一構想之可行性評估，得以同時涵蓋人機介面設計與物理成效驗證兩個層面。惟本研究亦一貫遵循第一章所立之重要聲明：本研究之一切模擬結果，均為特定簡化假設下之相對比較數據，不構成真實建築消防安全之法規依據，亦不宣稱能提升真實火場之存活率；其價值應理解為，</w:t>
      </w:r>
      <w:r w:rsidRPr="003E17A2">
        <w:rPr>
          <w:rFonts w:ascii="標楷體" w:eastAsia="標楷體" w:hAnsi="標楷體"/>
        </w:rPr>
        <w:lastRenderedPageBreak/>
        <w:t>在充分揭露前提與限制之前提下，為後續之消防專業驗證、真人受試者研究與真實建築資料校準，提供一組具方向性參考價值之初步量化證據。</w:t>
      </w:r>
    </w:p>
    <w:p w14:paraId="4B2ADF24" w14:textId="77777777" w:rsidR="002D0E14" w:rsidRPr="003E17A2" w:rsidRDefault="00000000">
      <w:pPr>
        <w:pStyle w:val="1"/>
        <w:pageBreakBefore/>
        <w:rPr>
          <w:rFonts w:ascii="標楷體" w:eastAsia="標楷體" w:hAnsi="標楷體"/>
        </w:rPr>
      </w:pPr>
      <w:proofErr w:type="spellStart"/>
      <w:r w:rsidRPr="003E17A2">
        <w:rPr>
          <w:rFonts w:ascii="標楷體" w:eastAsia="標楷體" w:hAnsi="標楷體"/>
        </w:rPr>
        <w:lastRenderedPageBreak/>
        <w:t>第六章</w:t>
      </w:r>
      <w:proofErr w:type="spellEnd"/>
      <w:r w:rsidRPr="003E17A2">
        <w:rPr>
          <w:rFonts w:ascii="標楷體" w:eastAsia="標楷體" w:hAnsi="標楷體"/>
        </w:rPr>
        <w:t xml:space="preserve">　</w:t>
      </w:r>
      <w:proofErr w:type="spellStart"/>
      <w:r w:rsidRPr="003E17A2">
        <w:rPr>
          <w:rFonts w:ascii="標楷體" w:eastAsia="標楷體" w:hAnsi="標楷體"/>
        </w:rPr>
        <w:t>參考文獻</w:t>
      </w:r>
      <w:proofErr w:type="spellEnd"/>
    </w:p>
    <w:p w14:paraId="46BF5792" w14:textId="77777777" w:rsidR="002D0E14" w:rsidRPr="003E17A2" w:rsidRDefault="00000000">
      <w:pPr>
        <w:spacing w:after="160" w:line="360" w:lineRule="auto"/>
        <w:jc w:val="both"/>
        <w:rPr>
          <w:rFonts w:ascii="標楷體" w:eastAsia="標楷體" w:hAnsi="標楷體"/>
        </w:rPr>
      </w:pPr>
      <w:proofErr w:type="spellStart"/>
      <w:r w:rsidRPr="003E17A2">
        <w:rPr>
          <w:rFonts w:ascii="標楷體" w:eastAsia="標楷體" w:hAnsi="標楷體"/>
        </w:rPr>
        <w:t>本研究之參考文獻，依</w:t>
      </w:r>
      <w:proofErr w:type="spellEnd"/>
      <w:r w:rsidRPr="003E17A2">
        <w:rPr>
          <w:rFonts w:ascii="標楷體" w:eastAsia="標楷體" w:hAnsi="標楷體"/>
        </w:rPr>
        <w:t xml:space="preserve"> IEEE 格式編排，內容涵蓋競賽構想成品（構想報告書、構想簡報、體驗示意模擬、物理驗證預測模擬）、官方事故調查資料、消防與防災研究文獻、流程再造與專業理論文獻，以及 </w:t>
      </w:r>
      <w:proofErr w:type="spellStart"/>
      <w:r w:rsidRPr="003E17A2">
        <w:rPr>
          <w:rFonts w:ascii="標楷體" w:eastAsia="標楷體" w:hAnsi="標楷體"/>
        </w:rPr>
        <w:t>AI、定位、建築資訊模型與相關技術標準，其中第</w:t>
      </w:r>
      <w:proofErr w:type="spellEnd"/>
      <w:r w:rsidRPr="003E17A2">
        <w:rPr>
          <w:rFonts w:ascii="標楷體" w:eastAsia="標楷體" w:hAnsi="標楷體"/>
        </w:rPr>
        <w:t xml:space="preserve"> [1] 至 [4] </w:t>
      </w:r>
      <w:proofErr w:type="spellStart"/>
      <w:r w:rsidRPr="003E17A2">
        <w:rPr>
          <w:rFonts w:ascii="標楷體" w:eastAsia="標楷體" w:hAnsi="標楷體"/>
        </w:rPr>
        <w:t>項為本研究直接分析之競賽構想成品原始檔案</w:t>
      </w:r>
      <w:proofErr w:type="spellEnd"/>
      <w:r w:rsidRPr="003E17A2">
        <w:rPr>
          <w:rFonts w:ascii="標楷體" w:eastAsia="標楷體" w:hAnsi="標楷體"/>
        </w:rPr>
        <w:t>。</w:t>
      </w:r>
    </w:p>
    <w:p w14:paraId="358F60AB" w14:textId="77777777" w:rsidR="002D0E14" w:rsidRPr="003E17A2" w:rsidRDefault="002D0E14">
      <w:pPr>
        <w:rPr>
          <w:rFonts w:ascii="標楷體" w:eastAsia="標楷體" w:hAnsi="標楷體"/>
        </w:rPr>
      </w:pPr>
    </w:p>
    <w:p w14:paraId="587C57C9"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　羅祺宗、李昱綺、梁倡瑋、林仲凱，《公共場域火災決策支援系統構想報告書》，中原大學第四屆「解決未來問題能力競賽」參賽作品，2026。</w:t>
      </w:r>
    </w:p>
    <w:p w14:paraId="3540A7CA"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　</w:t>
      </w:r>
      <w:proofErr w:type="spellStart"/>
      <w:r w:rsidRPr="003E17A2">
        <w:rPr>
          <w:rFonts w:ascii="標楷體" w:eastAsia="標楷體" w:hAnsi="標楷體"/>
        </w:rPr>
        <w:t>羅祺宗、李昱綺</w:t>
      </w:r>
      <w:proofErr w:type="spellEnd"/>
      <w:r w:rsidRPr="003E17A2">
        <w:rPr>
          <w:rFonts w:ascii="標楷體" w:eastAsia="標楷體" w:hAnsi="標楷體"/>
        </w:rPr>
        <w:t>，《</w:t>
      </w:r>
      <w:proofErr w:type="spellStart"/>
      <w:r w:rsidRPr="003E17A2">
        <w:rPr>
          <w:rFonts w:ascii="標楷體" w:eastAsia="標楷體" w:hAnsi="標楷體"/>
        </w:rPr>
        <w:t>公共場域火災決策支援系統構想報告簡報</w:t>
      </w:r>
      <w:proofErr w:type="spellEnd"/>
      <w:r w:rsidRPr="003E17A2">
        <w:rPr>
          <w:rFonts w:ascii="標楷體" w:eastAsia="標楷體" w:hAnsi="標楷體"/>
        </w:rPr>
        <w:t>》，中原大學第四屆「解決未來問題能力競賽」參賽作品，2026。</w:t>
      </w:r>
    </w:p>
    <w:p w14:paraId="0C71CE32"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[3]　羅祺宗，《體驗示意模擬》（v6.6，第一人稱民眾端訓練系統與研究／指揮分析端原型），中原大學第四屆「解決未來問題能力競賽」參賽作品原始碼，2026。</w:t>
      </w:r>
    </w:p>
    <w:p w14:paraId="05001787"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[4]　</w:t>
      </w:r>
      <w:proofErr w:type="spellStart"/>
      <w:r w:rsidRPr="003E17A2">
        <w:rPr>
          <w:rFonts w:ascii="標楷體" w:eastAsia="標楷體" w:hAnsi="標楷體"/>
        </w:rPr>
        <w:t>周孝倫</w:t>
      </w:r>
      <w:proofErr w:type="spellEnd"/>
      <w:r w:rsidRPr="003E17A2">
        <w:rPr>
          <w:rFonts w:ascii="標楷體" w:eastAsia="標楷體" w:hAnsi="標楷體"/>
        </w:rPr>
        <w:t>，《</w:t>
      </w:r>
      <w:proofErr w:type="spellStart"/>
      <w:r w:rsidRPr="003E17A2">
        <w:rPr>
          <w:rFonts w:ascii="標楷體" w:eastAsia="標楷體" w:hAnsi="標楷體"/>
        </w:rPr>
        <w:t>物理驗證預測模擬：火場決策支援系統效果量化模擬器</w:t>
      </w:r>
      <w:proofErr w:type="spellEnd"/>
      <w:r w:rsidRPr="003E17A2">
        <w:rPr>
          <w:rFonts w:ascii="標楷體" w:eastAsia="標楷體" w:hAnsi="標楷體"/>
        </w:rPr>
        <w:t>》，中原大學第四屆「解決未來問題能力競賽」參賽作品原始碼，2026。</w:t>
      </w:r>
    </w:p>
    <w:p w14:paraId="6F9354D5" w14:textId="77777777" w:rsidR="002D0E14" w:rsidRPr="003E17A2" w:rsidRDefault="00000000" w:rsidP="003E17A2">
      <w:pPr>
        <w:spacing w:after="140" w:line="300" w:lineRule="auto"/>
        <w:ind w:left="480" w:hanging="480"/>
        <w:rPr>
          <w:rFonts w:ascii="標楷體" w:eastAsia="標楷體" w:hAnsi="標楷體"/>
        </w:rPr>
      </w:pPr>
      <w:r w:rsidRPr="003E17A2">
        <w:rPr>
          <w:rFonts w:ascii="標楷體" w:eastAsia="標楷體" w:hAnsi="標楷體"/>
        </w:rPr>
        <w:t>[5]　內政部消防署</w:t>
      </w:r>
      <w:proofErr w:type="gramStart"/>
      <w:r w:rsidRPr="003E17A2">
        <w:rPr>
          <w:rFonts w:ascii="標楷體" w:eastAsia="標楷體" w:hAnsi="標楷體"/>
        </w:rPr>
        <w:t>，“</w:t>
      </w:r>
      <w:proofErr w:type="gramEnd"/>
      <w:r w:rsidRPr="003E17A2">
        <w:rPr>
          <w:rFonts w:ascii="標楷體" w:eastAsia="標楷體" w:hAnsi="標楷體"/>
        </w:rPr>
        <w:t xml:space="preserve">109 年 4 月 26 </w:t>
      </w:r>
      <w:proofErr w:type="spellStart"/>
      <w:r w:rsidRPr="003E17A2">
        <w:rPr>
          <w:rFonts w:ascii="標楷體" w:eastAsia="標楷體" w:hAnsi="標楷體"/>
        </w:rPr>
        <w:t>日錢櫃</w:t>
      </w:r>
      <w:proofErr w:type="spellEnd"/>
      <w:r w:rsidRPr="003E17A2">
        <w:rPr>
          <w:rFonts w:ascii="標楷體" w:eastAsia="標楷體" w:hAnsi="標楷體"/>
        </w:rPr>
        <w:t xml:space="preserve"> KTV </w:t>
      </w:r>
      <w:proofErr w:type="spellStart"/>
      <w:r w:rsidRPr="003E17A2">
        <w:rPr>
          <w:rFonts w:ascii="標楷體" w:eastAsia="標楷體" w:hAnsi="標楷體"/>
        </w:rPr>
        <w:t>林森館火災案－本署策進作為</w:t>
      </w:r>
      <w:proofErr w:type="spellEnd"/>
      <w:r w:rsidRPr="003E17A2">
        <w:rPr>
          <w:rFonts w:ascii="標楷體" w:eastAsia="標楷體" w:hAnsi="標楷體"/>
        </w:rPr>
        <w:t>，” 2020. [Online]. Available: https://www.nfa.gov.tw/cht/index.php?article_id=9802&amp;code=list&amp;flag=detail&amp;ids=1477</w:t>
      </w:r>
    </w:p>
    <w:p w14:paraId="022A5177" w14:textId="77777777" w:rsidR="002D0E14" w:rsidRPr="003E17A2" w:rsidRDefault="00000000" w:rsidP="003E17A2">
      <w:pPr>
        <w:spacing w:after="140" w:line="300" w:lineRule="auto"/>
        <w:ind w:left="480" w:hanging="480"/>
        <w:rPr>
          <w:rFonts w:ascii="標楷體" w:eastAsia="標楷體" w:hAnsi="標楷體"/>
        </w:rPr>
      </w:pPr>
      <w:r w:rsidRPr="003E17A2">
        <w:rPr>
          <w:rFonts w:ascii="標楷體" w:eastAsia="標楷體" w:hAnsi="標楷體"/>
        </w:rPr>
        <w:t xml:space="preserve">[6]　</w:t>
      </w:r>
      <w:proofErr w:type="spellStart"/>
      <w:r w:rsidRPr="003E17A2">
        <w:rPr>
          <w:rFonts w:ascii="標楷體" w:eastAsia="標楷體" w:hAnsi="標楷體"/>
        </w:rPr>
        <w:t>內政部消防署</w:t>
      </w:r>
      <w:proofErr w:type="spellEnd"/>
      <w:r w:rsidRPr="003E17A2">
        <w:rPr>
          <w:rFonts w:ascii="標楷體" w:eastAsia="標楷體" w:hAnsi="標楷體"/>
        </w:rPr>
        <w:t>，《</w:t>
      </w:r>
      <w:proofErr w:type="spellStart"/>
      <w:r w:rsidRPr="003E17A2">
        <w:rPr>
          <w:rFonts w:ascii="標楷體" w:eastAsia="標楷體" w:hAnsi="標楷體"/>
        </w:rPr>
        <w:t>消防署白皮書</w:t>
      </w:r>
      <w:proofErr w:type="spellEnd"/>
      <w:r w:rsidRPr="003E17A2">
        <w:rPr>
          <w:rFonts w:ascii="標楷體" w:eastAsia="標楷體" w:hAnsi="標楷體"/>
        </w:rPr>
        <w:t xml:space="preserve"> 2020》，提升視聽歌唱場所安全及強化消防搶救用設備，2020. [Online]. Available: https://ebook.nfa.gov.tw/whitepaper/109/</w:t>
      </w:r>
    </w:p>
    <w:p w14:paraId="2C83ECDE"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[7]　E. D. Kuligowski, Occupant Behavior in a High-rise Office Building Fire, National Institute of Standards and Technology, Gaithersburg, MD, USA, 2010.</w:t>
      </w:r>
    </w:p>
    <w:p w14:paraId="5C22C1B0"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[8]　M. </w:t>
      </w:r>
      <w:proofErr w:type="spellStart"/>
      <w:r w:rsidRPr="003E17A2">
        <w:rPr>
          <w:rFonts w:ascii="標楷體" w:eastAsia="標楷體" w:hAnsi="標楷體"/>
        </w:rPr>
        <w:t>Kinateder</w:t>
      </w:r>
      <w:proofErr w:type="spellEnd"/>
      <w:r w:rsidRPr="003E17A2">
        <w:rPr>
          <w:rFonts w:ascii="標楷體" w:eastAsia="標楷體" w:hAnsi="標楷體"/>
        </w:rPr>
        <w:t xml:space="preserve"> et al., A Review of Risk Perception in Building Fire Evacuation, NIST Technical Note 1840, National Institute of Standards and Technology, Gaithersburg, MD, USA, 2014.</w:t>
      </w:r>
    </w:p>
    <w:p w14:paraId="3C6D60E4"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[9]　J. D. Averill, P. A. Reneke, and R. D. Peacock, Required Safe Egress Time: Data and Modeling, National Institute of Standards and Technology, Gaithersburg, MD, USA, 2008.</w:t>
      </w:r>
    </w:p>
    <w:p w14:paraId="4B2AF081"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lastRenderedPageBreak/>
        <w:t>[10]　S. Gilbert et al., Human Behavior in Home Fires, NIST Technical Note 2191, National Institute of Standards and Technology, Gaithersburg, MD, USA, 2021.</w:t>
      </w:r>
    </w:p>
    <w:p w14:paraId="4959715C"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[11]　S. Gwynne et al., Modelling and Influencing Human </w:t>
      </w:r>
      <w:proofErr w:type="spellStart"/>
      <w:r w:rsidRPr="003E17A2">
        <w:rPr>
          <w:rFonts w:ascii="標楷體" w:eastAsia="標楷體" w:hAnsi="標楷體"/>
        </w:rPr>
        <w:t>Behaviour</w:t>
      </w:r>
      <w:proofErr w:type="spellEnd"/>
      <w:r w:rsidRPr="003E17A2">
        <w:rPr>
          <w:rFonts w:ascii="標楷體" w:eastAsia="標楷體" w:hAnsi="標楷體"/>
        </w:rPr>
        <w:t xml:space="preserve"> in Fire, National Institute of Standards and Technology, Gaithersburg, MD, USA, 2017.</w:t>
      </w:r>
    </w:p>
    <w:p w14:paraId="075EB0DD"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[12]　E. M. Goldratt and J. Cox, The Goal: A Process of Ongoing Improvement, Great Barrington, MA, USA: North River Press, 2014.</w:t>
      </w:r>
    </w:p>
    <w:p w14:paraId="56B3CAFA"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[13]　M. Hammer and J. Champy, Reengineering the Corporation, New York, NY, USA: </w:t>
      </w:r>
      <w:proofErr w:type="spellStart"/>
      <w:r w:rsidRPr="003E17A2">
        <w:rPr>
          <w:rFonts w:ascii="標楷體" w:eastAsia="標楷體" w:hAnsi="標楷體"/>
        </w:rPr>
        <w:t>HarperBusiness</w:t>
      </w:r>
      <w:proofErr w:type="spellEnd"/>
      <w:r w:rsidRPr="003E17A2">
        <w:rPr>
          <w:rFonts w:ascii="標楷體" w:eastAsia="標楷體" w:hAnsi="標楷體"/>
        </w:rPr>
        <w:t>, 1993.</w:t>
      </w:r>
    </w:p>
    <w:p w14:paraId="4A7EB79B"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[14]　E. Hollnagel, D. D. Woods, and N. Leveson, Eds., Resilience Engineering: Concepts and Precepts, Farnham, UK: Ashgate, 2006.</w:t>
      </w:r>
    </w:p>
    <w:p w14:paraId="7A568687"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[15]　ISO 9241-210:2019, Ergonomics of Human-system Interaction — Human-</w:t>
      </w:r>
      <w:proofErr w:type="spellStart"/>
      <w:r w:rsidRPr="003E17A2">
        <w:rPr>
          <w:rFonts w:ascii="標楷體" w:eastAsia="標楷體" w:hAnsi="標楷體"/>
        </w:rPr>
        <w:t>centred</w:t>
      </w:r>
      <w:proofErr w:type="spellEnd"/>
      <w:r w:rsidRPr="003E17A2">
        <w:rPr>
          <w:rFonts w:ascii="標楷體" w:eastAsia="標楷體" w:hAnsi="標楷體"/>
        </w:rPr>
        <w:t xml:space="preserve"> Design for Interactive Systems, International Organization for Standardization, Geneva, Switzerland, 2019.</w:t>
      </w:r>
    </w:p>
    <w:p w14:paraId="6473E559"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[16]　K. B. McGrattan et al., Fire Dynamics Simulator (FDS) User's Guide, 6th ed., NIST SP 1019, National Institute of Standards and Technology, Gaithersburg, MD, USA. [Online]. Available: https://pages.nist.gov/fds-smv/</w:t>
      </w:r>
    </w:p>
    <w:p w14:paraId="4D326E5C"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[17]　National Institute of Standards and Technology, Artificial Intelligence Risk Management Framework (AI RMF 1.0), NIST AI 100-1, Gaithersburg, MD, USA, 2023.</w:t>
      </w:r>
    </w:p>
    <w:p w14:paraId="22C08FE6"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[18]　National Institute of Standards and Technology, Artificial Intelligence Risk Management Framework: Generative Artificial Intelligence Profile, Gaithersburg, MD, USA, 2024.</w:t>
      </w:r>
    </w:p>
    <w:p w14:paraId="505D212D"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[19]　Bluetooth SIG, “Bluetooth Direction Finding and Indoor Positioning Service.” [Online]. Available: https://www.bluetooth.com/</w:t>
      </w:r>
    </w:p>
    <w:p w14:paraId="1FCEA526"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[20]　</w:t>
      </w:r>
      <w:proofErr w:type="spellStart"/>
      <w:r w:rsidRPr="003E17A2">
        <w:rPr>
          <w:rFonts w:ascii="標楷體" w:eastAsia="標楷體" w:hAnsi="標楷體"/>
        </w:rPr>
        <w:t>FiRa</w:t>
      </w:r>
      <w:proofErr w:type="spellEnd"/>
      <w:r w:rsidRPr="003E17A2">
        <w:rPr>
          <w:rFonts w:ascii="標楷體" w:eastAsia="標楷體" w:hAnsi="標楷體"/>
        </w:rPr>
        <w:t xml:space="preserve"> Consortium, “UWB Indoor Positioning and Untracked Indoor Navigation.” [Online]. Available: https://www.firaconsortium.org/</w:t>
      </w:r>
    </w:p>
    <w:p w14:paraId="55A26890"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[21]　</w:t>
      </w:r>
      <w:proofErr w:type="spellStart"/>
      <w:r w:rsidRPr="003E17A2">
        <w:rPr>
          <w:rFonts w:ascii="標楷體" w:eastAsia="標楷體" w:hAnsi="標楷體"/>
        </w:rPr>
        <w:t>buildingSMART</w:t>
      </w:r>
      <w:proofErr w:type="spellEnd"/>
      <w:r w:rsidRPr="003E17A2">
        <w:rPr>
          <w:rFonts w:ascii="標楷體" w:eastAsia="標楷體" w:hAnsi="標楷體"/>
        </w:rPr>
        <w:t xml:space="preserve"> International, Industry Foundation Classes (IFC), ISO 16739. [Online]. Available: https://www.buildingsmart.org/</w:t>
      </w:r>
    </w:p>
    <w:p w14:paraId="52923A46"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lastRenderedPageBreak/>
        <w:t>[22]　M. Iorga et al., Fog Computing Conceptual Model, NIST SP 500-325, National Institute of Standards and Technology, Gaithersburg, MD, USA, 2018.</w:t>
      </w:r>
    </w:p>
    <w:p w14:paraId="4ED260BA"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[23]　</w:t>
      </w:r>
      <w:proofErr w:type="spellStart"/>
      <w:r w:rsidRPr="003E17A2">
        <w:rPr>
          <w:rFonts w:ascii="標楷體" w:eastAsia="標楷體" w:hAnsi="標楷體"/>
        </w:rPr>
        <w:t>法務部全國法規資料庫</w:t>
      </w:r>
      <w:proofErr w:type="spellEnd"/>
      <w:r w:rsidRPr="003E17A2">
        <w:rPr>
          <w:rFonts w:ascii="標楷體" w:eastAsia="標楷體" w:hAnsi="標楷體"/>
        </w:rPr>
        <w:t>，《</w:t>
      </w:r>
      <w:proofErr w:type="spellStart"/>
      <w:r w:rsidRPr="003E17A2">
        <w:rPr>
          <w:rFonts w:ascii="標楷體" w:eastAsia="標楷體" w:hAnsi="標楷體"/>
        </w:rPr>
        <w:t>個人資料保護法</w:t>
      </w:r>
      <w:proofErr w:type="spellEnd"/>
      <w:r w:rsidRPr="003E17A2">
        <w:rPr>
          <w:rFonts w:ascii="標楷體" w:eastAsia="標楷體" w:hAnsi="標楷體"/>
        </w:rPr>
        <w:t>》. [Online]. Available: https://law.moj.gov.tw/LawClass/LawAll.aspx?PCode=I0050021</w:t>
      </w:r>
    </w:p>
    <w:p w14:paraId="77D59C7A"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[24]　</w:t>
      </w:r>
      <w:proofErr w:type="spellStart"/>
      <w:r w:rsidRPr="003E17A2">
        <w:rPr>
          <w:rFonts w:ascii="標楷體" w:eastAsia="標楷體" w:hAnsi="標楷體"/>
        </w:rPr>
        <w:t>法務部全國法規資料庫</w:t>
      </w:r>
      <w:proofErr w:type="spellEnd"/>
      <w:r w:rsidRPr="003E17A2">
        <w:rPr>
          <w:rFonts w:ascii="標楷體" w:eastAsia="標楷體" w:hAnsi="標楷體"/>
        </w:rPr>
        <w:t>，《</w:t>
      </w:r>
      <w:proofErr w:type="spellStart"/>
      <w:r w:rsidRPr="003E17A2">
        <w:rPr>
          <w:rFonts w:ascii="標楷體" w:eastAsia="標楷體" w:hAnsi="標楷體"/>
        </w:rPr>
        <w:t>消防法</w:t>
      </w:r>
      <w:proofErr w:type="spellEnd"/>
      <w:r w:rsidRPr="003E17A2">
        <w:rPr>
          <w:rFonts w:ascii="標楷體" w:eastAsia="標楷體" w:hAnsi="標楷體"/>
        </w:rPr>
        <w:t>》. [Online]. Available: https://law.moj.gov.tw/</w:t>
      </w:r>
    </w:p>
    <w:p w14:paraId="58E0FD83"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[25]　</w:t>
      </w:r>
      <w:proofErr w:type="spellStart"/>
      <w:r w:rsidRPr="003E17A2">
        <w:rPr>
          <w:rFonts w:ascii="標楷體" w:eastAsia="標楷體" w:hAnsi="標楷體"/>
        </w:rPr>
        <w:t>法務部全國法規資料庫</w:t>
      </w:r>
      <w:proofErr w:type="spellEnd"/>
      <w:r w:rsidRPr="003E17A2">
        <w:rPr>
          <w:rFonts w:ascii="標楷體" w:eastAsia="標楷體" w:hAnsi="標楷體"/>
        </w:rPr>
        <w:t>，《</w:t>
      </w:r>
      <w:proofErr w:type="spellStart"/>
      <w:r w:rsidRPr="003E17A2">
        <w:rPr>
          <w:rFonts w:ascii="標楷體" w:eastAsia="標楷體" w:hAnsi="標楷體"/>
        </w:rPr>
        <w:t>建築法</w:t>
      </w:r>
      <w:proofErr w:type="spellEnd"/>
      <w:r w:rsidRPr="003E17A2">
        <w:rPr>
          <w:rFonts w:ascii="標楷體" w:eastAsia="標楷體" w:hAnsi="標楷體"/>
        </w:rPr>
        <w:t>》. [Online]. Available: https://law.moj.gov.tw/LawClass/LawAll.aspx?pcode=D0070109</w:t>
      </w:r>
    </w:p>
    <w:p w14:paraId="4A6A7AE8"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 xml:space="preserve">[26]　</w:t>
      </w:r>
      <w:proofErr w:type="spellStart"/>
      <w:r w:rsidRPr="003E17A2">
        <w:rPr>
          <w:rFonts w:ascii="標楷體" w:eastAsia="標楷體" w:hAnsi="標楷體"/>
        </w:rPr>
        <w:t>中原大學</w:t>
      </w:r>
      <w:proofErr w:type="spellEnd"/>
      <w:r w:rsidRPr="003E17A2">
        <w:rPr>
          <w:rFonts w:ascii="標楷體" w:eastAsia="標楷體" w:hAnsi="標楷體"/>
        </w:rPr>
        <w:t>，《</w:t>
      </w:r>
      <w:proofErr w:type="spellStart"/>
      <w:r w:rsidRPr="003E17A2">
        <w:rPr>
          <w:rFonts w:ascii="標楷體" w:eastAsia="標楷體" w:hAnsi="標楷體"/>
        </w:rPr>
        <w:t>第四屆「解決未來問題能力競賽」活動簡章</w:t>
      </w:r>
      <w:proofErr w:type="spellEnd"/>
      <w:r w:rsidRPr="003E17A2">
        <w:rPr>
          <w:rFonts w:ascii="標楷體" w:eastAsia="標楷體" w:hAnsi="標楷體"/>
        </w:rPr>
        <w:t>》，2026。</w:t>
      </w:r>
    </w:p>
    <w:p w14:paraId="71F9FAD5"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[27]　International Organization for Standardization, ISO 13571:2012, Life-threatening Components of Fire — Guidelines for the Estimation of Time Available for Escape Using Fire Data, Geneva, Switzerland, 2012.</w:t>
      </w:r>
    </w:p>
    <w:p w14:paraId="1E18B471"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[28]　D. A. Purser, “Assessment of hazards to occupants from smoke, toxic gases, and heat,” in SFPE Handbook of Fire Protection Engineering, 5th ed., Springer, 2016, pp. 2308–2428.</w:t>
      </w:r>
    </w:p>
    <w:p w14:paraId="34CF1EA8"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[29]　National Fire Protection Association, NFPA 92: Standard for Smoke Control Systems, Quincy, MA, USA: NFPA, 2021.</w:t>
      </w:r>
    </w:p>
    <w:p w14:paraId="08D7D113"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[30]　Society of Fire Protection Engineers, SFPE Handbook of Fire Protection Engineering, 5th ed., New York, NY, USA: Springer, 2016.</w:t>
      </w:r>
    </w:p>
    <w:p w14:paraId="5A7C88AA"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[31]　J. J. Fruin, Pedestrian Planning and Design, New York, NY, USA: Metropolitan Association of Urban Designers and Environmental Planners, 1971.</w:t>
      </w:r>
    </w:p>
    <w:p w14:paraId="7693B586"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[32]　UL 1784, Standard for Air Leakage Tests of Door Assemblies and Other Opening Protectives, Underwriters Laboratories, Northbrook, IL, USA.</w:t>
      </w:r>
    </w:p>
    <w:p w14:paraId="1BA7D8BB"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[33]　National Fire Protection Association, NFPA 105: Standard for Smoke Door Assemblies and Other Opening Protectives, Quincy, MA, USA: NFPA.</w:t>
      </w:r>
    </w:p>
    <w:p w14:paraId="11324BF0" w14:textId="77777777" w:rsidR="002D0E14" w:rsidRPr="003E17A2" w:rsidRDefault="00000000">
      <w:pPr>
        <w:spacing w:after="140" w:line="300" w:lineRule="auto"/>
        <w:ind w:left="480" w:hanging="480"/>
        <w:jc w:val="both"/>
        <w:rPr>
          <w:rFonts w:ascii="標楷體" w:eastAsia="標楷體" w:hAnsi="標楷體"/>
        </w:rPr>
      </w:pPr>
      <w:r w:rsidRPr="003E17A2">
        <w:rPr>
          <w:rFonts w:ascii="標楷體" w:eastAsia="標楷體" w:hAnsi="標楷體"/>
        </w:rPr>
        <w:t>[34]　International Code Council, International Building Code (IBC), Country Club Hills, IL, USA: ICC.</w:t>
      </w:r>
    </w:p>
    <w:sectPr w:rsidR="002D0E14" w:rsidRPr="003E17A2">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0FA1" w14:textId="77777777" w:rsidR="00A623E0" w:rsidRDefault="00A623E0">
      <w:r>
        <w:separator/>
      </w:r>
    </w:p>
  </w:endnote>
  <w:endnote w:type="continuationSeparator" w:id="0">
    <w:p w14:paraId="7681DACA" w14:textId="77777777" w:rsidR="00A623E0" w:rsidRDefault="00A62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561D" w14:textId="77777777" w:rsidR="002D0E14" w:rsidRDefault="00000000">
    <w:pPr>
      <w:jc w:val="center"/>
    </w:pPr>
    <w:r>
      <w:rPr>
        <w:sz w:val="20"/>
        <w:szCs w:val="20"/>
      </w:rPr>
      <w:fldChar w:fldCharType="begin"/>
    </w:r>
    <w:r>
      <w:rPr>
        <w:rFonts w:eastAsia="Times New Roman"/>
        <w:sz w:val="20"/>
        <w:szCs w:val="20"/>
      </w:rPr>
      <w:instrText>PAGE</w:instrText>
    </w:r>
    <w:r>
      <w:rPr>
        <w:sz w:val="20"/>
        <w:szCs w:val="20"/>
      </w:rPr>
      <w:fldChar w:fldCharType="separate"/>
    </w:r>
    <w:r w:rsidR="003E17A2">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F519" w14:textId="77777777" w:rsidR="002D0E14" w:rsidRDefault="00000000">
    <w:pPr>
      <w:jc w:val="center"/>
    </w:pPr>
    <w:r>
      <w:rPr>
        <w:sz w:val="20"/>
        <w:szCs w:val="20"/>
      </w:rPr>
      <w:fldChar w:fldCharType="begin"/>
    </w:r>
    <w:r>
      <w:rPr>
        <w:rFonts w:eastAsia="Times New Roman"/>
        <w:sz w:val="20"/>
        <w:szCs w:val="20"/>
      </w:rPr>
      <w:instrText>PAGE</w:instrText>
    </w:r>
    <w:r>
      <w:rPr>
        <w:sz w:val="20"/>
        <w:szCs w:val="20"/>
      </w:rPr>
      <w:fldChar w:fldCharType="separate"/>
    </w:r>
    <w:r w:rsidR="003E17A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2456" w14:textId="77777777" w:rsidR="00A623E0" w:rsidRDefault="00A623E0">
      <w:r>
        <w:separator/>
      </w:r>
    </w:p>
  </w:footnote>
  <w:footnote w:type="continuationSeparator" w:id="0">
    <w:p w14:paraId="671068E6" w14:textId="77777777" w:rsidR="00A623E0" w:rsidRDefault="00A62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1294A"/>
    <w:multiLevelType w:val="hybridMultilevel"/>
    <w:tmpl w:val="C936AE0E"/>
    <w:lvl w:ilvl="0" w:tplc="D9F4FD9E">
      <w:start w:val="1"/>
      <w:numFmt w:val="bullet"/>
      <w:lvlText w:val="●"/>
      <w:lvlJc w:val="left"/>
      <w:pPr>
        <w:ind w:left="720" w:hanging="360"/>
      </w:pPr>
    </w:lvl>
    <w:lvl w:ilvl="1" w:tplc="48287E24">
      <w:start w:val="1"/>
      <w:numFmt w:val="bullet"/>
      <w:lvlText w:val="○"/>
      <w:lvlJc w:val="left"/>
      <w:pPr>
        <w:ind w:left="1440" w:hanging="360"/>
      </w:pPr>
    </w:lvl>
    <w:lvl w:ilvl="2" w:tplc="9EF80D76">
      <w:start w:val="1"/>
      <w:numFmt w:val="bullet"/>
      <w:lvlText w:val="■"/>
      <w:lvlJc w:val="left"/>
      <w:pPr>
        <w:ind w:left="2160" w:hanging="360"/>
      </w:pPr>
    </w:lvl>
    <w:lvl w:ilvl="3" w:tplc="B03437D4">
      <w:start w:val="1"/>
      <w:numFmt w:val="bullet"/>
      <w:lvlText w:val="●"/>
      <w:lvlJc w:val="left"/>
      <w:pPr>
        <w:ind w:left="2880" w:hanging="360"/>
      </w:pPr>
    </w:lvl>
    <w:lvl w:ilvl="4" w:tplc="167012C0">
      <w:start w:val="1"/>
      <w:numFmt w:val="bullet"/>
      <w:lvlText w:val="○"/>
      <w:lvlJc w:val="left"/>
      <w:pPr>
        <w:ind w:left="3600" w:hanging="360"/>
      </w:pPr>
    </w:lvl>
    <w:lvl w:ilvl="5" w:tplc="9CF4C4D8">
      <w:start w:val="1"/>
      <w:numFmt w:val="bullet"/>
      <w:lvlText w:val="■"/>
      <w:lvlJc w:val="left"/>
      <w:pPr>
        <w:ind w:left="4320" w:hanging="360"/>
      </w:pPr>
    </w:lvl>
    <w:lvl w:ilvl="6" w:tplc="31E2F510">
      <w:start w:val="1"/>
      <w:numFmt w:val="bullet"/>
      <w:lvlText w:val="●"/>
      <w:lvlJc w:val="left"/>
      <w:pPr>
        <w:ind w:left="5040" w:hanging="360"/>
      </w:pPr>
    </w:lvl>
    <w:lvl w:ilvl="7" w:tplc="2CB0EA24">
      <w:start w:val="1"/>
      <w:numFmt w:val="bullet"/>
      <w:lvlText w:val="●"/>
      <w:lvlJc w:val="left"/>
      <w:pPr>
        <w:ind w:left="5760" w:hanging="360"/>
      </w:pPr>
    </w:lvl>
    <w:lvl w:ilvl="8" w:tplc="EAF8ED54">
      <w:start w:val="1"/>
      <w:numFmt w:val="bullet"/>
      <w:lvlText w:val="●"/>
      <w:lvlJc w:val="left"/>
      <w:pPr>
        <w:ind w:left="6480" w:hanging="360"/>
      </w:pPr>
    </w:lvl>
  </w:abstractNum>
  <w:num w:numId="1" w16cid:durableId="1681274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14"/>
    <w:rsid w:val="002D0E14"/>
    <w:rsid w:val="003E17A2"/>
    <w:rsid w:val="0042614B"/>
    <w:rsid w:val="00A623E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F73BF"/>
  <w15:docId w15:val="{B377F309-5647-46A8-A68D-796BDE79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360"/>
      <w:jc w:val="center"/>
      <w:outlineLvl w:val="0"/>
    </w:pPr>
    <w:rPr>
      <w:rFonts w:eastAsia="Times New Roman"/>
      <w:b/>
      <w:bCs/>
      <w:sz w:val="48"/>
      <w:szCs w:val="48"/>
    </w:rPr>
  </w:style>
  <w:style w:type="paragraph" w:styleId="2">
    <w:name w:val="heading 2"/>
    <w:uiPriority w:val="9"/>
    <w:unhideWhenUsed/>
    <w:qFormat/>
    <w:pPr>
      <w:spacing w:before="320" w:after="200"/>
      <w:outlineLvl w:val="1"/>
    </w:pPr>
    <w:rPr>
      <w:rFonts w:eastAsia="Times New Roman"/>
      <w:b/>
      <w:bCs/>
      <w:sz w:val="36"/>
      <w:szCs w:val="36"/>
    </w:rPr>
  </w:style>
  <w:style w:type="paragraph" w:styleId="3">
    <w:name w:val="heading 3"/>
    <w:uiPriority w:val="9"/>
    <w:semiHidden/>
    <w:unhideWhenUsed/>
    <w:qFormat/>
    <w:pPr>
      <w:spacing w:before="240" w:after="160"/>
      <w:outlineLvl w:val="2"/>
    </w:pPr>
    <w:rPr>
      <w:rFonts w:eastAsia="Times New Roman"/>
      <w:b/>
      <w:bCs/>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5102</Words>
  <Characters>29088</Characters>
  <Application>Microsoft Office Word</Application>
  <DocSecurity>0</DocSecurity>
  <Lines>242</Lines>
  <Paragraphs>68</Paragraphs>
  <ScaleCrop>false</ScaleCrop>
  <Company/>
  <LinksUpToDate>false</LinksUpToDate>
  <CharactersWithSpaces>34122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公共場域火災決策支援系統之物理驗證預測模擬：構想落地量化成效之專題研究</dc:title>
  <dc:creator>周孝倫</dc:creator>
  <cp:lastModifiedBy>孝倫 周</cp:lastModifiedBy>
  <cp:revision>2</cp:revision>
  <dcterms:created xsi:type="dcterms:W3CDTF">2026-07-28T01:31:00Z</dcterms:created>
  <dcterms:modified xsi:type="dcterms:W3CDTF">2026-07-28T01:43:00Z</dcterms:modified>
</cp:coreProperties>
</file>