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384"/>
      </w:pPr>
      <w:r>
        <w:rPr>
          <w:rFonts w:ascii="맑은 고딕" w:hAnsi="맑은 고딕" w:eastAsia="맑은 고딕" w:cs="맑은 고딕"/>
          <w:b/>
          <w:i w:val="0"/>
          <w:color w:val="1F4E36"/>
          <w:sz w:val="36"/>
        </w:rPr>
        <w:t>기업이 신고한 탄소, 위성으로 검증해 봤습니다</w:t>
      </w:r>
    </w:p>
    <w:p>
      <w:pPr>
        <w:spacing w:before="360" w:after="120" w:lineRule="auto" w:line="384"/>
        <w:pBdr>
          <w:bottom w:val="single" w:sz="6" w:space="3" w:color="1F4E36"/>
        </w:pBdr>
      </w:pPr>
      <w:r>
        <w:rPr>
          <w:rFonts w:ascii="맑은 고딕" w:hAnsi="맑은 고딕" w:eastAsia="맑은 고딕" w:cs="맑은 고딕"/>
          <w:b/>
          <w:i w:val="0"/>
          <w:color w:val="1F4E36"/>
          <w:sz w:val="28"/>
        </w:rPr>
        <w:t>GIR 법정 공시 × ESG 자체보고 × 위성 4종 × ODIAC, 4중 교차검증으로 찾아낸 것 (AX 아이디어 경진대회 우수상)</w:t>
      </w:r>
    </w:p>
    <w:p>
      <w:pPr>
        <w:spacing w:before="0" w:after="180" w:lineRule="auto" w:line="396"/>
        <w:ind w:firstLine="170"/>
        <w:jc w:val="both"/>
      </w:pPr>
      <w:r>
        <w:rPr>
          <w:rFonts w:ascii="맑은 고딕" w:hAnsi="맑은 고딕" w:eastAsia="맑은 고딕" w:cs="맑은 고딕"/>
          <w:b w:val="0"/>
          <w:i w:val="0"/>
          <w:color w:val="262626"/>
          <w:sz w:val="22"/>
        </w:rPr>
        <w:t xml:space="preserve">안녕하세요. 이번 글은 2026년 기후에너지환경부 </w:t>
      </w:r>
      <w:r>
        <w:rPr>
          <w:rFonts w:ascii="맑은 고딕" w:hAnsi="맑은 고딕" w:eastAsia="맑은 고딕" w:cs="맑은 고딕"/>
          <w:b/>
          <w:i w:val="0"/>
          <w:color w:val="262626"/>
          <w:sz w:val="22"/>
        </w:rPr>
        <w:t>AX 아이디어 경진대회</w:t>
      </w:r>
      <w:r>
        <w:rPr>
          <w:rFonts w:ascii="맑은 고딕" w:hAnsi="맑은 고딕" w:eastAsia="맑은 고딕" w:cs="맑은 고딕"/>
          <w:b w:val="0"/>
          <w:i w:val="0"/>
          <w:color w:val="262626"/>
          <w:sz w:val="22"/>
        </w:rPr>
        <w:t>(한전KDN·한국남동발전 주관)에서 우수상을 받은 연구입니다. 팀명은 'Save Earth'였습니다.</w:t>
      </w:r>
    </w:p>
    <w:p>
      <w:pPr>
        <w:spacing w:before="0" w:after="180" w:lineRule="auto" w:line="396"/>
        <w:ind w:firstLine="170"/>
        <w:jc w:val="both"/>
      </w:pPr>
      <w:r>
        <w:rPr>
          <w:rFonts w:ascii="맑은 고딕" w:hAnsi="맑은 고딕" w:eastAsia="맑은 고딕" w:cs="맑은 고딕"/>
          <w:b w:val="0"/>
          <w:i w:val="0"/>
          <w:color w:val="262626"/>
          <w:sz w:val="22"/>
        </w:rPr>
        <w:t>주제를 한 줄로 말하면 이렇습니다.</w:t>
      </w:r>
    </w:p>
    <w:p>
      <w:pPr>
        <w:spacing w:before="0" w:after="180" w:lineRule="auto" w:line="396"/>
        <w:ind w:firstLine="170"/>
        <w:jc w:val="both"/>
      </w:pPr>
      <w:r>
        <w:rPr>
          <w:rFonts w:ascii="맑은 고딕" w:hAnsi="맑은 고딕" w:eastAsia="맑은 고딕" w:cs="맑은 고딕"/>
          <w:b/>
          <w:i w:val="0"/>
          <w:color w:val="262626"/>
          <w:sz w:val="22"/>
        </w:rPr>
        <w:t>"기업이 공시한 온실가스 배출량이 정말 맞는지, 하늘에서 본 위성 관측으로 검증할 수 있을까?"</w:t>
      </w:r>
    </w:p>
    <w:p>
      <w:pPr>
        <w:spacing w:before="0" w:after="180" w:lineRule="auto" w:line="396"/>
        <w:ind w:firstLine="170"/>
        <w:jc w:val="both"/>
      </w:pPr>
      <w:r>
        <w:rPr>
          <w:rFonts w:ascii="맑은 고딕" w:hAnsi="맑은 고딕" w:eastAsia="맑은 고딕" w:cs="맑은 고딕"/>
          <w:b w:val="0"/>
          <w:i w:val="0"/>
          <w:color w:val="262626"/>
          <w:sz w:val="22"/>
        </w:rPr>
        <w:t xml:space="preserve">결론부터 말씀드리면, </w:t>
      </w:r>
      <w:r>
        <w:rPr>
          <w:rFonts w:ascii="맑은 고딕" w:hAnsi="맑은 고딕" w:eastAsia="맑은 고딕" w:cs="맑은 고딕"/>
          <w:b/>
          <w:i w:val="0"/>
          <w:color w:val="262626"/>
          <w:sz w:val="22"/>
        </w:rPr>
        <w:t>찾았습니다.</w:t>
      </w:r>
      <w:r>
        <w:rPr>
          <w:rFonts w:ascii="맑은 고딕" w:hAnsi="맑은 고딕" w:eastAsia="맑은 고딕" w:cs="맑은 고딕"/>
          <w:b w:val="0"/>
          <w:i w:val="0"/>
          <w:color w:val="262626"/>
          <w:sz w:val="22"/>
        </w:rPr>
        <w:t xml:space="preserve"> 공시 수치는 계속 올라가는데 위성이 본 신호는 계속 내려간 기업이 있었습니다. 그것도 완전히 정반대 방향으로요.</w:t>
      </w:r>
    </w:p>
    <w:p>
      <w:pPr>
        <w:spacing w:before="0" w:after="180" w:lineRule="auto" w:line="396"/>
        <w:ind w:firstLine="170"/>
        <w:jc w:val="both"/>
      </w:pPr>
      <w:r>
        <w:rPr>
          <w:rFonts w:ascii="맑은 고딕" w:hAnsi="맑은 고딕" w:eastAsia="맑은 고딕" w:cs="맑은 고딕"/>
          <w:b w:val="0"/>
          <w:i w:val="0"/>
          <w:color w:val="262626"/>
          <w:sz w:val="22"/>
        </w:rPr>
        <w:t xml:space="preserve">이 글에 실린 그림은 모두 </w:t>
      </w:r>
      <w:r>
        <w:rPr>
          <w:rFonts w:ascii="맑은 고딕" w:hAnsi="맑은 고딕" w:eastAsia="맑은 고딕" w:cs="맑은 고딕"/>
          <w:b/>
          <w:i w:val="0"/>
          <w:color w:val="262626"/>
          <w:sz w:val="22"/>
        </w:rPr>
        <w:t>분석에서 직접 생성한 원본 그림</w:t>
      </w:r>
      <w:r>
        <w:rPr>
          <w:rFonts w:ascii="맑은 고딕" w:hAnsi="맑은 고딕" w:eastAsia="맑은 고딕" w:cs="맑은 고딕"/>
          <w:b w:val="0"/>
          <w:i w:val="0"/>
          <w:color w:val="262626"/>
          <w:sz w:val="22"/>
        </w:rPr>
        <w:t>입니다. 전체 코드와 데이터 명세를 [GitHub 저장소](https://github.com/zxsa0716/AX_Contest)에 MIT 라이선스로 공개해 두었으니, 같은 결과를 직접 재현해 보실 수 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 문제의 시작: 하나의 배출량, 두 개의 공시</w:t>
      </w:r>
    </w:p>
    <w:p>
      <w:pPr>
        <w:spacing w:before="0" w:after="180" w:lineRule="auto" w:line="396"/>
        <w:ind w:firstLine="170"/>
        <w:jc w:val="both"/>
      </w:pPr>
      <w:r>
        <w:rPr>
          <w:rFonts w:ascii="맑은 고딕" w:hAnsi="맑은 고딕" w:eastAsia="맑은 고딕" w:cs="맑은 고딕"/>
          <w:b w:val="0"/>
          <w:i w:val="0"/>
          <w:color w:val="262626"/>
          <w:sz w:val="22"/>
        </w:rPr>
        <w:t xml:space="preserve">먼저 좀 이상한 구조를 설명해야 합니다. 우리나라 기업은 온실가스 배출량을 </w:t>
      </w:r>
      <w:r>
        <w:rPr>
          <w:rFonts w:ascii="맑은 고딕" w:hAnsi="맑은 고딕" w:eastAsia="맑은 고딕" w:cs="맑은 고딕"/>
          <w:b/>
          <w:i w:val="0"/>
          <w:color w:val="262626"/>
          <w:sz w:val="22"/>
        </w:rPr>
        <w:t>두 곳에 따로 보고</w:t>
      </w:r>
      <w:r>
        <w:rPr>
          <w:rFonts w:ascii="맑은 고딕" w:hAnsi="맑은 고딕" w:eastAsia="맑은 고딕" w:cs="맑은 고딕"/>
          <w:b w:val="0"/>
          <w:i w:val="0"/>
          <w:color w:val="262626"/>
          <w:sz w:val="22"/>
        </w:rPr>
        <w:t>합니다.</w:t>
      </w:r>
    </w:p>
    <w:p>
      <w:pPr>
        <w:spacing w:before="0" w:after="180" w:lineRule="auto" w:line="396"/>
        <w:ind w:firstLine="170"/>
        <w:jc w:val="both"/>
      </w:pPr>
      <w:r>
        <w:rPr>
          <w:rFonts w:ascii="맑은 고딕" w:hAnsi="맑은 고딕" w:eastAsia="맑은 고딕" w:cs="맑은 고딕"/>
          <w:b/>
          <w:i w:val="0"/>
          <w:color w:val="262626"/>
          <w:sz w:val="22"/>
        </w:rPr>
        <w:t>첫째, GIR 명세서(법정 채널)</w:t>
      </w:r>
      <w:r>
        <w:rPr>
          <w:rFonts w:ascii="맑은 고딕" w:hAnsi="맑은 고딕" w:eastAsia="맑은 고딕" w:cs="맑은 고딕"/>
          <w:b w:val="0"/>
          <w:i w:val="0"/>
          <w:color w:val="262626"/>
          <w:sz w:val="22"/>
        </w:rPr>
        <w:t xml:space="preserve">입니다. 온실가스종합정보센터에 제출하는 공식 문서로, 배출권거래법 제24조와 제32조에 따라 </w:t>
      </w:r>
      <w:r>
        <w:rPr>
          <w:rFonts w:ascii="맑은 고딕" w:hAnsi="맑은 고딕" w:eastAsia="맑은 고딕" w:cs="맑은 고딕"/>
          <w:b/>
          <w:i w:val="0"/>
          <w:color w:val="262626"/>
          <w:sz w:val="22"/>
        </w:rPr>
        <w:t>허위 신고 시 과태료와 형사 처벌까지 가능</w:t>
      </w:r>
      <w:r>
        <w:rPr>
          <w:rFonts w:ascii="맑은 고딕" w:hAnsi="맑은 고딕" w:eastAsia="맑은 고딕" w:cs="맑은 고딕"/>
          <w:b w:val="0"/>
          <w:i w:val="0"/>
          <w:color w:val="262626"/>
          <w:sz w:val="22"/>
        </w:rPr>
        <w:t>합니다. 법적 구속력이 가장 강한 기업 단위 배출량 정보입니다.</w:t>
      </w:r>
    </w:p>
    <w:p>
      <w:pPr>
        <w:spacing w:before="0" w:after="180" w:lineRule="auto" w:line="396"/>
        <w:ind w:firstLine="170"/>
        <w:jc w:val="both"/>
      </w:pPr>
      <w:r>
        <w:rPr>
          <w:rFonts w:ascii="맑은 고딕" w:hAnsi="맑은 고딕" w:eastAsia="맑은 고딕" w:cs="맑은 고딕"/>
          <w:b/>
          <w:i w:val="0"/>
          <w:color w:val="262626"/>
          <w:sz w:val="22"/>
        </w:rPr>
        <w:t>둘째, ESG 보고서의 자체보고</w:t>
      </w:r>
      <w:r>
        <w:rPr>
          <w:rFonts w:ascii="맑은 고딕" w:hAnsi="맑은 고딕" w:eastAsia="맑은 고딕" w:cs="맑은 고딕"/>
          <w:b w:val="0"/>
          <w:i w:val="0"/>
          <w:color w:val="262626"/>
          <w:sz w:val="22"/>
        </w:rPr>
        <w:t xml:space="preserve">입니다. 지속가능경영보고서에 실리는 Scope 1 수치인데, GRI 305-1 기준의 </w:t>
      </w:r>
      <w:r>
        <w:rPr>
          <w:rFonts w:ascii="맑은 고딕" w:hAnsi="맑은 고딕" w:eastAsia="맑은 고딕" w:cs="맑은 고딕"/>
          <w:b/>
          <w:i w:val="0"/>
          <w:color w:val="262626"/>
          <w:sz w:val="22"/>
        </w:rPr>
        <w:t>자율 공시</w:t>
      </w:r>
      <w:r>
        <w:rPr>
          <w:rFonts w:ascii="맑은 고딕" w:hAnsi="맑은 고딕" w:eastAsia="맑은 고딕" w:cs="맑은 고딕"/>
          <w:b w:val="0"/>
          <w:i w:val="0"/>
          <w:color w:val="262626"/>
          <w:sz w:val="22"/>
        </w:rPr>
        <w:t xml:space="preserve">입니다. 그리고 여기가 중요한데, </w:t>
      </w:r>
      <w:r>
        <w:rPr>
          <w:rFonts w:ascii="맑은 고딕" w:hAnsi="맑은 고딕" w:eastAsia="맑은 고딕" w:cs="맑은 고딕"/>
          <w:b/>
          <w:i w:val="0"/>
          <w:color w:val="262626"/>
          <w:sz w:val="22"/>
        </w:rPr>
        <w:t>허위 공시에 대한 실질적 제재가 현재 국내에 존재하지 않습니다.</w:t>
      </w:r>
    </w:p>
    <w:p>
      <w:pPr>
        <w:spacing w:before="0" w:after="180" w:lineRule="auto" w:line="396"/>
        <w:ind w:firstLine="170"/>
        <w:jc w:val="both"/>
      </w:pPr>
      <w:r>
        <w:rPr>
          <w:rFonts w:ascii="맑은 고딕" w:hAnsi="맑은 고딕" w:eastAsia="맑은 고딕" w:cs="맑은 고딕"/>
          <w:b w:val="0"/>
          <w:i w:val="0"/>
          <w:color w:val="262626"/>
          <w:sz w:val="22"/>
        </w:rPr>
        <w:t>같은 회사, 같은 해, 같은 배출량인데 두 개의 숫자가 있고 한쪽은 제재가 있고 한쪽은 없습니다. 그럼 두 숫자는 같을까요?</w:t>
      </w:r>
    </w:p>
    <w:p>
      <w:pPr>
        <w:spacing w:before="0" w:after="180" w:lineRule="auto" w:line="396"/>
        <w:ind w:firstLine="170"/>
        <w:jc w:val="both"/>
      </w:pPr>
      <w:r>
        <w:rPr>
          <w:rFonts w:ascii="맑은 고딕" w:hAnsi="맑은 고딕" w:eastAsia="맑은 고딕" w:cs="맑은 고딕"/>
          <w:b w:val="0"/>
          <w:i w:val="0"/>
          <w:color w:val="262626"/>
          <w:sz w:val="22"/>
        </w:rPr>
        <w:t>같지 않을 수 있습니다. 이유가 최소 네 가지입니다.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조직경계 설정 방식</w:t>
      </w:r>
      <w:r>
        <w:rPr>
          <w:rFonts w:ascii="맑은 고딕" w:hAnsi="맑은 고딕" w:eastAsia="맑은 고딕" w:cs="맑은 고딕"/>
          <w:b w:val="0"/>
          <w:i w:val="0"/>
          <w:color w:val="262626"/>
          <w:sz w:val="22"/>
        </w:rPr>
        <w:t>이 다릅니다(재무통제 기준 vs 지분 접근).</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배출계수 선택</w:t>
      </w:r>
      <w:r>
        <w:rPr>
          <w:rFonts w:ascii="맑은 고딕" w:hAnsi="맑은 고딕" w:eastAsia="맑은 고딕" w:cs="맑은 고딕"/>
          <w:b w:val="0"/>
          <w:i w:val="0"/>
          <w:color w:val="262626"/>
          <w:sz w:val="22"/>
        </w:rPr>
        <w:t>이 다릅니다(국내 고시 vs 국제 기준).</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공간 범위</w:t>
      </w:r>
      <w:r>
        <w:rPr>
          <w:rFonts w:ascii="맑은 고딕" w:hAnsi="맑은 고딕" w:eastAsia="맑은 고딕" w:cs="맑은 고딕"/>
          <w:b w:val="0"/>
          <w:i w:val="0"/>
          <w:color w:val="262626"/>
          <w:sz w:val="22"/>
        </w:rPr>
        <w:t>가 다릅니다(국내 한정 vs 연결 기준으로 해외 포함).</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제재 유인이 비대칭</w:t>
      </w:r>
      <w:r>
        <w:rPr>
          <w:rFonts w:ascii="맑은 고딕" w:hAnsi="맑은 고딕" w:eastAsia="맑은 고딕" w:cs="맑은 고딕"/>
          <w:b w:val="0"/>
          <w:i w:val="0"/>
          <w:color w:val="262626"/>
          <w:sz w:val="22"/>
        </w:rPr>
        <w:t>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저는 이 연구를 위해 지속가능경영보고서 </w:t>
      </w:r>
      <w:r>
        <w:rPr>
          <w:rFonts w:ascii="맑은 고딕" w:hAnsi="맑은 고딕" w:eastAsia="맑은 고딕" w:cs="맑은 고딕"/>
          <w:b/>
          <w:i w:val="0"/>
          <w:color w:val="262626"/>
          <w:sz w:val="22"/>
        </w:rPr>
        <w:t>126건을 직접 수집</w:t>
      </w:r>
      <w:r>
        <w:rPr>
          <w:rFonts w:ascii="맑은 고딕" w:hAnsi="맑은 고딕" w:eastAsia="맑은 고딕" w:cs="맑은 고딕"/>
          <w:b w:val="0"/>
          <w:i w:val="0"/>
          <w:color w:val="262626"/>
          <w:sz w:val="22"/>
        </w:rPr>
        <w:t xml:space="preserve">했는데, 그 과정에서 이 문제를 몸으로 느꼈습니다. 기준과 경계가 보고서마다 다르고, 검증 수준이 제각각이며, </w:t>
      </w:r>
      <w:r>
        <w:rPr>
          <w:rFonts w:ascii="맑은 고딕" w:hAnsi="맑은 고딕" w:eastAsia="맑은 고딕" w:cs="맑은 고딕"/>
          <w:b/>
          <w:i w:val="0"/>
          <w:color w:val="262626"/>
          <w:sz w:val="22"/>
        </w:rPr>
        <w:t>이를 대조할 공통 좌표가 어디에도 없었습니다.</w:t>
      </w:r>
    </w:p>
    <w:p>
      <w:pPr>
        <w:spacing w:before="240" w:after="80" w:lineRule="auto" w:line="384"/>
      </w:pPr>
      <w:r>
        <w:rPr>
          <w:rFonts w:ascii="맑은 고딕" w:hAnsi="맑은 고딕" w:eastAsia="맑은 고딕" w:cs="맑은 고딕"/>
          <w:b/>
          <w:i w:val="0"/>
          <w:color w:val="1F4E36"/>
          <w:sz w:val="25"/>
        </w:rPr>
        <w:t>그리고 하필 지금이 중요한 시점입니다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2026년 2월 25일 금융위원회가 ESG 공시 로드맵을 발표했고, 이튿날 KSSB 공시기준 제1호·제2호·제101호가 최종 확정되었습니다. </w:t>
      </w:r>
      <w:r>
        <w:rPr>
          <w:rFonts w:ascii="맑은 고딕" w:hAnsi="맑은 고딕" w:eastAsia="맑은 고딕" w:cs="맑은 고딕"/>
          <w:b/>
          <w:i w:val="0"/>
          <w:color w:val="262626"/>
          <w:sz w:val="22"/>
        </w:rPr>
        <w:t>의무공시는 이제 확정된 제도</w:t>
      </w:r>
      <w:r>
        <w:rPr>
          <w:rFonts w:ascii="맑은 고딕" w:hAnsi="맑은 고딕" w:eastAsia="맑은 고딕" w:cs="맑은 고딕"/>
          <w:b w:val="0"/>
          <w:i w:val="0"/>
          <w:color w:val="262626"/>
          <w:sz w:val="22"/>
        </w:rPr>
        <w:t>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그런데 시행령은 "외부검증을 받아라"라고만 정했습니다. </w:t>
      </w:r>
      <w:r>
        <w:rPr>
          <w:rFonts w:ascii="맑은 고딕" w:hAnsi="맑은 고딕" w:eastAsia="맑은 고딕" w:cs="맑은 고딕"/>
          <w:b/>
          <w:i w:val="0"/>
          <w:color w:val="262626"/>
          <w:sz w:val="22"/>
        </w:rPr>
        <w:t>어떤 데이터로, 어떤 채널과 비교해서, 어떤 임계값으로 검증할지는 정의하지 않았습니다.</w:t>
      </w:r>
      <w:r>
        <w:rPr>
          <w:rFonts w:ascii="맑은 고딕" w:hAnsi="맑은 고딕" w:eastAsia="맑은 고딕" w:cs="맑은 고딕"/>
          <w:b w:val="0"/>
          <w:i w:val="0"/>
          <w:color w:val="262626"/>
          <w:sz w:val="22"/>
        </w:rPr>
        <w:t xml:space="preserve"> 즉 의무는 생겼는데 검증 방법이 비어 있습니다.</w:t>
      </w:r>
    </w:p>
    <w:p>
      <w:pPr>
        <w:spacing w:before="0" w:after="180" w:lineRule="auto" w:line="396"/>
        <w:ind w:firstLine="170"/>
        <w:jc w:val="both"/>
      </w:pPr>
      <w:r>
        <w:rPr>
          <w:rFonts w:ascii="맑은 고딕" w:hAnsi="맑은 고딕" w:eastAsia="맑은 고딕" w:cs="맑은 고딕"/>
          <w:b w:val="0"/>
          <w:i w:val="0"/>
          <w:color w:val="262626"/>
          <w:sz w:val="22"/>
        </w:rPr>
        <w:t>의무화 확정과 첫 보고 제출 사이에 약 2년의 시간이 있습니다. 저는 이 시기를 골든타임이라고 봤습니다.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2. 수단은 이미 하늘에 있었습니다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제 아이디어가 나옵니다. </w:t>
      </w:r>
      <w:r>
        <w:rPr>
          <w:rFonts w:ascii="맑은 고딕" w:hAnsi="맑은 고딕" w:eastAsia="맑은 고딕" w:cs="맑은 고딕"/>
          <w:b/>
          <w:i w:val="0"/>
          <w:color w:val="262626"/>
          <w:sz w:val="22"/>
        </w:rPr>
        <w:t>공시를 더 요구하는 대신, 이미 존재하는 독립 관측으로 공시를 비추면 어떨까?</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Sentinel-5P</w:t>
      </w:r>
      <w:r>
        <w:rPr>
          <w:rFonts w:ascii="맑은 고딕" w:hAnsi="맑은 고딕" w:eastAsia="맑은 고딕" w:cs="맑은 고딕"/>
          <w:b w:val="0"/>
          <w:i w:val="0"/>
          <w:color w:val="262626"/>
          <w:sz w:val="22"/>
        </w:rPr>
        <w:t xml:space="preserve">는 2017년 발사 이후 전 지구를 매일 관측합니다. 한국 상공의 위성 신호와 국가 인벤토리의 격자 상관은 </w:t>
      </w:r>
      <w:r>
        <w:rPr>
          <w:rFonts w:ascii="맑은 고딕" w:hAnsi="맑은 고딕" w:eastAsia="맑은 고딕" w:cs="맑은 고딕"/>
          <w:b/>
          <w:i w:val="0"/>
          <w:color w:val="262626"/>
          <w:sz w:val="22"/>
        </w:rPr>
        <w:t>0.96</w:t>
      </w:r>
      <w:r>
        <w:rPr>
          <w:rFonts w:ascii="맑은 고딕" w:hAnsi="맑은 고딕" w:eastAsia="맑은 고딕" w:cs="맑은 고딕"/>
          <w:b w:val="0"/>
          <w:i w:val="0"/>
          <w:color w:val="262626"/>
          <w:sz w:val="22"/>
        </w:rPr>
        <w:t>에 이릅니다(Kim 외, 2020).</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ODIAC</w:t>
      </w:r>
      <w:r>
        <w:rPr>
          <w:rFonts w:ascii="맑은 고딕" w:hAnsi="맑은 고딕" w:eastAsia="맑은 고딕" w:cs="맑은 고딕"/>
          <w:b w:val="0"/>
          <w:i w:val="0"/>
          <w:color w:val="262626"/>
          <w:sz w:val="22"/>
        </w:rPr>
        <w:t>은 1km 격자에서 화석연료 CO₂를 추정합니다. 사업장 단위 접근이 가능합니다.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기술은 이미 성숙했습니다. 문제는 </w:t>
      </w:r>
      <w:r>
        <w:rPr>
          <w:rFonts w:ascii="맑은 고딕" w:hAnsi="맑은 고딕" w:eastAsia="맑은 고딕" w:cs="맑은 고딕"/>
          <w:b/>
          <w:i w:val="0"/>
          <w:color w:val="262626"/>
          <w:sz w:val="22"/>
        </w:rPr>
        <w:t>어느 제도도 이것을 개별 기업의 공시 검증에 연결하지 않았다는 것</w:t>
      </w:r>
      <w:r>
        <w:rPr>
          <w:rFonts w:ascii="맑은 고딕" w:hAnsi="맑은 고딕" w:eastAsia="맑은 고딕" w:cs="맑은 고딕"/>
          <w:b w:val="0"/>
          <w:i w:val="0"/>
          <w:color w:val="262626"/>
          <w:sz w:val="22"/>
        </w:rPr>
        <w:t>입니다. 위성 검증은 국가 단위나 도시 단위에 머물러 있었습니다.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국가나 도시 단위 결과는 개별 기업의 공시를 검증하는 행정 입력값이 될 수 없습니다. 공시 의무, 외부검증, 책임투자는 모두 </w:t>
      </w:r>
      <w:r>
        <w:rPr>
          <w:rFonts w:ascii="맑은 고딕" w:hAnsi="맑은 고딕" w:eastAsia="맑은 고딕" w:cs="맑은 고딕"/>
          <w:b/>
          <w:i w:val="0"/>
          <w:color w:val="262626"/>
          <w:sz w:val="22"/>
        </w:rPr>
        <w:t>기업 단위</w:t>
      </w:r>
      <w:r>
        <w:rPr>
          <w:rFonts w:ascii="맑은 고딕" w:hAnsi="맑은 고딕" w:eastAsia="맑은 고딕" w:cs="맑은 고딕"/>
          <w:b w:val="0"/>
          <w:i w:val="0"/>
          <w:color w:val="262626"/>
          <w:sz w:val="22"/>
        </w:rPr>
        <w:t>로 작동하는 제도이니까요.</w:t>
      </w:r>
    </w:p>
    <w:p>
      <w:pPr>
        <w:spacing w:before="160" w:after="40" w:lineRule="auto" w:line="384"/>
        <w:jc w:val="center"/>
      </w:pPr>
      <w:r>
        <w:drawing>
          <wp:inline xmlns:a="http://schemas.openxmlformats.org/drawingml/2006/main" xmlns:pic="http://schemas.openxmlformats.org/drawingml/2006/picture">
            <wp:extent cx="5580000" cy="4108070"/>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5580000" cy="410807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 </w:t>
      </w:r>
      <w:r>
        <w:rPr>
          <w:rFonts w:ascii="맑은 고딕" w:hAnsi="맑은 고딕" w:eastAsia="맑은 고딕" w:cs="맑은 고딕"/>
          <w:b w:val="0"/>
          <w:i w:val="0"/>
          <w:color w:val="6E6E6E"/>
          <w:sz w:val="19"/>
        </w:rPr>
        <w:t>ODIAC 1km 화석연료 CO₂의 전국 분포와 분석 대상 사업장 위치를 겹쳐 그린 지도입니다. 색이 진할수록 배출 강도가 높은 곳인데, 산업단지와 발전소가 뚜렷하게 드러납니다. 이렇게 1km 단위로 배출이 관측되고 있는데도 이 정보가 기업 공시 검증에는 쓰이지 않고 있었습니다.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3. 네 개의 채널로 동시에 관측하기</w:t>
      </w:r>
    </w:p>
    <w:p>
      <w:pPr>
        <w:spacing w:before="0" w:after="180" w:lineRule="auto" w:line="396"/>
        <w:ind w:firstLine="170"/>
        <w:jc w:val="both"/>
      </w:pPr>
      <w:r>
        <w:rPr>
          <w:rFonts w:ascii="맑은 고딕" w:hAnsi="맑은 고딕" w:eastAsia="맑은 고딕" w:cs="맑은 고딕"/>
          <w:b w:val="0"/>
          <w:i w:val="0"/>
          <w:color w:val="262626"/>
          <w:sz w:val="22"/>
        </w:rPr>
        <w:t xml:space="preserve">설계의 핵심은 </w:t>
      </w:r>
      <w:r>
        <w:rPr>
          <w:rFonts w:ascii="맑은 고딕" w:hAnsi="맑은 고딕" w:eastAsia="맑은 고딕" w:cs="맑은 고딕"/>
          <w:b/>
          <w:i w:val="0"/>
          <w:color w:val="262626"/>
          <w:sz w:val="22"/>
        </w:rPr>
        <w:t>교차 검증</w:t>
      </w:r>
      <w:r>
        <w:rPr>
          <w:rFonts w:ascii="맑은 고딕" w:hAnsi="맑은 고딕" w:eastAsia="맑은 고딕" w:cs="맑은 고딕"/>
          <w:b w:val="0"/>
          <w:i w:val="0"/>
          <w:color w:val="262626"/>
          <w:sz w:val="22"/>
        </w:rPr>
        <w:t>입니다. 같은 기업, 같은 연도를 네 개의 독립적인 채널로 동시에 봅니다.</w:t>
      </w:r>
    </w:p>
    <w:tbl>
      <w:tblPr>
        <w:tblStyle w:val="TableGrid"/>
        <w:tblW w:type="auto" w:w="0"/>
        <w:jc w:val="center"/>
        <w:tblLook w:firstColumn="1" w:firstRow="1" w:lastColumn="0" w:lastRow="0" w:noHBand="0" w:noVBand="1" w:val="04A0"/>
      </w:tblPr>
      <w:tblGrid>
        <w:gridCol w:w="3173"/>
        <w:gridCol w:w="3173"/>
        <w:gridCol w:w="3173"/>
      </w:tblGrid>
      <w:tr>
        <w:trPr>
          <w:cantSplit/>
          <w:tblHeader/>
        </w:trPr>
        <w:tc>
          <w:tcPr>
            <w:tcW w:type="dxa" w:w="3173"/>
          </w:tcPr>
          <w:p>
            <w:pPr>
              <w:spacing w:before="40" w:after="40" w:lineRule="auto" w:line="276"/>
              <w:jc w:val="left"/>
              <w:shd w:val="clear" w:fill="EDF2ED"/>
            </w:pPr>
            <w:r/>
            <w:r>
              <w:rPr>
                <w:rFonts w:ascii="맑은 고딕" w:hAnsi="맑은 고딕" w:eastAsia="맑은 고딕" w:cs="맑은 고딕"/>
                <w:b/>
                <w:i w:val="0"/>
                <w:color w:val="1F4E36"/>
                <w:sz w:val="20"/>
              </w:rPr>
              <w:t>채널</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출처</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성격</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GIR</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환경부 명세서</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법정, 검증 의무·제재 존재</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ESG</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지속가능경영보고서</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자율 공시, 제재 부재</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위성 4종</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Sentinel-5P (GEE)</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독립 물리 관측</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ODIAC</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NIES 1km 인벤토리</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top-down 직접 CO₂</w:t>
            </w:r>
          </w:p>
        </w:tc>
      </w:tr>
    </w:tbl>
    <w:p>
      <w:pPr>
        <w:spacing w:before="0" w:after="200" w:lineRule="auto" w:line="384"/>
      </w:pPr>
    </w:p>
    <w:p>
      <w:pPr>
        <w:spacing w:before="0" w:after="180" w:lineRule="auto" w:line="396"/>
        <w:ind w:firstLine="170"/>
        <w:jc w:val="both"/>
      </w:pPr>
      <w:r>
        <w:rPr>
          <w:rFonts w:ascii="맑은 고딕" w:hAnsi="맑은 고딕" w:eastAsia="맑은 고딕" w:cs="맑은 고딕"/>
          <w:b w:val="0"/>
          <w:i w:val="0"/>
          <w:color w:val="262626"/>
          <w:sz w:val="22"/>
        </w:rPr>
        <w:t xml:space="preserve">왜 이게 작동할까요? </w:t>
      </w:r>
      <w:r>
        <w:rPr>
          <w:rFonts w:ascii="맑은 고딕" w:hAnsi="맑은 고딕" w:eastAsia="맑은 고딕" w:cs="맑은 고딕"/>
          <w:b/>
          <w:i w:val="0"/>
          <w:color w:val="262626"/>
          <w:sz w:val="22"/>
        </w:rPr>
        <w:t>네 채널의 산정 주체가 서로 다르기 때문입니다.</w:t>
      </w:r>
      <w:r>
        <w:rPr>
          <w:rFonts w:ascii="맑은 고딕" w:hAnsi="맑은 고딕" w:eastAsia="맑은 고딕" w:cs="맑은 고딕"/>
          <w:b w:val="0"/>
          <w:i w:val="0"/>
          <w:color w:val="262626"/>
          <w:sz w:val="22"/>
        </w:rPr>
        <w:t xml:space="preserve"> GIR과 ESG는 기업이 산정하고, Sentinel-5P는 유럽우주국 위성이 관측하고, ODIAC은 일본 국립환경연구소 모델이 추정합니다. 오류의 발생 구조가 독립적입니다.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따라서 </w:t>
      </w:r>
      <w:r>
        <w:rPr>
          <w:rFonts w:ascii="맑은 고딕" w:hAnsi="맑은 고딕" w:eastAsia="맑은 고딕" w:cs="맑은 고딕"/>
          <w:b/>
          <w:i w:val="0"/>
          <w:color w:val="262626"/>
          <w:sz w:val="22"/>
        </w:rPr>
        <w:t>네 채널이 동시에 같은 방향으로 왜곡될 확률은 구조적으로 낮습니다.</w:t>
      </w:r>
      <w:r>
        <w:rPr>
          <w:rFonts w:ascii="맑은 고딕" w:hAnsi="맑은 고딕" w:eastAsia="맑은 고딕" w:cs="맑은 고딕"/>
          <w:b w:val="0"/>
          <w:i w:val="0"/>
          <w:color w:val="262626"/>
          <w:sz w:val="22"/>
        </w:rPr>
        <w:t xml:space="preserve"> 특정 채널의 산정 오류나 경계 변경, 의도적 왜곡은 나머지 세 채널에 흔적을 남깁니다.</w:t>
      </w:r>
    </w:p>
    <w:p>
      <w:pPr>
        <w:spacing w:before="160" w:after="40" w:lineRule="auto" w:line="384"/>
        <w:jc w:val="center"/>
      </w:pPr>
      <w:r>
        <w:drawing>
          <wp:inline xmlns:a="http://schemas.openxmlformats.org/drawingml/2006/main" xmlns:pic="http://schemas.openxmlformats.org/drawingml/2006/picture">
            <wp:extent cx="5580000" cy="3415767"/>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5580000" cy="3415767"/>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2. </w:t>
      </w:r>
      <w:r>
        <w:rPr>
          <w:rFonts w:ascii="맑은 고딕" w:hAnsi="맑은 고딕" w:eastAsia="맑은 고딕" w:cs="맑은 고딕"/>
          <w:b w:val="0"/>
          <w:i w:val="0"/>
          <w:color w:val="6E6E6E"/>
          <w:sz w:val="19"/>
        </w:rPr>
        <w:t>네 채널로 같은 기업·연도를 동시에 관측하는 4중 비교 개념도입니다. 왼쪽 두 채널은 기업이 스스로 산정한 것이고, 오른쪽 두 채널은 위성과 모델이 독립적으로 관측·추정한 것입니다. 각 채널의 오류 구조가 서로 독립적이라는 점이 이 검증 체계의 힘입니다.</w:t>
      </w:r>
    </w:p>
    <w:p>
      <w:pPr>
        <w:spacing w:before="240" w:after="80" w:lineRule="auto" w:line="384"/>
      </w:pPr>
      <w:r>
        <w:rPr>
          <w:rFonts w:ascii="맑은 고딕" w:hAnsi="맑은 고딕" w:eastAsia="맑은 고딕" w:cs="맑은 고딕"/>
          <w:b/>
          <w:i w:val="0"/>
          <w:color w:val="1F4E36"/>
          <w:sz w:val="25"/>
        </w:rPr>
        <w:t>결과를 보기 전에 가설을 미리 등록했습니다</w:t>
      </w:r>
    </w:p>
    <w:p>
      <w:pPr>
        <w:spacing w:before="0" w:after="180" w:lineRule="auto" w:line="396"/>
        <w:ind w:firstLine="170"/>
        <w:jc w:val="both"/>
      </w:pPr>
      <w:r>
        <w:rPr>
          <w:rFonts w:ascii="맑은 고딕" w:hAnsi="맑은 고딕" w:eastAsia="맑은 고딕" w:cs="맑은 고딕"/>
          <w:b w:val="0"/>
          <w:i w:val="0"/>
          <w:color w:val="262626"/>
          <w:sz w:val="22"/>
        </w:rPr>
        <w:t>이 부분은 제가 특히 신경 쓴 지점입니다. 데이터를 다 본 다음에 "이런 패턴이 있네요"라고 말하는 건 위험합니다. 데이터가 크면 뭐라도 나오기 때문입니다.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그래서 </w:t>
      </w:r>
      <w:r>
        <w:rPr>
          <w:rFonts w:ascii="맑은 고딕" w:hAnsi="맑은 고딕" w:eastAsia="맑은 고딕" w:cs="맑은 고딕"/>
          <w:b/>
          <w:i w:val="0"/>
          <w:color w:val="262626"/>
          <w:sz w:val="22"/>
        </w:rPr>
        <w:t>분석 전에 가설과 판정 임계값을 먼저 등록</w:t>
      </w:r>
      <w:r>
        <w:rPr>
          <w:rFonts w:ascii="맑은 고딕" w:hAnsi="맑은 고딕" w:eastAsia="맑은 고딕" w:cs="맑은 고딕"/>
          <w:b w:val="0"/>
          <w:i w:val="0"/>
          <w:color w:val="262626"/>
          <w:sz w:val="22"/>
        </w:rPr>
        <w:t>했습니다(사전등록, pre-registration).</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H1(체계적 불일치)</w:t>
      </w:r>
      <w:r>
        <w:rPr>
          <w:rFonts w:ascii="맑은 고딕" w:hAnsi="맑은 고딕" w:eastAsia="맑은 고딕" w:cs="맑은 고딕"/>
          <w:b w:val="0"/>
          <w:i w:val="0"/>
          <w:color w:val="262626"/>
          <w:sz w:val="22"/>
        </w:rPr>
        <w:t>: GIR와 ESG 사이에 측정오차를 넘어선 체계적 괴리가 있다. → ln(GIR) 계수의 Bootstrap 95% 신뢰구간이 0을 포함하지 않을 것</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H2(위성 방향 일관성)</w:t>
      </w:r>
      <w:r>
        <w:rPr>
          <w:rFonts w:ascii="맑은 고딕" w:hAnsi="맑은 고딕" w:eastAsia="맑은 고딕" w:cs="맑은 고딕"/>
          <w:b w:val="0"/>
          <w:i w:val="0"/>
          <w:color w:val="262626"/>
          <w:sz w:val="22"/>
        </w:rPr>
        <w:t>: 신뢰 구간 기업은 GIR와 위성·ODIAC의 방향이 일치하고, 의심 기업은 일치율이 낮다.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H3(방향 반전 패턴)</w:t>
      </w:r>
      <w:r>
        <w:rPr>
          <w:rFonts w:ascii="맑은 고딕" w:hAnsi="맑은 고딕" w:eastAsia="맑은 고딕" w:cs="맑은 고딕"/>
          <w:b w:val="0"/>
          <w:i w:val="0"/>
          <w:color w:val="262626"/>
          <w:sz w:val="22"/>
        </w:rPr>
        <w:t>: 공시 상승과 관측 하강이 동시에 나타나는 패턴이 실재한다. → Fisher 정확검정 p &lt; 0.05</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H4(정책 확장성)</w:t>
      </w:r>
      <w:r>
        <w:rPr>
          <w:rFonts w:ascii="맑은 고딕" w:hAnsi="맑은 고딕" w:eastAsia="맑은 고딕" w:cs="맑은 고딕"/>
          <w:b w:val="0"/>
          <w:i w:val="0"/>
          <w:color w:val="262626"/>
          <w:sz w:val="22"/>
        </w:rPr>
        <w:t>: 우선순위 산출이 의무화 대상 49개사로 즉시 확장 가능하다.</w:t>
      </w:r>
    </w:p>
    <w:p>
      <w:pPr>
        <w:spacing w:before="0" w:after="180" w:lineRule="auto" w:line="396"/>
        <w:ind w:firstLine="170"/>
        <w:jc w:val="both"/>
      </w:pPr>
      <w:r>
        <w:rPr>
          <w:rFonts w:ascii="맑은 고딕" w:hAnsi="맑은 고딕" w:eastAsia="맑은 고딕" w:cs="맑은 고딕"/>
          <w:b w:val="0"/>
          <w:i w:val="0"/>
          <w:color w:val="262626"/>
          <w:sz w:val="22"/>
        </w:rPr>
        <w:t xml:space="preserve">결과는 </w:t>
      </w:r>
      <w:r>
        <w:rPr>
          <w:rFonts w:ascii="맑은 고딕" w:hAnsi="맑은 고딕" w:eastAsia="맑은 고딕" w:cs="맑은 고딕"/>
          <w:b/>
          <w:i w:val="0"/>
          <w:color w:val="262626"/>
          <w:sz w:val="22"/>
        </w:rPr>
        <w:t>네 가설 모두 사전 임계값을 충족</w:t>
      </w:r>
      <w:r>
        <w:rPr>
          <w:rFonts w:ascii="맑은 고딕" w:hAnsi="맑은 고딕" w:eastAsia="맑은 고딕" w:cs="맑은 고딕"/>
          <w:b w:val="0"/>
          <w:i w:val="0"/>
          <w:color w:val="262626"/>
          <w:sz w:val="22"/>
        </w:rPr>
        <w:t>했습니다. H1은 신뢰구간 [−216.31, −0.13]으로 0을 포함하지 않았고, H3는 p = 0.018로 유의했으며 2개사가 식별되었습니다.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4. 표본은 제도가 정했습니다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표본 선정에 제 재량이 개입하지 않도록 만들었습니다. </w:t>
      </w:r>
      <w:r>
        <w:rPr>
          <w:rFonts w:ascii="맑은 고딕" w:hAnsi="맑은 고딕" w:eastAsia="맑은 고딕" w:cs="맑은 고딕"/>
          <w:b/>
          <w:i w:val="0"/>
          <w:color w:val="262626"/>
          <w:sz w:val="22"/>
        </w:rPr>
        <w:t>KSSB 자산 30조 원 임계값</w:t>
      </w:r>
      <w:r>
        <w:rPr>
          <w:rFonts w:ascii="맑은 고딕" w:hAnsi="맑은 고딕" w:eastAsia="맑은 고딕" w:cs="맑은 고딕"/>
          <w:b w:val="0"/>
          <w:i w:val="0"/>
          <w:color w:val="262626"/>
          <w:sz w:val="22"/>
        </w:rPr>
        <w:t xml:space="preserve">과 </w:t>
      </w:r>
      <w:r>
        <w:rPr>
          <w:rFonts w:ascii="맑은 고딕" w:hAnsi="맑은 고딕" w:eastAsia="맑은 고딕" w:cs="맑은 고딕"/>
          <w:b/>
          <w:i w:val="0"/>
          <w:color w:val="262626"/>
          <w:sz w:val="22"/>
        </w:rPr>
        <w:t>GIR 명세서 3년 이상 등록</w:t>
      </w:r>
      <w:r>
        <w:rPr>
          <w:rFonts w:ascii="맑은 고딕" w:hAnsi="맑은 고딕" w:eastAsia="맑은 고딕" w:cs="맑은 고딕"/>
          <w:b w:val="0"/>
          <w:i w:val="0"/>
          <w:color w:val="262626"/>
          <w:sz w:val="22"/>
        </w:rPr>
        <w:t>이라는 두 제도적 조건의 교집합이 곧 표본입니다.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 결과가 </w:t>
      </w:r>
      <w:r>
        <w:rPr>
          <w:rFonts w:ascii="맑은 고딕" w:hAnsi="맑은 고딕" w:eastAsia="맑은 고딕" w:cs="맑은 고딕"/>
          <w:b/>
          <w:i w:val="0"/>
          <w:color w:val="262626"/>
          <w:sz w:val="22"/>
        </w:rPr>
        <w:t>Gold 23개사, 115개 기업·연도</w:t>
      </w:r>
      <w:r>
        <w:rPr>
          <w:rFonts w:ascii="맑은 고딕" w:hAnsi="맑은 고딕" w:eastAsia="맑은 고딕" w:cs="맑은 고딕"/>
          <w:b w:val="0"/>
          <w:i w:val="0"/>
          <w:color w:val="262626"/>
          <w:sz w:val="22"/>
        </w:rPr>
        <w:t>입니다. 1차 의무화 대상 49개사를 도출하기 위해 DART 상장사 789개 전수의 연결자산을 직접 산정했습니다.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데이터는 4개 계층에 걸친 </w:t>
      </w:r>
      <w:r>
        <w:rPr>
          <w:rFonts w:ascii="맑은 고딕" w:hAnsi="맑은 고딕" w:eastAsia="맑은 고딕" w:cs="맑은 고딕"/>
          <w:b/>
          <w:i w:val="0"/>
          <w:color w:val="262626"/>
          <w:sz w:val="22"/>
        </w:rPr>
        <w:t>18개 독립 데이터셋</w:t>
      </w:r>
      <w:r>
        <w:rPr>
          <w:rFonts w:ascii="맑은 고딕" w:hAnsi="맑은 고딕" w:eastAsia="맑은 고딕" w:cs="맑은 고딕"/>
          <w:b w:val="0"/>
          <w:i w:val="0"/>
          <w:color w:val="262626"/>
          <w:sz w:val="22"/>
        </w:rPr>
        <w:t>을 하나의 패널로 통합했습니다.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GIR 배출량 명세서: </w:t>
      </w:r>
      <w:r>
        <w:rPr>
          <w:rFonts w:ascii="맑은 고딕" w:hAnsi="맑은 고딕" w:eastAsia="맑은 고딕" w:cs="맑은 고딕"/>
          <w:b/>
          <w:i w:val="0"/>
          <w:color w:val="262626"/>
          <w:sz w:val="22"/>
        </w:rPr>
        <w:t>7,998행, 1,585개 법인</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지속가능경영보고서 PDF: </w:t>
      </w:r>
      <w:r>
        <w:rPr>
          <w:rFonts w:ascii="맑은 고딕" w:hAnsi="맑은 고딕" w:eastAsia="맑은 고딕" w:cs="맑은 고딕"/>
          <w:b/>
          <w:i w:val="0"/>
          <w:color w:val="262626"/>
          <w:sz w:val="22"/>
        </w:rPr>
        <w:t>126건</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Sentinel-5P NO₂·SO₂·CO·HCHO: </w:t>
      </w:r>
      <w:r>
        <w:rPr>
          <w:rFonts w:ascii="맑은 고딕" w:hAnsi="맑은 고딕" w:eastAsia="맑은 고딕" w:cs="맑은 고딕"/>
          <w:b/>
          <w:i w:val="0"/>
          <w:color w:val="262626"/>
          <w:sz w:val="22"/>
        </w:rPr>
        <w:t>1,380 site-month</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ODIAC v2024 1km CO₂: </w:t>
      </w:r>
      <w:r>
        <w:rPr>
          <w:rFonts w:ascii="맑은 고딕" w:hAnsi="맑은 고딕" w:eastAsia="맑은 고딕" w:cs="맑은 고딕"/>
          <w:b/>
          <w:i w:val="0"/>
          <w:color w:val="262626"/>
          <w:sz w:val="22"/>
        </w:rPr>
        <w:t>60개월 GeoTIFF</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ERA5-Land·MERRA-2·ASOS 지상관측: 5변수 60개월, 일자료 9,130행</w:t>
      </w:r>
    </w:p>
    <w:p>
      <w:pPr>
        <w:spacing w:before="0" w:after="180" w:lineRule="auto" w:line="396"/>
        <w:ind w:firstLine="170"/>
        <w:jc w:val="both"/>
      </w:pPr>
      <w:r>
        <w:rPr>
          <w:rFonts w:ascii="맑은 고딕" w:hAnsi="맑은 고딕" w:eastAsia="맑은 고딕" w:cs="맑은 고딕"/>
          <w:b w:val="0"/>
          <w:i w:val="0"/>
          <w:color w:val="262626"/>
          <w:sz w:val="22"/>
        </w:rPr>
        <w:t xml:space="preserve">모든 원본 파일의 </w:t>
      </w:r>
      <w:r>
        <w:rPr>
          <w:rFonts w:ascii="맑은 고딕" w:hAnsi="맑은 고딕" w:eastAsia="맑은 고딕" w:cs="맑은 고딕"/>
          <w:b/>
          <w:i w:val="0"/>
          <w:color w:val="262626"/>
          <w:sz w:val="22"/>
        </w:rPr>
        <w:t>SHA-256 해시를 기록</w:t>
      </w:r>
      <w:r>
        <w:rPr>
          <w:rFonts w:ascii="맑은 고딕" w:hAnsi="맑은 고딕" w:eastAsia="맑은 고딕" w:cs="맑은 고딕"/>
          <w:b w:val="0"/>
          <w:i w:val="0"/>
          <w:color w:val="262626"/>
          <w:sz w:val="22"/>
        </w:rPr>
        <w:t>해 무결성을 보장했고, 무료 API 키 4종과 단일 명령으로 전 과정이 재현됩니다.</w:t>
      </w:r>
    </w:p>
    <w:p>
      <w:pPr>
        <w:spacing w:before="0" w:after="180" w:lineRule="auto" w:line="396"/>
        <w:ind w:firstLine="170"/>
        <w:jc w:val="both"/>
      </w:pPr>
      <w:r>
        <w:rPr>
          <w:rFonts w:ascii="맑은 고딕" w:hAnsi="맑은 고딕" w:eastAsia="맑은 고딕" w:cs="맑은 고딕"/>
          <w:b w:val="0"/>
          <w:i w:val="0"/>
          <w:color w:val="262626"/>
          <w:sz w:val="22"/>
        </w:rPr>
        <w:t>법정 채널의 원자료부터 살펴봤습니다. 여기서 이미 흥미로운 게 보입니다.</w:t>
      </w:r>
    </w:p>
    <w:p>
      <w:pPr>
        <w:spacing w:before="160" w:after="40" w:lineRule="auto" w:line="384"/>
        <w:jc w:val="center"/>
      </w:pPr>
      <w:r>
        <w:drawing>
          <wp:inline xmlns:a="http://schemas.openxmlformats.org/drawingml/2006/main" xmlns:pic="http://schemas.openxmlformats.org/drawingml/2006/picture">
            <wp:extent cx="5580000" cy="6944572"/>
            <wp:docPr id="3" name="Picture 3"/>
            <wp:cNvGraphicFramePr>
              <a:graphicFrameLocks noChangeAspect="1"/>
            </wp:cNvGraphicFramePr>
            <a:graphic>
              <a:graphicData uri="http://schemas.openxmlformats.org/drawingml/2006/picture">
                <pic:pic>
                  <pic:nvPicPr>
                    <pic:cNvPr id="0" name="03.png"/>
                    <pic:cNvPicPr/>
                  </pic:nvPicPr>
                  <pic:blipFill>
                    <a:blip r:embed="rId11"/>
                    <a:stretch>
                      <a:fillRect/>
                    </a:stretch>
                  </pic:blipFill>
                  <pic:spPr>
                    <a:xfrm>
                      <a:off x="0" y="0"/>
                      <a:ext cx="5580000" cy="6944572"/>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3. </w:t>
      </w:r>
      <w:r>
        <w:rPr>
          <w:rFonts w:ascii="맑은 고딕" w:hAnsi="맑은 고딕" w:eastAsia="맑은 고딕" w:cs="맑은 고딕"/>
          <w:b w:val="0"/>
          <w:i w:val="0"/>
          <w:color w:val="6E6E6E"/>
          <w:sz w:val="19"/>
        </w:rPr>
        <w:t>같은 자료를 기업×연도 격자로 본 히트맵입니다. 색이 진할수록 배출량이 큽니다. 대부분 기업이 옅어지는(감소) 흐름인데, 특정 기업의 행만 일관되게 진해지는 것을 볼 수 있습니다. 이 상승이 뒤에서 위성 채널의 하강과 정면으로 충돌하게 됩니다.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5. 위성이 보는 것과, 보정해야 하는 것</w:t>
      </w:r>
    </w:p>
    <w:p>
      <w:pPr>
        <w:spacing w:before="0" w:after="180" w:lineRule="auto" w:line="396"/>
        <w:ind w:firstLine="170"/>
        <w:jc w:val="both"/>
      </w:pPr>
      <w:r>
        <w:rPr>
          <w:rFonts w:ascii="맑은 고딕" w:hAnsi="맑은 고딕" w:eastAsia="맑은 고딕" w:cs="맑은 고딕"/>
          <w:b w:val="0"/>
          <w:i w:val="0"/>
          <w:color w:val="262626"/>
          <w:sz w:val="22"/>
        </w:rPr>
        <w:t xml:space="preserve">위성 4종을 왜 동시에 추적했을까요? </w:t>
      </w:r>
      <w:r>
        <w:rPr>
          <w:rFonts w:ascii="맑은 고딕" w:hAnsi="맑은 고딕" w:eastAsia="맑은 고딕" w:cs="맑은 고딕"/>
          <w:b/>
          <w:i w:val="0"/>
          <w:color w:val="262626"/>
          <w:sz w:val="22"/>
        </w:rPr>
        <w:t>화학적 수명과 생성 경로가 다른 성분들이 같은 방향을 가리킬 때, 우연이 아닌 배출 활동의 신호로 해석할 수 있기 때문</w:t>
      </w:r>
      <w:r>
        <w:rPr>
          <w:rFonts w:ascii="맑은 고딕" w:hAnsi="맑은 고딕" w:eastAsia="맑은 고딕" w:cs="맑은 고딕"/>
          <w:b w:val="0"/>
          <w:i w:val="0"/>
          <w:color w:val="262626"/>
          <w:sz w:val="22"/>
        </w:rPr>
        <w:t>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NO₂</w:t>
      </w:r>
      <w:r>
        <w:rPr>
          <w:rFonts w:ascii="맑은 고딕" w:hAnsi="맑은 고딕" w:eastAsia="맑은 고딕" w:cs="맑은 고딕"/>
          <w:b w:val="0"/>
          <w:i w:val="0"/>
          <w:color w:val="262626"/>
          <w:sz w:val="22"/>
        </w:rPr>
        <w:t>: 연소 활동의 단기 지표(수 시간 수명)</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SO₂</w:t>
      </w:r>
      <w:r>
        <w:rPr>
          <w:rFonts w:ascii="맑은 고딕" w:hAnsi="맑은 고딕" w:eastAsia="맑은 고딕" w:cs="맑은 고딕"/>
          <w:b w:val="0"/>
          <w:i w:val="0"/>
          <w:color w:val="262626"/>
          <w:sz w:val="22"/>
        </w:rPr>
        <w:t>: 황 함유 연료의 연소 → 발전, 제철을 지시</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CO</w:t>
      </w:r>
      <w:r>
        <w:rPr>
          <w:rFonts w:ascii="맑은 고딕" w:hAnsi="맑은 고딕" w:eastAsia="맑은 고딕" w:cs="맑은 고딕"/>
          <w:b w:val="0"/>
          <w:i w:val="0"/>
          <w:color w:val="262626"/>
          <w:sz w:val="22"/>
        </w:rPr>
        <w:t>: 불완전연소</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HCHO</w:t>
      </w:r>
      <w:r>
        <w:rPr>
          <w:rFonts w:ascii="맑은 고딕" w:hAnsi="맑은 고딕" w:eastAsia="맑은 고딕" w:cs="맑은 고딕"/>
          <w:b w:val="0"/>
          <w:i w:val="0"/>
          <w:color w:val="262626"/>
          <w:sz w:val="22"/>
        </w:rPr>
        <w:t>: VOC 계열 → 석유화학을 지시</w:t>
      </w:r>
    </w:p>
    <w:p>
      <w:pPr>
        <w:spacing w:before="0" w:after="180" w:lineRule="auto" w:line="396"/>
        <w:ind w:firstLine="170"/>
        <w:jc w:val="both"/>
      </w:pPr>
      <w:r>
        <w:rPr>
          <w:rFonts w:ascii="맑은 고딕" w:hAnsi="맑은 고딕" w:eastAsia="맑은 고딕" w:cs="맑은 고딕"/>
          <w:b w:val="0"/>
          <w:i w:val="0"/>
          <w:color w:val="262626"/>
          <w:sz w:val="22"/>
        </w:rPr>
        <w:t>성분 조합만으로 업종 구분까지 가능해집니다.</w:t>
      </w:r>
    </w:p>
    <w:p>
      <w:pPr>
        <w:spacing w:before="160" w:after="40" w:lineRule="auto" w:line="384"/>
        <w:jc w:val="center"/>
      </w:pPr>
      <w:r>
        <w:drawing>
          <wp:inline xmlns:a="http://schemas.openxmlformats.org/drawingml/2006/main" xmlns:pic="http://schemas.openxmlformats.org/drawingml/2006/picture">
            <wp:extent cx="5580000" cy="4395471"/>
            <wp:docPr id="4" name="Picture 4"/>
            <wp:cNvGraphicFramePr>
              <a:graphicFrameLocks noChangeAspect="1"/>
            </wp:cNvGraphicFramePr>
            <a:graphic>
              <a:graphicData uri="http://schemas.openxmlformats.org/drawingml/2006/picture">
                <pic:pic>
                  <pic:nvPicPr>
                    <pic:cNvPr id="0" name="04.png"/>
                    <pic:cNvPicPr/>
                  </pic:nvPicPr>
                  <pic:blipFill>
                    <a:blip r:embed="rId12"/>
                    <a:stretch>
                      <a:fillRect/>
                    </a:stretch>
                  </pic:blipFill>
                  <pic:spPr>
                    <a:xfrm>
                      <a:off x="0" y="0"/>
                      <a:ext cx="5580000" cy="4395471"/>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4. </w:t>
      </w:r>
      <w:r>
        <w:rPr>
          <w:rFonts w:ascii="맑은 고딕" w:hAnsi="맑은 고딕" w:eastAsia="맑은 고딕" w:cs="맑은 고딕"/>
          <w:b w:val="0"/>
          <w:i w:val="0"/>
          <w:color w:val="6E6E6E"/>
          <w:sz w:val="19"/>
        </w:rPr>
        <w:t>Sentinel-5P가 관측한 네 가지 대기 성분의 전국 분포입니다. 성분마다 뜨거운 지역이 다른 것을 볼 수 있는데, SO₂는 발전·제철 단지에서, HCHO는 석유화학 단지에서 강하게 나타납니다. 이 차이가 업종을 구분하는 단서가 됩니다.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그런데 위성 4종에는 한계가 있습니다. </w:t>
      </w:r>
      <w:r>
        <w:rPr>
          <w:rFonts w:ascii="맑은 고딕" w:hAnsi="맑은 고딕" w:eastAsia="맑은 고딕" w:cs="맑은 고딕"/>
          <w:b/>
          <w:i w:val="0"/>
          <w:color w:val="262626"/>
          <w:sz w:val="22"/>
        </w:rPr>
        <w:t>이산화질소는 이산화탄소가 아닙니다.</w:t>
      </w:r>
      <w:r>
        <w:rPr>
          <w:rFonts w:ascii="맑은 고딕" w:hAnsi="맑은 고딕" w:eastAsia="맑은 고딕" w:cs="맑은 고딕"/>
          <w:b w:val="0"/>
          <w:i w:val="0"/>
          <w:color w:val="262626"/>
          <w:sz w:val="22"/>
        </w:rPr>
        <w:t xml:space="preserve"> 연소 활동의 대용 지표일 뿐입니다. 이 비판은 정당합니다.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그래서 네 번째 채널로 </w:t>
      </w:r>
      <w:r>
        <w:rPr>
          <w:rFonts w:ascii="맑은 고딕" w:hAnsi="맑은 고딕" w:eastAsia="맑은 고딕" w:cs="맑은 고딕"/>
          <w:b/>
          <w:i w:val="0"/>
          <w:color w:val="262626"/>
          <w:sz w:val="22"/>
        </w:rPr>
        <w:t>ODIAC</w:t>
      </w:r>
      <w:r>
        <w:rPr>
          <w:rFonts w:ascii="맑은 고딕" w:hAnsi="맑은 고딕" w:eastAsia="맑은 고딕" w:cs="맑은 고딕"/>
          <w:b w:val="0"/>
          <w:i w:val="0"/>
          <w:color w:val="262626"/>
          <w:sz w:val="22"/>
        </w:rPr>
        <w:t>을 도입했습니다. 야간광과 발전소 배출목록을 융합해 1km 격자에서 화석연료 CO₂를 직접 추정하는 자료입니다. 즉 "대용 지표가 아닌 CO₂ 자체"로 응답한 것입니다.</w:t>
      </w:r>
    </w:p>
    <w:p>
      <w:pPr>
        <w:spacing w:before="0" w:after="180" w:lineRule="auto" w:line="396"/>
        <w:ind w:firstLine="170"/>
        <w:jc w:val="both"/>
      </w:pPr>
      <w:r>
        <w:rPr>
          <w:rFonts w:ascii="맑은 고딕" w:hAnsi="맑은 고딕" w:eastAsia="맑은 고딕" w:cs="맑은 고딕"/>
          <w:b w:val="0"/>
          <w:i w:val="0"/>
          <w:color w:val="262626"/>
          <w:sz w:val="22"/>
        </w:rPr>
        <w:t>여기서 눈으로 확인되는 결과가 나왔습니다.</w:t>
      </w:r>
    </w:p>
    <w:p>
      <w:pPr>
        <w:spacing w:before="160" w:after="40" w:lineRule="auto" w:line="384"/>
        <w:jc w:val="center"/>
      </w:pPr>
      <w:r>
        <w:drawing>
          <wp:inline xmlns:a="http://schemas.openxmlformats.org/drawingml/2006/main" xmlns:pic="http://schemas.openxmlformats.org/drawingml/2006/picture">
            <wp:extent cx="5580000" cy="1800923"/>
            <wp:docPr id="5" name="Picture 5"/>
            <wp:cNvGraphicFramePr>
              <a:graphicFrameLocks noChangeAspect="1"/>
            </wp:cNvGraphicFramePr>
            <a:graphic>
              <a:graphicData uri="http://schemas.openxmlformats.org/drawingml/2006/picture">
                <pic:pic>
                  <pic:nvPicPr>
                    <pic:cNvPr id="0" name="05.png"/>
                    <pic:cNvPicPr/>
                  </pic:nvPicPr>
                  <pic:blipFill>
                    <a:blip r:embed="rId13"/>
                    <a:stretch>
                      <a:fillRect/>
                    </a:stretch>
                  </pic:blipFill>
                  <pic:spPr>
                    <a:xfrm>
                      <a:off x="0" y="0"/>
                      <a:ext cx="5580000" cy="1800923"/>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5. </w:t>
      </w:r>
      <w:r>
        <w:rPr>
          <w:rFonts w:ascii="맑은 고딕" w:hAnsi="맑은 고딕" w:eastAsia="맑은 고딕" w:cs="맑은 고딕"/>
          <w:b w:val="0"/>
          <w:i w:val="0"/>
          <w:color w:val="6E6E6E"/>
          <w:sz w:val="19"/>
        </w:rPr>
        <w:t>ODIAC으로 본 2019년과 2023년의 공간 변화입니다. 전국 다수 산업 지역에서 감소가 관찰되는데, 이는 국가 인벤토리 총량의 감소 추세와 정확히 정합합니다. 1km 격자의 미시 데이터가 국가 단위 거시 통계와 맞아떨어진다는 것이 ODIAC 채널을 신뢰할 수 있는 근거가 됩니다.</w:t>
      </w:r>
    </w:p>
    <w:p>
      <w:pPr>
        <w:spacing w:before="240" w:after="80" w:lineRule="auto" w:line="384"/>
      </w:pPr>
      <w:r>
        <w:rPr>
          <w:rFonts w:ascii="맑은 고딕" w:hAnsi="맑은 고딕" w:eastAsia="맑은 고딕" w:cs="맑은 고딕"/>
          <w:b/>
          <w:i w:val="0"/>
          <w:color w:val="1F4E36"/>
          <w:sz w:val="25"/>
        </w:rPr>
        <w:t>바람의 변화를 배출의 변화로 착각하지 않기</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반드시 처리해야 하는 문제가 있습니다. 위성이 보는 대기 중 농도는 </w:t>
      </w:r>
      <w:r>
        <w:rPr>
          <w:rFonts w:ascii="맑은 고딕" w:hAnsi="맑은 고딕" w:eastAsia="맑은 고딕" w:cs="맑은 고딕"/>
          <w:b/>
          <w:i w:val="0"/>
          <w:color w:val="262626"/>
          <w:sz w:val="22"/>
        </w:rPr>
        <w:t>바람이 세면 흩어지고 약하면 쌓입니다.</w:t>
      </w:r>
      <w:r>
        <w:rPr>
          <w:rFonts w:ascii="맑은 고딕" w:hAnsi="맑은 고딕" w:eastAsia="맑은 고딕" w:cs="맑은 고딕"/>
          <w:b w:val="0"/>
          <w:i w:val="0"/>
          <w:color w:val="262626"/>
          <w:sz w:val="22"/>
        </w:rPr>
        <w:t xml:space="preserve"> 기온, 강수, 대기경계층고도 영향을 줍니다. 그러니까 농도가 줄었다고 배출이 줄었다고 말할 수 없습니다.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그래서 사업장별로 </w:t>
      </w:r>
      <w:r>
        <w:rPr>
          <w:rFonts w:ascii="맑은 고딕" w:hAnsi="맑은 고딕" w:eastAsia="맑은 고딕" w:cs="맑은 고딕"/>
          <w:b/>
          <w:i w:val="0"/>
          <w:color w:val="262626"/>
          <w:sz w:val="22"/>
        </w:rPr>
        <w:t>동서·남북 풍속, 2m 기온, 강수, 경계층고의 5개 기상 변수와 월 더미</w:t>
      </w:r>
      <w:r>
        <w:rPr>
          <w:rFonts w:ascii="맑은 고딕" w:hAnsi="맑은 고딕" w:eastAsia="맑은 고딕" w:cs="맑은 고딕"/>
          <w:b w:val="0"/>
          <w:i w:val="0"/>
          <w:color w:val="262626"/>
          <w:sz w:val="22"/>
        </w:rPr>
        <w:t xml:space="preserve">를 설명변수로 회귀를 적합하고, </w:t>
      </w:r>
      <w:r>
        <w:rPr>
          <w:rFonts w:ascii="맑은 고딕" w:hAnsi="맑은 고딕" w:eastAsia="맑은 고딕" w:cs="맑은 고딕"/>
          <w:b/>
          <w:i w:val="0"/>
          <w:color w:val="262626"/>
          <w:sz w:val="22"/>
        </w:rPr>
        <w:t>그 잔차만을 배출 신호로 사용</w:t>
      </w:r>
      <w:r>
        <w:rPr>
          <w:rFonts w:ascii="맑은 고딕" w:hAnsi="맑은 고딕" w:eastAsia="맑은 고딕" w:cs="맑은 고딕"/>
          <w:b w:val="0"/>
          <w:i w:val="0"/>
          <w:color w:val="262626"/>
          <w:sz w:val="22"/>
        </w:rPr>
        <w:t>했습니다.</w:t>
      </w:r>
    </w:p>
    <w:p>
      <w:pPr>
        <w:spacing w:before="0" w:after="180" w:lineRule="auto" w:line="396"/>
        <w:ind w:firstLine="170"/>
        <w:jc w:val="both"/>
      </w:pPr>
      <w:r>
        <w:rPr>
          <w:rFonts w:ascii="맑은 고딕" w:hAnsi="맑은 고딕" w:eastAsia="맑은 고딕" w:cs="맑은 고딕"/>
          <w:b w:val="0"/>
          <w:i w:val="0"/>
          <w:color w:val="262626"/>
          <w:sz w:val="22"/>
        </w:rPr>
        <w:t>설명력은 HCHO 0.94부터 CO 0.67까지였는데, 이는 261개 도시를 분석한 국제 연구(Fioletov 외, 2025)와 정확히 같은 범위입니다. NASA MERRA-2를 독립 대체 입력으로 두어 기상 모델을 바꿔도 결과가 유지되는지도 확인했습니다(R² 0.64~0.91).</w:t>
      </w:r>
    </w:p>
    <w:p>
      <w:pPr>
        <w:spacing w:before="160" w:after="40" w:lineRule="auto" w:line="384"/>
        <w:jc w:val="center"/>
      </w:pPr>
      <w:r>
        <w:drawing>
          <wp:inline xmlns:a="http://schemas.openxmlformats.org/drawingml/2006/main" xmlns:pic="http://schemas.openxmlformats.org/drawingml/2006/picture">
            <wp:extent cx="5580000" cy="3631216"/>
            <wp:docPr id="6" name="Picture 6"/>
            <wp:cNvGraphicFramePr>
              <a:graphicFrameLocks noChangeAspect="1"/>
            </wp:cNvGraphicFramePr>
            <a:graphic>
              <a:graphicData uri="http://schemas.openxmlformats.org/drawingml/2006/picture">
                <pic:pic>
                  <pic:nvPicPr>
                    <pic:cNvPr id="0" name="06.png"/>
                    <pic:cNvPicPr/>
                  </pic:nvPicPr>
                  <pic:blipFill>
                    <a:blip r:embed="rId14"/>
                    <a:stretch>
                      <a:fillRect/>
                    </a:stretch>
                  </pic:blipFill>
                  <pic:spPr>
                    <a:xfrm>
                      <a:off x="0" y="0"/>
                      <a:ext cx="5580000" cy="3631216"/>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6. </w:t>
      </w:r>
      <w:r>
        <w:rPr>
          <w:rFonts w:ascii="맑은 고딕" w:hAnsi="맑은 고딕" w:eastAsia="맑은 고딕" w:cs="맑은 고딕"/>
          <w:b w:val="0"/>
          <w:i w:val="0"/>
          <w:color w:val="6E6E6E"/>
          <w:sz w:val="19"/>
        </w:rPr>
        <w:t>산업시설 네 곳의 NO₂ 시계열을 기상보정 전과 후로 비교한 그림입니다. 보정 후에는 계절 진폭이 제거되어 장기 추세가 드러납니다. 중요한 것은 보정 전후 모두에서 핵심 발견의 분류가 변하지 않았다는 점입니다. 즉 이 결과는 보정 방법이 만들어낸 것이 아닙니다.</w:t>
      </w:r>
    </w:p>
    <w:p>
      <w:pPr>
        <w:spacing w:before="240" w:after="80" w:lineRule="auto" w:line="384"/>
      </w:pPr>
      <w:r>
        <w:rPr>
          <w:rFonts w:ascii="맑은 고딕" w:hAnsi="맑은 고딕" w:eastAsia="맑은 고딕" w:cs="맑은 고딕"/>
          <w:b/>
          <w:i w:val="0"/>
          <w:color w:val="1F4E36"/>
          <w:sz w:val="25"/>
        </w:rPr>
        <w:t>방향을 비교하기 전에, 규모부터 맞는지 확인했습니다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기상보정을 마쳤다고 바로 방향 비교로 넘어갈 수는 없었습니다. 그 전에 확인해야 할 전제가 하나 있었습니다. </w:t>
      </w:r>
      <w:r>
        <w:rPr>
          <w:rFonts w:ascii="맑은 고딕" w:hAnsi="맑은 고딕" w:eastAsia="맑은 고딕" w:cs="맑은 고딕"/>
          <w:b/>
          <w:i w:val="0"/>
          <w:color w:val="262626"/>
          <w:sz w:val="22"/>
        </w:rPr>
        <w:t>위성이 본 신호가 애초에 배출 규모를 반영하고 있는가?</w:t>
      </w:r>
      <w:r>
        <w:rPr>
          <w:rFonts w:ascii="맑은 고딕" w:hAnsi="맑은 고딕" w:eastAsia="맑은 고딕" w:cs="맑은 고딕"/>
          <w:b w:val="0"/>
          <w:i w:val="0"/>
          <w:color w:val="262626"/>
          <w:sz w:val="22"/>
        </w:rPr>
        <w:t xml:space="preserve"> 이게 성립하지 않으면 뒤의 모든 비교가 무의미해집니다.</w:t>
      </w:r>
    </w:p>
    <w:p>
      <w:pPr>
        <w:spacing w:before="0" w:after="180" w:lineRule="auto" w:line="396"/>
        <w:ind w:firstLine="170"/>
        <w:jc w:val="both"/>
      </w:pPr>
      <w:r>
        <w:rPr>
          <w:rFonts w:ascii="맑은 고딕" w:hAnsi="맑은 고딕" w:eastAsia="맑은 고딕" w:cs="맑은 고딕"/>
          <w:b w:val="0"/>
          <w:i w:val="0"/>
          <w:color w:val="262626"/>
          <w:sz w:val="22"/>
        </w:rPr>
        <w:t>그래서 같은 연도에 대해 기업별 공시 배출량과 위성 신호를 나란히 놓고 상관을 봤습니다. 크게 배출하는 기업의 상공에서 신호가 실제로 더 강한지를 확인한 것입니다. 결과는 네 성분 모두에서 양의 상관이었고, ODIAC의 CO₂도 같은 방향이었습니다. 위성 채널이 배출 규모의 유효한 대용 지표라는 전제가 성립한 셈입니다.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절차를 굳이 적는 이유가 있습니다. 검증 연구에서 가장 위험한 실수는 </w:t>
      </w:r>
      <w:r>
        <w:rPr>
          <w:rFonts w:ascii="맑은 고딕" w:hAnsi="맑은 고딕" w:eastAsia="맑은 고딕" w:cs="맑은 고딕"/>
          <w:b/>
          <w:i w:val="0"/>
          <w:color w:val="262626"/>
          <w:sz w:val="22"/>
        </w:rPr>
        <w:t>비교에 쓰는 도구가 제대로 작동하는지 확인하지 않고 결론부터 내는 것</w:t>
      </w:r>
      <w:r>
        <w:rPr>
          <w:rFonts w:ascii="맑은 고딕" w:hAnsi="맑은 고딕" w:eastAsia="맑은 고딕" w:cs="맑은 고딕"/>
          <w:b w:val="0"/>
          <w:i w:val="0"/>
          <w:color w:val="262626"/>
          <w:sz w:val="22"/>
        </w:rPr>
        <w:t>이라고 생각하기 때문입니다. 관련 산점도는 저장소에 함께 공개해 두었습니다.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6. 절대값을 비교하지 않고 '방향'을 비교했습니다</w:t>
      </w:r>
    </w:p>
    <w:p>
      <w:pPr>
        <w:spacing w:before="0" w:after="180" w:lineRule="auto" w:line="396"/>
        <w:ind w:firstLine="170"/>
        <w:jc w:val="both"/>
      </w:pPr>
      <w:r>
        <w:rPr>
          <w:rFonts w:ascii="맑은 고딕" w:hAnsi="맑은 고딕" w:eastAsia="맑은 고딕" w:cs="맑은 고딕"/>
          <w:b w:val="0"/>
          <w:i w:val="0"/>
          <w:color w:val="262626"/>
          <w:sz w:val="22"/>
        </w:rPr>
        <w:t>이게 이 연구의 방법론적 핵심입니다. 왜 절대값을 직접 빼지 않았을까요? 세 가지 이유입니다.</w:t>
      </w:r>
    </w:p>
    <w:p>
      <w:pPr>
        <w:spacing w:before="0" w:after="180" w:lineRule="auto" w:line="396"/>
        <w:ind w:firstLine="170"/>
        <w:jc w:val="both"/>
      </w:pPr>
      <w:r>
        <w:rPr>
          <w:rFonts w:ascii="맑은 고딕" w:hAnsi="맑은 고딕" w:eastAsia="맑은 고딕" w:cs="맑은 고딕"/>
          <w:b/>
          <w:i w:val="0"/>
          <w:color w:val="262626"/>
          <w:sz w:val="22"/>
        </w:rPr>
        <w:t>첫째, 네 채널은 단위와 조직경계와 배출계수가 모두 달라 절대값을 직접 뺄 수 없습니다.</w:t>
      </w:r>
      <w:r>
        <w:rPr>
          <w:rFonts w:ascii="맑은 고딕" w:hAnsi="맑은 고딕" w:eastAsia="맑은 고딕" w:cs="맑은 고딕"/>
          <w:b w:val="0"/>
          <w:i w:val="0"/>
          <w:color w:val="262626"/>
          <w:sz w:val="22"/>
        </w:rPr>
        <w:t xml:space="preserve"> 위성의 컬럼 농도와 공시의 톤CO₂를 어떻게 빼겠습니까.</w:t>
      </w:r>
    </w:p>
    <w:p>
      <w:pPr>
        <w:spacing w:before="0" w:after="180" w:lineRule="auto" w:line="396"/>
        <w:ind w:firstLine="170"/>
        <w:jc w:val="both"/>
      </w:pPr>
      <w:r>
        <w:rPr>
          <w:rFonts w:ascii="맑은 고딕" w:hAnsi="맑은 고딕" w:eastAsia="맑은 고딕" w:cs="맑은 고딕"/>
          <w:b/>
          <w:i w:val="0"/>
          <w:color w:val="262626"/>
          <w:sz w:val="22"/>
        </w:rPr>
        <w:t>둘째, 사업장 위치와 위성 화소의 공간적 불일치가 측정 편의를 만듭니다.</w:t>
      </w:r>
      <w:r>
        <w:rPr>
          <w:rFonts w:ascii="맑은 고딕" w:hAnsi="맑은 고딕" w:eastAsia="맑은 고딕" w:cs="맑은 고딕"/>
          <w:b w:val="0"/>
          <w:i w:val="0"/>
          <w:color w:val="262626"/>
          <w:sz w:val="22"/>
        </w:rPr>
        <w:t xml:space="preserve"> 그런데 그 편의가 시간에 대해 일정하다면, </w:t>
      </w:r>
      <w:r>
        <w:rPr>
          <w:rFonts w:ascii="맑은 고딕" w:hAnsi="맑은 고딕" w:eastAsia="맑은 고딕" w:cs="맑은 고딕"/>
          <w:b/>
          <w:i w:val="0"/>
          <w:color w:val="262626"/>
          <w:sz w:val="22"/>
        </w:rPr>
        <w:t>연도 간 차분에서 상쇄됩니다.</w:t>
      </w:r>
      <w:r>
        <w:rPr>
          <w:rFonts w:ascii="맑은 고딕" w:hAnsi="맑은 고딕" w:eastAsia="맑은 고딕" w:cs="맑은 고딕"/>
          <w:b w:val="0"/>
          <w:i w:val="0"/>
          <w:color w:val="262626"/>
          <w:sz w:val="22"/>
        </w:rPr>
        <w:t xml:space="preserve"> 이건 패널 계량경제학에서 고정효과가 시불변 개체효과를 제거하는 원리와 같습니다.</w:t>
      </w:r>
    </w:p>
    <w:p>
      <w:pPr>
        <w:spacing w:before="0" w:after="180" w:lineRule="auto" w:line="396"/>
        <w:ind w:firstLine="170"/>
        <w:jc w:val="both"/>
      </w:pPr>
      <w:r>
        <w:rPr>
          <w:rFonts w:ascii="맑은 고딕" w:hAnsi="맑은 고딕" w:eastAsia="맑은 고딕" w:cs="맑은 고딕"/>
          <w:b/>
          <w:i w:val="0"/>
          <w:color w:val="262626"/>
          <w:sz w:val="22"/>
        </w:rPr>
        <w:t>셋째, 따라서 단위와 척도에 불변인 '방향'이 이질적인 네 채널이 만날 수 있는 유일한 공통 좌표입니다.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방향을 재는 도구로는 </w:t>
      </w:r>
      <w:r>
        <w:rPr>
          <w:rFonts w:ascii="맑은 고딕" w:hAnsi="맑은 고딕" w:eastAsia="맑은 고딕" w:cs="맑은 고딕"/>
          <w:b/>
          <w:i w:val="0"/>
          <w:color w:val="262626"/>
          <w:sz w:val="22"/>
        </w:rPr>
        <w:t>Mann-Kendall τ</w:t>
      </w:r>
      <w:r>
        <w:rPr>
          <w:rFonts w:ascii="맑은 고딕" w:hAnsi="맑은 고딕" w:eastAsia="맑은 고딕" w:cs="맑은 고딕"/>
          <w:b w:val="0"/>
          <w:i w:val="0"/>
          <w:color w:val="262626"/>
          <w:sz w:val="22"/>
        </w:rPr>
        <w:t xml:space="preserve">를 썼습니다. 이 방법은 절대값이 아니라 </w:t>
      </w:r>
      <w:r>
        <w:rPr>
          <w:rFonts w:ascii="맑은 고딕" w:hAnsi="맑은 고딕" w:eastAsia="맑은 고딕" w:cs="맑은 고딕"/>
          <w:b/>
          <w:i w:val="0"/>
          <w:color w:val="262626"/>
          <w:sz w:val="22"/>
        </w:rPr>
        <w:t>모든 연도쌍의 순위 부호만</w:t>
      </w:r>
      <w:r>
        <w:rPr>
          <w:rFonts w:ascii="맑은 고딕" w:hAnsi="맑은 고딕" w:eastAsia="맑은 고딕" w:cs="맑은 고딕"/>
          <w:b w:val="0"/>
          <w:i w:val="0"/>
          <w:color w:val="262626"/>
          <w:sz w:val="22"/>
        </w:rPr>
        <w:t xml:space="preserve"> 사용합니다. 5개년이면 10개 쌍이 생기는데, 10개가 모두 같은 부호면 완전 단조(τ = ±1.00)입니다. 정규성 가정이 필요 없어 적은 표본에도 적용할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실증적으로도 강건했습니다. </w:t>
      </w:r>
      <w:r>
        <w:rPr>
          <w:rFonts w:ascii="맑은 고딕" w:hAnsi="맑은 고딕" w:eastAsia="맑은 고딕" w:cs="맑은 고딕"/>
          <w:b/>
          <w:i w:val="0"/>
          <w:color w:val="262626"/>
          <w:sz w:val="22"/>
        </w:rPr>
        <w:t>기상보정 전후의 NO₂ 추세 부호가 23개사 중 22개사에서 일치</w:t>
      </w:r>
      <w:r>
        <w:rPr>
          <w:rFonts w:ascii="맑은 고딕" w:hAnsi="맑은 고딕" w:eastAsia="맑은 고딕" w:cs="맑은 고딕"/>
          <w:b w:val="0"/>
          <w:i w:val="0"/>
          <w:color w:val="262626"/>
          <w:sz w:val="22"/>
        </w:rPr>
        <w:t>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네 채널의 부호 조합으로 </w:t>
      </w:r>
      <w:r>
        <w:rPr>
          <w:rFonts w:ascii="맑은 고딕" w:hAnsi="맑은 고딕" w:eastAsia="맑은 고딕" w:cs="맑은 고딕"/>
          <w:b/>
          <w:i w:val="0"/>
          <w:color w:val="262626"/>
          <w:sz w:val="22"/>
        </w:rPr>
        <w:t>다섯 가지 패턴</w:t>
      </w:r>
      <w:r>
        <w:rPr>
          <w:rFonts w:ascii="맑은 고딕" w:hAnsi="맑은 고딕" w:eastAsia="맑은 고딕" w:cs="맑은 고딕"/>
          <w:b w:val="0"/>
          <w:i w:val="0"/>
          <w:color w:val="262626"/>
          <w:sz w:val="22"/>
        </w:rPr>
        <w:t>을 정의했습니다. |τ| 0.40을 임계로 상승·하강·무추세를 판정합니다(이 임계값도 사전 등록했습니다).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A↓ 일관 하강</w:t>
      </w:r>
      <w:r>
        <w:rPr>
          <w:rFonts w:ascii="맑은 고딕" w:hAnsi="맑은 고딕" w:eastAsia="맑은 고딕" w:cs="맑은 고딕"/>
          <w:b w:val="0"/>
          <w:i w:val="0"/>
          <w:color w:val="262626"/>
          <w:sz w:val="22"/>
        </w:rPr>
        <w:t>: 4채널 모두 하강 → 정책 효과가 반영된 정상 사례</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A↑ 일관 상승</w:t>
      </w:r>
      <w:r>
        <w:rPr>
          <w:rFonts w:ascii="맑은 고딕" w:hAnsi="맑은 고딕" w:eastAsia="맑은 고딕" w:cs="맑은 고딕"/>
          <w:b w:val="0"/>
          <w:i w:val="0"/>
          <w:color w:val="262626"/>
          <w:sz w:val="22"/>
        </w:rPr>
        <w:t>: 4채널 모두 상승 → 사업 확장에 따른 정직한 보고</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B ESG 이탈</w:t>
      </w:r>
      <w:r>
        <w:rPr>
          <w:rFonts w:ascii="맑은 고딕" w:hAnsi="맑은 고딕" w:eastAsia="맑은 고딕" w:cs="맑은 고딕"/>
          <w:b w:val="0"/>
          <w:i w:val="0"/>
          <w:color w:val="262626"/>
          <w:sz w:val="22"/>
        </w:rPr>
        <w:t>: ESG만 반대 → 자체보고의 경계 변경 또는 산정 오류 신호</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C GIR 의심</w:t>
      </w:r>
      <w:r>
        <w:rPr>
          <w:rFonts w:ascii="맑은 고딕" w:hAnsi="맑은 고딕" w:eastAsia="맑은 고딕" w:cs="맑은 고딕"/>
          <w:b w:val="0"/>
          <w:i w:val="0"/>
          <w:color w:val="262626"/>
          <w:sz w:val="22"/>
        </w:rPr>
        <w:t>: GIR만 반대 → 법정 신고의 정확성에 대한 역방향 검증 신호</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D 방향 반전</w:t>
      </w:r>
      <w:r>
        <w:rPr>
          <w:rFonts w:ascii="맑은 고딕" w:hAnsi="맑은 고딕" w:eastAsia="맑은 고딕" w:cs="맑은 고딕"/>
          <w:b w:val="0"/>
          <w:i w:val="0"/>
          <w:color w:val="262626"/>
          <w:sz w:val="22"/>
        </w:rPr>
        <w:t>: 공시는 상승, 관측은 하강 → 가장 주의가 필요한 신호</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7. 결과: 23개사 전수 분류</w:t>
      </w:r>
    </w:p>
    <w:p>
      <w:pPr>
        <w:spacing w:before="0" w:after="180" w:lineRule="auto" w:line="396"/>
        <w:ind w:firstLine="170"/>
        <w:jc w:val="both"/>
      </w:pPr>
      <w:r>
        <w:rPr>
          <w:rFonts w:ascii="맑은 고딕" w:hAnsi="맑은 고딕" w:eastAsia="맑은 고딕" w:cs="맑은 고딕"/>
          <w:b w:val="0"/>
          <w:i w:val="0"/>
          <w:color w:val="262626"/>
          <w:sz w:val="22"/>
        </w:rPr>
        <w:t>분류 결과는 이랬습니다.</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trPr>
        <w:tc>
          <w:tcPr>
            <w:tcW w:type="dxa" w:w="2379"/>
          </w:tcPr>
          <w:p>
            <w:pPr>
              <w:spacing w:before="40" w:after="40" w:lineRule="auto" w:line="276"/>
              <w:jc w:val="left"/>
              <w:shd w:val="clear" w:fill="EDF2ED"/>
            </w:pPr>
            <w:r/>
            <w:r>
              <w:rPr>
                <w:rFonts w:ascii="맑은 고딕" w:hAnsi="맑은 고딕" w:eastAsia="맑은 고딕" w:cs="맑은 고딕"/>
                <w:b/>
                <w:i w:val="0"/>
                <w:color w:val="1F4E36"/>
                <w:sz w:val="20"/>
              </w:rPr>
              <w:t>패턴</w:t>
            </w:r>
          </w:p>
        </w:tc>
        <w:tc>
          <w:tcPr>
            <w:tcW w:type="dxa" w:w="2379"/>
          </w:tcPr>
          <w:p>
            <w:pPr>
              <w:spacing w:before="40" w:after="40" w:lineRule="auto" w:line="276"/>
              <w:jc w:val="center"/>
              <w:shd w:val="clear" w:fill="EDF2ED"/>
            </w:pPr>
            <w:r/>
            <w:r>
              <w:rPr>
                <w:rFonts w:ascii="맑은 고딕" w:hAnsi="맑은 고딕" w:eastAsia="맑은 고딕" w:cs="맑은 고딕"/>
                <w:b/>
                <w:i w:val="0"/>
                <w:color w:val="1F4E36"/>
                <w:sz w:val="20"/>
              </w:rPr>
              <w:t>기업 수</w:t>
            </w:r>
          </w:p>
        </w:tc>
        <w:tc>
          <w:tcPr>
            <w:tcW w:type="dxa" w:w="2379"/>
          </w:tcPr>
          <w:p>
            <w:pPr>
              <w:spacing w:before="40" w:after="40" w:lineRule="auto" w:line="276"/>
              <w:jc w:val="center"/>
              <w:shd w:val="clear" w:fill="EDF2ED"/>
            </w:pPr>
            <w:r/>
            <w:r>
              <w:rPr>
                <w:rFonts w:ascii="맑은 고딕" w:hAnsi="맑은 고딕" w:eastAsia="맑은 고딕" w:cs="맑은 고딕"/>
                <w:b/>
                <w:i w:val="0"/>
                <w:color w:val="1F4E36"/>
                <w:sz w:val="20"/>
              </w:rPr>
              <w:t>비율</w:t>
            </w:r>
          </w:p>
        </w:tc>
        <w:tc>
          <w:tcPr>
            <w:tcW w:type="dxa" w:w="2379"/>
          </w:tcPr>
          <w:p>
            <w:pPr>
              <w:spacing w:before="40" w:after="40" w:lineRule="auto" w:line="276"/>
              <w:jc w:val="center"/>
              <w:shd w:val="clear" w:fill="EDF2ED"/>
            </w:pPr>
            <w:r/>
            <w:r>
              <w:rPr>
                <w:rFonts w:ascii="맑은 고딕" w:hAnsi="맑은 고딕" w:eastAsia="맑은 고딕" w:cs="맑은 고딕"/>
                <w:b/>
                <w:i w:val="0"/>
                <w:color w:val="1F4E36"/>
                <w:sz w:val="20"/>
              </w:rPr>
              <w:t>대표 기업</w:t>
            </w:r>
          </w:p>
        </w:tc>
      </w:tr>
      <w:tr>
        <w:trPr>
          <w:cantSplit/>
        </w:trPr>
        <w:tc>
          <w:tcPr>
            <w:tcW w:type="dxa" w:w="2379"/>
          </w:tcPr>
          <w:p>
            <w:pPr>
              <w:spacing w:before="40" w:after="40" w:lineRule="auto" w:line="276"/>
              <w:jc w:val="left"/>
            </w:pPr>
            <w:r/>
            <w:r>
              <w:rPr>
                <w:rFonts w:ascii="맑은 고딕" w:hAnsi="맑은 고딕" w:eastAsia="맑은 고딕" w:cs="맑은 고딕"/>
                <w:b w:val="0"/>
                <w:i w:val="0"/>
                <w:color w:val="262626"/>
                <w:sz w:val="20"/>
              </w:rPr>
              <w:t>A↓ 일관 하강</w:t>
            </w:r>
          </w:p>
        </w:tc>
        <w:tc>
          <w:tcPr>
            <w:tcW w:type="dxa" w:w="2379"/>
          </w:tcPr>
          <w:p>
            <w:pPr>
              <w:spacing w:before="40" w:after="40" w:lineRule="auto" w:line="276"/>
              <w:jc w:val="center"/>
            </w:pPr>
            <w:r/>
            <w:r>
              <w:rPr>
                <w:rFonts w:ascii="맑은 고딕" w:hAnsi="맑은 고딕" w:eastAsia="맑은 고딕" w:cs="맑은 고딕"/>
                <w:b w:val="0"/>
                <w:i w:val="0"/>
                <w:color w:val="262626"/>
                <w:sz w:val="20"/>
              </w:rPr>
              <w:t>12</w:t>
            </w:r>
          </w:p>
        </w:tc>
        <w:tc>
          <w:tcPr>
            <w:tcW w:type="dxa" w:w="2379"/>
          </w:tcPr>
          <w:p>
            <w:pPr>
              <w:spacing w:before="40" w:after="40" w:lineRule="auto" w:line="276"/>
              <w:jc w:val="center"/>
            </w:pPr>
            <w:r/>
            <w:r>
              <w:rPr>
                <w:rFonts w:ascii="맑은 고딕" w:hAnsi="맑은 고딕" w:eastAsia="맑은 고딕" w:cs="맑은 고딕"/>
                <w:b w:val="0"/>
                <w:i w:val="0"/>
                <w:color w:val="262626"/>
                <w:sz w:val="20"/>
              </w:rPr>
              <w:t>52.2%</w:t>
            </w:r>
          </w:p>
        </w:tc>
        <w:tc>
          <w:tcPr>
            <w:tcW w:type="dxa" w:w="2379"/>
          </w:tcPr>
          <w:p>
            <w:pPr>
              <w:spacing w:before="40" w:after="40" w:lineRule="auto" w:line="276"/>
              <w:jc w:val="center"/>
            </w:pPr>
            <w:r/>
            <w:r>
              <w:rPr>
                <w:rFonts w:ascii="맑은 고딕" w:hAnsi="맑은 고딕" w:eastAsia="맑은 고딕" w:cs="맑은 고딕"/>
                <w:b w:val="0"/>
                <w:i w:val="0"/>
                <w:color w:val="262626"/>
                <w:sz w:val="20"/>
              </w:rPr>
              <w:t>한국전력, 현대자동차, 롯데케미칼 외</w:t>
            </w:r>
          </w:p>
        </w:tc>
      </w:tr>
      <w:tr>
        <w:trPr>
          <w:cantSplit/>
        </w:trPr>
        <w:tc>
          <w:tcPr>
            <w:tcW w:type="dxa" w:w="2379"/>
          </w:tcPr>
          <w:p>
            <w:pPr>
              <w:spacing w:before="40" w:after="40" w:lineRule="auto" w:line="276"/>
              <w:jc w:val="left"/>
            </w:pPr>
            <w:r/>
            <w:r>
              <w:rPr>
                <w:rFonts w:ascii="맑은 고딕" w:hAnsi="맑은 고딕" w:eastAsia="맑은 고딕" w:cs="맑은 고딕"/>
                <w:b w:val="0"/>
                <w:i w:val="0"/>
                <w:color w:val="262626"/>
                <w:sz w:val="20"/>
              </w:rPr>
              <w:t>혼합</w:t>
            </w:r>
          </w:p>
        </w:tc>
        <w:tc>
          <w:tcPr>
            <w:tcW w:type="dxa" w:w="2379"/>
          </w:tcPr>
          <w:p>
            <w:pPr>
              <w:spacing w:before="40" w:after="40" w:lineRule="auto" w:line="276"/>
              <w:jc w:val="center"/>
            </w:pPr>
            <w:r/>
            <w:r>
              <w:rPr>
                <w:rFonts w:ascii="맑은 고딕" w:hAnsi="맑은 고딕" w:eastAsia="맑은 고딕" w:cs="맑은 고딕"/>
                <w:b w:val="0"/>
                <w:i w:val="0"/>
                <w:color w:val="262626"/>
                <w:sz w:val="20"/>
              </w:rPr>
              <w:t>7</w:t>
            </w:r>
          </w:p>
        </w:tc>
        <w:tc>
          <w:tcPr>
            <w:tcW w:type="dxa" w:w="2379"/>
          </w:tcPr>
          <w:p>
            <w:pPr>
              <w:spacing w:before="40" w:after="40" w:lineRule="auto" w:line="276"/>
              <w:jc w:val="center"/>
            </w:pPr>
            <w:r/>
            <w:r>
              <w:rPr>
                <w:rFonts w:ascii="맑은 고딕" w:hAnsi="맑은 고딕" w:eastAsia="맑은 고딕" w:cs="맑은 고딕"/>
                <w:b w:val="0"/>
                <w:i w:val="0"/>
                <w:color w:val="262626"/>
                <w:sz w:val="20"/>
              </w:rPr>
              <w:t>30.4%</w:t>
            </w:r>
          </w:p>
        </w:tc>
        <w:tc>
          <w:tcPr>
            <w:tcW w:type="dxa" w:w="2379"/>
          </w:tcPr>
          <w:p>
            <w:pPr>
              <w:spacing w:before="40" w:after="40" w:lineRule="auto" w:line="276"/>
              <w:jc w:val="center"/>
            </w:pPr>
            <w:r/>
            <w:r>
              <w:rPr>
                <w:rFonts w:ascii="맑은 고딕" w:hAnsi="맑은 고딕" w:eastAsia="맑은 고딕" w:cs="맑은 고딕"/>
                <w:b w:val="0"/>
                <w:i w:val="0"/>
                <w:color w:val="262626"/>
                <w:sz w:val="20"/>
              </w:rPr>
              <w:t>SK하이닉스, 현대제철, 대한항공 외</w:t>
            </w:r>
          </w:p>
        </w:tc>
      </w:tr>
      <w:tr>
        <w:trPr>
          <w:cantSplit/>
        </w:trPr>
        <w:tc>
          <w:tcPr>
            <w:tcW w:type="dxa" w:w="2379"/>
          </w:tcPr>
          <w:p>
            <w:pPr>
              <w:spacing w:before="40" w:after="40" w:lineRule="auto" w:line="276"/>
              <w:jc w:val="left"/>
            </w:pPr>
            <w:r/>
            <w:r>
              <w:rPr>
                <w:rFonts w:ascii="맑은 고딕" w:hAnsi="맑은 고딕" w:eastAsia="맑은 고딕" w:cs="맑은 고딕"/>
                <w:b/>
                <w:i w:val="0"/>
                <w:color w:val="262626"/>
                <w:sz w:val="20"/>
              </w:rPr>
              <w:t>D 방향 반전</w:t>
            </w:r>
          </w:p>
        </w:tc>
        <w:tc>
          <w:tcPr>
            <w:tcW w:type="dxa" w:w="2379"/>
          </w:tcPr>
          <w:p>
            <w:pPr>
              <w:spacing w:before="40" w:after="40" w:lineRule="auto" w:line="276"/>
              <w:jc w:val="center"/>
            </w:pPr>
            <w:r/>
            <w:r>
              <w:rPr>
                <w:rFonts w:ascii="맑은 고딕" w:hAnsi="맑은 고딕" w:eastAsia="맑은 고딕" w:cs="맑은 고딕"/>
                <w:b/>
                <w:i w:val="0"/>
                <w:color w:val="262626"/>
                <w:sz w:val="20"/>
              </w:rPr>
              <w:t>2</w:t>
            </w:r>
          </w:p>
        </w:tc>
        <w:tc>
          <w:tcPr>
            <w:tcW w:type="dxa" w:w="2379"/>
          </w:tcPr>
          <w:p>
            <w:pPr>
              <w:spacing w:before="40" w:after="40" w:lineRule="auto" w:line="276"/>
              <w:jc w:val="center"/>
            </w:pPr>
            <w:r/>
            <w:r>
              <w:rPr>
                <w:rFonts w:ascii="맑은 고딕" w:hAnsi="맑은 고딕" w:eastAsia="맑은 고딕" w:cs="맑은 고딕"/>
                <w:b/>
                <w:i w:val="0"/>
                <w:color w:val="262626"/>
                <w:sz w:val="20"/>
              </w:rPr>
              <w:t>8.7%</w:t>
            </w:r>
          </w:p>
        </w:tc>
        <w:tc>
          <w:tcPr>
            <w:tcW w:type="dxa" w:w="2379"/>
          </w:tcPr>
          <w:p>
            <w:pPr>
              <w:spacing w:before="40" w:after="40" w:lineRule="auto" w:line="276"/>
              <w:jc w:val="center"/>
            </w:pPr>
            <w:r/>
            <w:r>
              <w:rPr>
                <w:rFonts w:ascii="맑은 고딕" w:hAnsi="맑은 고딕" w:eastAsia="맑은 고딕" w:cs="맑은 고딕"/>
                <w:b/>
                <w:i w:val="0"/>
                <w:color w:val="262626"/>
                <w:sz w:val="20"/>
              </w:rPr>
              <w:t>포스코홀딩스, 삼성전자</w:t>
            </w:r>
          </w:p>
        </w:tc>
      </w:tr>
      <w:tr>
        <w:trPr>
          <w:cantSplit/>
        </w:trPr>
        <w:tc>
          <w:tcPr>
            <w:tcW w:type="dxa" w:w="2379"/>
          </w:tcPr>
          <w:p>
            <w:pPr>
              <w:spacing w:before="40" w:after="40" w:lineRule="auto" w:line="276"/>
              <w:jc w:val="left"/>
            </w:pPr>
            <w:r/>
            <w:r>
              <w:rPr>
                <w:rFonts w:ascii="맑은 고딕" w:hAnsi="맑은 고딕" w:eastAsia="맑은 고딕" w:cs="맑은 고딕"/>
                <w:b w:val="0"/>
                <w:i w:val="0"/>
                <w:color w:val="262626"/>
                <w:sz w:val="20"/>
              </w:rPr>
              <w:t>C GIR 의심</w:t>
            </w:r>
          </w:p>
        </w:tc>
        <w:tc>
          <w:tcPr>
            <w:tcW w:type="dxa" w:w="2379"/>
          </w:tcPr>
          <w:p>
            <w:pPr>
              <w:spacing w:before="40" w:after="40" w:lineRule="auto" w:line="276"/>
              <w:jc w:val="center"/>
            </w:pPr>
            <w:r/>
            <w:r>
              <w:rPr>
                <w:rFonts w:ascii="맑은 고딕" w:hAnsi="맑은 고딕" w:eastAsia="맑은 고딕" w:cs="맑은 고딕"/>
                <w:b w:val="0"/>
                <w:i w:val="0"/>
                <w:color w:val="262626"/>
                <w:sz w:val="20"/>
              </w:rPr>
              <w:t>1</w:t>
            </w:r>
          </w:p>
        </w:tc>
        <w:tc>
          <w:tcPr>
            <w:tcW w:type="dxa" w:w="2379"/>
          </w:tcPr>
          <w:p>
            <w:pPr>
              <w:spacing w:before="40" w:after="40" w:lineRule="auto" w:line="276"/>
              <w:jc w:val="center"/>
            </w:pPr>
            <w:r/>
            <w:r>
              <w:rPr>
                <w:rFonts w:ascii="맑은 고딕" w:hAnsi="맑은 고딕" w:eastAsia="맑은 고딕" w:cs="맑은 고딕"/>
                <w:b w:val="0"/>
                <w:i w:val="0"/>
                <w:color w:val="262626"/>
                <w:sz w:val="20"/>
              </w:rPr>
              <w:t>4.3%</w:t>
            </w:r>
          </w:p>
        </w:tc>
        <w:tc>
          <w:tcPr>
            <w:tcW w:type="dxa" w:w="2379"/>
          </w:tcPr>
          <w:p>
            <w:pPr>
              <w:spacing w:before="40" w:after="40" w:lineRule="auto" w:line="276"/>
              <w:jc w:val="center"/>
            </w:pPr>
            <w:r/>
            <w:r>
              <w:rPr>
                <w:rFonts w:ascii="맑은 고딕" w:hAnsi="맑은 고딕" w:eastAsia="맑은 고딕" w:cs="맑은 고딕"/>
                <w:b w:val="0"/>
                <w:i w:val="0"/>
                <w:color w:val="262626"/>
                <w:sz w:val="20"/>
              </w:rPr>
              <w:t>현대모비스</w:t>
            </w:r>
          </w:p>
        </w:tc>
      </w:tr>
      <w:tr>
        <w:trPr>
          <w:cantSplit/>
        </w:trPr>
        <w:tc>
          <w:tcPr>
            <w:tcW w:type="dxa" w:w="2379"/>
          </w:tcPr>
          <w:p>
            <w:pPr>
              <w:spacing w:before="40" w:after="40" w:lineRule="auto" w:line="276"/>
              <w:jc w:val="left"/>
            </w:pPr>
            <w:r/>
            <w:r>
              <w:rPr>
                <w:rFonts w:ascii="맑은 고딕" w:hAnsi="맑은 고딕" w:eastAsia="맑은 고딕" w:cs="맑은 고딕"/>
                <w:b w:val="0"/>
                <w:i w:val="0"/>
                <w:color w:val="262626"/>
                <w:sz w:val="20"/>
              </w:rPr>
              <w:t>A↑ 일관 상승</w:t>
            </w:r>
          </w:p>
        </w:tc>
        <w:tc>
          <w:tcPr>
            <w:tcW w:type="dxa" w:w="2379"/>
          </w:tcPr>
          <w:p>
            <w:pPr>
              <w:spacing w:before="40" w:after="40" w:lineRule="auto" w:line="276"/>
              <w:jc w:val="center"/>
            </w:pPr>
            <w:r/>
            <w:r>
              <w:rPr>
                <w:rFonts w:ascii="맑은 고딕" w:hAnsi="맑은 고딕" w:eastAsia="맑은 고딕" w:cs="맑은 고딕"/>
                <w:b w:val="0"/>
                <w:i w:val="0"/>
                <w:color w:val="262626"/>
                <w:sz w:val="20"/>
              </w:rPr>
              <w:t>1</w:t>
            </w:r>
          </w:p>
        </w:tc>
        <w:tc>
          <w:tcPr>
            <w:tcW w:type="dxa" w:w="2379"/>
          </w:tcPr>
          <w:p>
            <w:pPr>
              <w:spacing w:before="40" w:after="40" w:lineRule="auto" w:line="276"/>
              <w:jc w:val="center"/>
            </w:pPr>
            <w:r/>
            <w:r>
              <w:rPr>
                <w:rFonts w:ascii="맑은 고딕" w:hAnsi="맑은 고딕" w:eastAsia="맑은 고딕" w:cs="맑은 고딕"/>
                <w:b w:val="0"/>
                <w:i w:val="0"/>
                <w:color w:val="262626"/>
                <w:sz w:val="20"/>
              </w:rPr>
              <w:t>4.3%</w:t>
            </w:r>
          </w:p>
        </w:tc>
        <w:tc>
          <w:tcPr>
            <w:tcW w:type="dxa" w:w="2379"/>
          </w:tcPr>
          <w:p>
            <w:pPr>
              <w:spacing w:before="40" w:after="40" w:lineRule="auto" w:line="276"/>
              <w:jc w:val="center"/>
            </w:pPr>
            <w:r/>
            <w:r>
              <w:rPr>
                <w:rFonts w:ascii="맑은 고딕" w:hAnsi="맑은 고딕" w:eastAsia="맑은 고딕" w:cs="맑은 고딕"/>
                <w:b w:val="0"/>
                <w:i w:val="0"/>
                <w:color w:val="262626"/>
                <w:sz w:val="20"/>
              </w:rPr>
              <w:t>네이버(데이터센터 전력 수요)</w:t>
            </w:r>
          </w:p>
        </w:tc>
      </w:tr>
    </w:tbl>
    <w:p>
      <w:pPr>
        <w:spacing w:before="0" w:after="200" w:lineRule="auto" w:line="384"/>
      </w:pPr>
    </w:p>
    <w:p>
      <w:pPr>
        <w:spacing w:before="0" w:after="180" w:lineRule="auto" w:line="396"/>
        <w:ind w:firstLine="170"/>
        <w:jc w:val="both"/>
      </w:pPr>
      <w:r>
        <w:rPr>
          <w:rFonts w:ascii="맑은 고딕" w:hAnsi="맑은 고딕" w:eastAsia="맑은 고딕" w:cs="맑은 고딕"/>
          <w:b w:val="0"/>
          <w:i w:val="0"/>
          <w:color w:val="262626"/>
          <w:sz w:val="22"/>
        </w:rPr>
        <w:t xml:space="preserve">이 분포 자체가 하나의 제도 평가라고 생각합니다. </w:t>
      </w:r>
      <w:r>
        <w:rPr>
          <w:rFonts w:ascii="맑은 고딕" w:hAnsi="맑은 고딕" w:eastAsia="맑은 고딕" w:cs="맑은 고딕"/>
          <w:b/>
          <w:i w:val="0"/>
          <w:color w:val="262626"/>
          <w:sz w:val="22"/>
        </w:rPr>
        <w:t>다수의 정합(A↓ 52.2%)은 현행 법정 검증 체계가 작동하고 있음</w:t>
      </w:r>
      <w:r>
        <w:rPr>
          <w:rFonts w:ascii="맑은 고딕" w:hAnsi="맑은 고딕" w:eastAsia="맑은 고딕" w:cs="맑은 고딕"/>
          <w:b w:val="0"/>
          <w:i w:val="0"/>
          <w:color w:val="262626"/>
          <w:sz w:val="22"/>
        </w:rPr>
        <w:t xml:space="preserve">을 보여줍니다. 그리고 </w:t>
      </w:r>
      <w:r>
        <w:rPr>
          <w:rFonts w:ascii="맑은 고딕" w:hAnsi="맑은 고딕" w:eastAsia="맑은 고딕" w:cs="맑은 고딕"/>
          <w:b/>
          <w:i w:val="0"/>
          <w:color w:val="262626"/>
          <w:sz w:val="22"/>
        </w:rPr>
        <w:t>소수의 역전(D)은 그 체계의 사각지대</w:t>
      </w:r>
      <w:r>
        <w:rPr>
          <w:rFonts w:ascii="맑은 고딕" w:hAnsi="맑은 고딕" w:eastAsia="맑은 고딕" w:cs="맑은 고딕"/>
          <w:b w:val="0"/>
          <w:i w:val="0"/>
          <w:color w:val="262626"/>
          <w:sz w:val="22"/>
        </w:rPr>
        <w:t>를 보여줍니다.</w:t>
      </w:r>
    </w:p>
    <w:p>
      <w:pPr>
        <w:spacing w:before="0" w:after="180" w:lineRule="auto" w:line="396"/>
        <w:ind w:firstLine="170"/>
        <w:jc w:val="both"/>
      </w:pPr>
      <w:r>
        <w:rPr>
          <w:rFonts w:ascii="맑은 고딕" w:hAnsi="맑은 고딕" w:eastAsia="맑은 고딕" w:cs="맑은 고딕"/>
          <w:b w:val="0"/>
          <w:i w:val="0"/>
          <w:color w:val="262626"/>
          <w:sz w:val="22"/>
        </w:rPr>
        <w:t xml:space="preserve">D·C·혼합을 합한 약 39%는 </w:t>
      </w:r>
      <w:r>
        <w:rPr>
          <w:rFonts w:ascii="맑은 고딕" w:hAnsi="맑은 고딕" w:eastAsia="맑은 고딕" w:cs="맑은 고딕"/>
          <w:b/>
          <w:i w:val="0"/>
          <w:color w:val="262626"/>
          <w:sz w:val="22"/>
        </w:rPr>
        <w:t>단일 채널 검증으로는 식별이 불가능했던 신호</w:t>
      </w:r>
      <w:r>
        <w:rPr>
          <w:rFonts w:ascii="맑은 고딕" w:hAnsi="맑은 고딕" w:eastAsia="맑은 고딕" w:cs="맑은 고딕"/>
          <w:b w:val="0"/>
          <w:i w:val="0"/>
          <w:color w:val="262626"/>
          <w:sz w:val="22"/>
        </w:rPr>
        <w:t>입니다.</w:t>
      </w:r>
    </w:p>
    <w:p>
      <w:pPr>
        <w:spacing w:before="160" w:after="40" w:lineRule="auto" w:line="384"/>
        <w:jc w:val="center"/>
      </w:pPr>
      <w:r>
        <w:drawing>
          <wp:inline xmlns:a="http://schemas.openxmlformats.org/drawingml/2006/main" xmlns:pic="http://schemas.openxmlformats.org/drawingml/2006/picture">
            <wp:extent cx="5580000" cy="3058651"/>
            <wp:docPr id="7" name="Picture 7"/>
            <wp:cNvGraphicFramePr>
              <a:graphicFrameLocks noChangeAspect="1"/>
            </wp:cNvGraphicFramePr>
            <a:graphic>
              <a:graphicData uri="http://schemas.openxmlformats.org/drawingml/2006/picture">
                <pic:pic>
                  <pic:nvPicPr>
                    <pic:cNvPr id="0" name="07.png"/>
                    <pic:cNvPicPr/>
                  </pic:nvPicPr>
                  <pic:blipFill>
                    <a:blip r:embed="rId15"/>
                    <a:stretch>
                      <a:fillRect/>
                    </a:stretch>
                  </pic:blipFill>
                  <pic:spPr>
                    <a:xfrm>
                      <a:off x="0" y="0"/>
                      <a:ext cx="5580000" cy="3058651"/>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7. </w:t>
      </w:r>
      <w:r>
        <w:rPr>
          <w:rFonts w:ascii="맑은 고딕" w:hAnsi="맑은 고딕" w:eastAsia="맑은 고딕" w:cs="맑은 고딕"/>
          <w:b w:val="0"/>
          <w:i w:val="0"/>
          <w:color w:val="6E6E6E"/>
          <w:sz w:val="19"/>
        </w:rPr>
        <w:t>23개사의 패턴 분포입니다. 일관 하강이 다수를 이루고, 방향 반전이 2개사로 뚜렷하게 구분됩니다. 다수의 정합 위에서만 소수의 역전이 의미를 갖는다는 것이 이 분포의 해석 원리입니다.</w:t>
      </w:r>
    </w:p>
    <w:p>
      <w:pPr>
        <w:spacing w:before="160" w:after="40" w:lineRule="auto" w:line="384"/>
        <w:jc w:val="center"/>
      </w:pPr>
      <w:r>
        <w:drawing>
          <wp:inline xmlns:a="http://schemas.openxmlformats.org/drawingml/2006/main" xmlns:pic="http://schemas.openxmlformats.org/drawingml/2006/picture">
            <wp:extent cx="5580000" cy="3647021"/>
            <wp:docPr id="8" name="Picture 8"/>
            <wp:cNvGraphicFramePr>
              <a:graphicFrameLocks noChangeAspect="1"/>
            </wp:cNvGraphicFramePr>
            <a:graphic>
              <a:graphicData uri="http://schemas.openxmlformats.org/drawingml/2006/picture">
                <pic:pic>
                  <pic:nvPicPr>
                    <pic:cNvPr id="0" name="08.png"/>
                    <pic:cNvPicPr/>
                  </pic:nvPicPr>
                  <pic:blipFill>
                    <a:blip r:embed="rId16"/>
                    <a:stretch>
                      <a:fillRect/>
                    </a:stretch>
                  </pic:blipFill>
                  <pic:spPr>
                    <a:xfrm>
                      <a:off x="0" y="0"/>
                      <a:ext cx="5580000" cy="3647021"/>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8. </w:t>
      </w:r>
      <w:r>
        <w:rPr>
          <w:rFonts w:ascii="맑은 고딕" w:hAnsi="맑은 고딕" w:eastAsia="맑은 고딕" w:cs="맑은 고딕"/>
          <w:b w:val="0"/>
          <w:i w:val="0"/>
          <w:color w:val="6E6E6E"/>
          <w:sz w:val="19"/>
        </w:rPr>
        <w:t>23개사 전수의 채널별 Mann-Kendall τ를 한 화면에 병렬한 forest plot입니다. 행 단위로 각 채널의 부호를 직접 대조할 수 있는데, 공시 채널과 관측 채널이 정면으로 어긋나는 행이 눈에 들어옵니다.</w:t>
      </w:r>
    </w:p>
    <w:p>
      <w:pPr>
        <w:spacing w:before="240" w:after="80" w:lineRule="auto" w:line="384"/>
      </w:pPr>
      <w:r>
        <w:rPr>
          <w:rFonts w:ascii="맑은 고딕" w:hAnsi="맑은 고딕" w:eastAsia="맑은 고딕" w:cs="맑은 고딕"/>
          <w:b/>
          <w:i w:val="0"/>
          <w:color w:val="1F4E36"/>
          <w:sz w:val="25"/>
        </w:rPr>
        <w:t>핵심 발견: 공시와 관측이 완전히 반대로 간 회사</w:t>
      </w:r>
    </w:p>
    <w:p>
      <w:pPr>
        <w:spacing w:before="0" w:after="180" w:lineRule="auto" w:line="396"/>
        <w:ind w:firstLine="170"/>
        <w:jc w:val="both"/>
      </w:pPr>
      <w:r>
        <w:rPr>
          <w:rFonts w:ascii="맑은 고딕" w:hAnsi="맑은 고딕" w:eastAsia="맑은 고딕" w:cs="맑은 고딕"/>
          <w:b w:val="0"/>
          <w:i w:val="0"/>
          <w:color w:val="262626"/>
          <w:sz w:val="22"/>
        </w:rPr>
        <w:t>가장 중요한 결과입니다. 포스코홀딩스의 네 채널을 각각 그려 보면 이렇게 됩니다.</w:t>
      </w:r>
    </w:p>
    <w:p>
      <w:pPr>
        <w:spacing w:before="160" w:after="40" w:lineRule="auto" w:line="384"/>
        <w:jc w:val="center"/>
      </w:pPr>
      <w:r>
        <w:drawing>
          <wp:inline xmlns:a="http://schemas.openxmlformats.org/drawingml/2006/main" xmlns:pic="http://schemas.openxmlformats.org/drawingml/2006/picture">
            <wp:extent cx="5580000" cy="3704381"/>
            <wp:docPr id="9" name="Picture 9"/>
            <wp:cNvGraphicFramePr>
              <a:graphicFrameLocks noChangeAspect="1"/>
            </wp:cNvGraphicFramePr>
            <a:graphic>
              <a:graphicData uri="http://schemas.openxmlformats.org/drawingml/2006/picture">
                <pic:pic>
                  <pic:nvPicPr>
                    <pic:cNvPr id="0" name="09.png"/>
                    <pic:cNvPicPr/>
                  </pic:nvPicPr>
                  <pic:blipFill>
                    <a:blip r:embed="rId17"/>
                    <a:stretch>
                      <a:fillRect/>
                    </a:stretch>
                  </pic:blipFill>
                  <pic:spPr>
                    <a:xfrm>
                      <a:off x="0" y="0"/>
                      <a:ext cx="5580000" cy="3704381"/>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9. </w:t>
      </w:r>
      <w:r>
        <w:rPr>
          <w:rFonts w:ascii="맑은 고딕" w:hAnsi="맑은 고딕" w:eastAsia="맑은 고딕" w:cs="맑은 고딕"/>
          <w:b w:val="0"/>
          <w:i w:val="0"/>
          <w:color w:val="6E6E6E"/>
          <w:sz w:val="19"/>
        </w:rPr>
        <w:t>포스코홀딩스의 네 채널을 각각 패널로 나눠 그린 상세 시계열입니다. 위쪽 두 패널(GIR 법정, ESG 자체보고)은 우상향하고, 아래쪽 두 패널(위성 NO₂, ODIAC CO₂)은 우하향합니다. 각 패널에 회귀 기울기와 결정계수가 함께 표시되어 있는데, 위성 NO₂는 R²=1.00, ODIAC은 R²=0.98로 하강이 거의 완벽하게 일관됩니다. 공시는 오르고 물리 측정은 내려가는 정면 충돌이 한 장에 담겼습니다. 저장소에 공개한 원본 그림입니다.</w:t>
      </w:r>
    </w:p>
    <w:p>
      <w:pPr>
        <w:spacing w:before="0" w:after="180" w:lineRule="auto" w:line="396"/>
        <w:ind w:firstLine="170"/>
        <w:jc w:val="both"/>
      </w:pPr>
      <w:r>
        <w:rPr>
          <w:rFonts w:ascii="맑은 고딕" w:hAnsi="맑은 고딕" w:eastAsia="맑은 고딕" w:cs="맑은 고딕"/>
          <w:b w:val="0"/>
          <w:i w:val="0"/>
          <w:color w:val="262626"/>
          <w:sz w:val="22"/>
        </w:rPr>
        <w:t>분석 전체 기간(2019~2023)으로 보면 τ 값은 이렇습니다.</w:t>
      </w:r>
    </w:p>
    <w:tbl>
      <w:tblPr>
        <w:tblStyle w:val="TableGrid"/>
        <w:tblW w:type="auto" w:w="0"/>
        <w:jc w:val="center"/>
        <w:tblLook w:firstColumn="1" w:firstRow="1" w:lastColumn="0" w:lastRow="0" w:noHBand="0" w:noVBand="1" w:val="04A0"/>
      </w:tblPr>
      <w:tblGrid>
        <w:gridCol w:w="3173"/>
        <w:gridCol w:w="3173"/>
        <w:gridCol w:w="3173"/>
      </w:tblGrid>
      <w:tr>
        <w:trPr>
          <w:cantSplit/>
          <w:tblHeader/>
        </w:trPr>
        <w:tc>
          <w:tcPr>
            <w:tcW w:type="dxa" w:w="3173"/>
          </w:tcPr>
          <w:p>
            <w:pPr>
              <w:spacing w:before="40" w:after="40" w:lineRule="auto" w:line="276"/>
              <w:jc w:val="left"/>
              <w:shd w:val="clear" w:fill="EDF2ED"/>
            </w:pPr>
            <w:r/>
            <w:r>
              <w:rPr>
                <w:rFonts w:ascii="맑은 고딕" w:hAnsi="맑은 고딕" w:eastAsia="맑은 고딕" w:cs="맑은 고딕"/>
                <w:b/>
                <w:i w:val="0"/>
                <w:color w:val="1F4E36"/>
                <w:sz w:val="20"/>
              </w:rPr>
              <w:t>채널</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τ</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방향</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GIR 법정</w:t>
            </w:r>
          </w:p>
        </w:tc>
        <w:tc>
          <w:tcPr>
            <w:tcW w:type="dxa" w:w="3173"/>
          </w:tcPr>
          <w:p>
            <w:pPr>
              <w:spacing w:before="40" w:after="40" w:lineRule="auto" w:line="276"/>
              <w:jc w:val="center"/>
            </w:pPr>
            <w:r/>
            <w:r>
              <w:rPr>
                <w:rFonts w:ascii="맑은 고딕" w:hAnsi="맑은 고딕" w:eastAsia="맑은 고딕" w:cs="맑은 고딕"/>
                <w:b/>
                <w:i w:val="0"/>
                <w:color w:val="262626"/>
                <w:sz w:val="20"/>
              </w:rPr>
              <w:t>+1.00</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완전 상승</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ESG 자체보고</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+0.67</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상승</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위성 NO₂</w:t>
            </w:r>
          </w:p>
        </w:tc>
        <w:tc>
          <w:tcPr>
            <w:tcW w:type="dxa" w:w="3173"/>
          </w:tcPr>
          <w:p>
            <w:pPr>
              <w:spacing w:before="40" w:after="40" w:lineRule="auto" w:line="276"/>
              <w:jc w:val="center"/>
            </w:pPr>
            <w:r/>
            <w:r>
              <w:rPr>
                <w:rFonts w:ascii="맑은 고딕" w:hAnsi="맑은 고딕" w:eastAsia="맑은 고딕" w:cs="맑은 고딕"/>
                <w:b/>
                <w:i w:val="0"/>
                <w:color w:val="262626"/>
                <w:sz w:val="20"/>
              </w:rPr>
              <w:t>−1.00</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완전 하강</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ODIAC</w:t>
            </w:r>
          </w:p>
        </w:tc>
        <w:tc>
          <w:tcPr>
            <w:tcW w:type="dxa" w:w="3173"/>
          </w:tcPr>
          <w:p>
            <w:pPr>
              <w:spacing w:before="40" w:after="40" w:lineRule="auto" w:line="276"/>
              <w:jc w:val="center"/>
            </w:pPr>
            <w:r/>
            <w:r>
              <w:rPr>
                <w:rFonts w:ascii="맑은 고딕" w:hAnsi="맑은 고딕" w:eastAsia="맑은 고딕" w:cs="맑은 고딕"/>
                <w:b/>
                <w:i w:val="0"/>
                <w:color w:val="262626"/>
                <w:sz w:val="20"/>
              </w:rPr>
              <w:t>−1.00</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완전 하강</w:t>
            </w:r>
          </w:p>
        </w:tc>
      </w:tr>
    </w:tbl>
    <w:p>
      <w:pPr>
        <w:spacing w:before="0" w:after="200" w:lineRule="auto" w:line="384"/>
      </w:pPr>
    </w:p>
    <w:p>
      <w:pPr>
        <w:spacing w:before="0" w:after="180" w:lineRule="auto" w:line="396"/>
        <w:ind w:firstLine="170"/>
        <w:jc w:val="both"/>
      </w:pPr>
      <w:r>
        <w:rPr>
          <w:rFonts w:ascii="맑은 고딕" w:hAnsi="맑은 고딕" w:eastAsia="맑은 고딕" w:cs="맑은 고딕"/>
          <w:b/>
          <w:i w:val="0"/>
          <w:color w:val="262626"/>
          <w:sz w:val="22"/>
        </w:rPr>
        <w:t>모든 인접 연도 쌍에서 법정 공시는 상승하고, 포항제철소 반경 10km의 위성 잔차와 ODIAC은 하강했습니다.</w:t>
      </w:r>
      <w:r>
        <w:rPr>
          <w:rFonts w:ascii="맑은 고딕" w:hAnsi="맑은 고딕" w:eastAsia="맑은 고딕" w:cs="맑은 고딕"/>
          <w:b w:val="0"/>
          <w:i w:val="0"/>
          <w:color w:val="262626"/>
          <w:sz w:val="22"/>
        </w:rPr>
        <w:t xml:space="preserve"> 완전 단조의 정면 충돌이며, 기상보정 전후와 MERRA-2 대체 검증에서도 동일하게 유지되었습니다. 포항 반경 10km 평균 강도는 247에서 233 tC/월/km²로 약 6% 하락했습니다.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두 번째 사례인 삼성전자도 방향이 갈렸습니다. 특히 </w:t>
      </w:r>
      <w:r>
        <w:rPr>
          <w:rFonts w:ascii="맑은 고딕" w:hAnsi="맑은 고딕" w:eastAsia="맑은 고딕" w:cs="맑은 고딕"/>
          <w:b/>
          <w:i w:val="0"/>
          <w:color w:val="262626"/>
          <w:sz w:val="22"/>
        </w:rPr>
        <w:t>자체보고 τ가 +1.00으로 23개사 중 가장 강한 상승 서사</w:t>
      </w:r>
      <w:r>
        <w:rPr>
          <w:rFonts w:ascii="맑은 고딕" w:hAnsi="맑은 고딕" w:eastAsia="맑은 고딕" w:cs="맑은 고딕"/>
          <w:b w:val="0"/>
          <w:i w:val="0"/>
          <w:color w:val="262626"/>
          <w:sz w:val="22"/>
        </w:rPr>
        <w:t>였는데, 위성과 ODIAC은 −0.40으로 하강했습니다.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유리한 사례만 골라 보여준 게 아니라는 걸 보이기 위해, 전 채널을 표준화한 시계열을 </w:t>
      </w:r>
      <w:r>
        <w:rPr>
          <w:rFonts w:ascii="맑은 고딕" w:hAnsi="맑은 고딕" w:eastAsia="맑은 고딕" w:cs="맑은 고딕"/>
          <w:b/>
          <w:i w:val="0"/>
          <w:color w:val="262626"/>
          <w:sz w:val="22"/>
        </w:rPr>
        <w:t>23개사 전부 공개</w:t>
      </w:r>
      <w:r>
        <w:rPr>
          <w:rFonts w:ascii="맑은 고딕" w:hAnsi="맑은 고딕" w:eastAsia="맑은 고딕" w:cs="맑은 고딕"/>
          <w:b w:val="0"/>
          <w:i w:val="0"/>
          <w:color w:val="262626"/>
          <w:sz w:val="22"/>
        </w:rPr>
        <w:t>했습니다.</w:t>
      </w:r>
    </w:p>
    <w:p>
      <w:pPr>
        <w:spacing w:before="160" w:after="40" w:lineRule="auto" w:line="384"/>
        <w:jc w:val="center"/>
      </w:pPr>
      <w:r>
        <w:drawing>
          <wp:inline xmlns:a="http://schemas.openxmlformats.org/drawingml/2006/main" xmlns:pic="http://schemas.openxmlformats.org/drawingml/2006/picture">
            <wp:extent cx="5580000" cy="4920121"/>
            <wp:docPr id="10" name="Picture 10"/>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5580000" cy="4920121"/>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10. </w:t>
      </w:r>
      <w:r>
        <w:rPr>
          <w:rFonts w:ascii="맑은 고딕" w:hAnsi="맑은 고딕" w:eastAsia="맑은 고딕" w:cs="맑은 고딕"/>
          <w:b w:val="0"/>
          <w:i w:val="0"/>
          <w:color w:val="6E6E6E"/>
          <w:sz w:val="19"/>
        </w:rPr>
        <w:t>23개사 전체를 평균 0, 표준편차 1로 표준화한 z-score 시계열입니다. 패턴 D 기업에서 공시(적색)와 관측(청색)이 그리는 X자 교차가 시각적으로 확인됩니다. 전수를 공개하는 것이 선별 제시가 아님을 보이는 방법이라고 생각했습니다.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8. 여기서 매우 조심했습니다: 그린워싱이라고 말하지 않았습니다</w:t>
      </w:r>
    </w:p>
    <w:p>
      <w:pPr>
        <w:spacing w:before="0" w:after="180" w:lineRule="auto" w:line="396"/>
        <w:ind w:firstLine="170"/>
        <w:jc w:val="both"/>
      </w:pPr>
      <w:r>
        <w:rPr>
          <w:rFonts w:ascii="맑은 고딕" w:hAnsi="맑은 고딕" w:eastAsia="맑은 고딕" w:cs="맑은 고딕"/>
          <w:b w:val="0"/>
          <w:i w:val="0"/>
          <w:color w:val="262626"/>
          <w:sz w:val="22"/>
        </w:rPr>
        <w:t>이 부분이 이 연구에서 제가 가장 신중하게 다룬 지점입니다.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"공시는 오르고 위성은 내렸다"는 사실입니다. 하지만 그게 곧 "기업이 거짓말했다"는 뜻일까요? </w:t>
      </w:r>
      <w:r>
        <w:rPr>
          <w:rFonts w:ascii="맑은 고딕" w:hAnsi="맑은 고딕" w:eastAsia="맑은 고딕" w:cs="맑은 고딕"/>
          <w:b/>
          <w:i w:val="0"/>
          <w:color w:val="262626"/>
          <w:sz w:val="22"/>
        </w:rPr>
        <w:t>아닙니다.</w:t>
      </w:r>
      <w:r>
        <w:rPr>
          <w:rFonts w:ascii="맑은 고딕" w:hAnsi="맑은 고딕" w:eastAsia="맑은 고딕" w:cs="맑은 고딕"/>
          <w:b w:val="0"/>
          <w:i w:val="0"/>
          <w:color w:val="262626"/>
          <w:sz w:val="22"/>
        </w:rPr>
        <w:t xml:space="preserve"> 저는 세 가지 경쟁 가설을 모두 제시했습니다.</w:t>
      </w:r>
    </w:p>
    <w:p>
      <w:pPr>
        <w:spacing w:before="0" w:after="180" w:lineRule="auto" w:line="396"/>
        <w:ind w:firstLine="170"/>
        <w:jc w:val="both"/>
      </w:pPr>
      <w:r>
        <w:rPr>
          <w:rFonts w:ascii="맑은 고딕" w:hAnsi="맑은 고딕" w:eastAsia="맑은 고딕" w:cs="맑은 고딕"/>
          <w:b/>
          <w:i w:val="0"/>
          <w:color w:val="262626"/>
          <w:sz w:val="22"/>
        </w:rPr>
        <w:t>가설 1. 보고경계 확장</w:t>
      </w:r>
      <w:r>
        <w:rPr>
          <w:rFonts w:ascii="맑은 고딕" w:hAnsi="맑은 고딕" w:eastAsia="맑은 고딕" w:cs="맑은 고딕"/>
          <w:b w:val="0"/>
          <w:i w:val="0"/>
          <w:color w:val="262626"/>
          <w:sz w:val="22"/>
        </w:rPr>
        <w:t xml:space="preserve"> — 2022년 3월 지주회사 신설로 해외 자회사가 연결 범위에 편입되어 보고 수치가 올라갔을 가능성. 이 경우 국내 사업장의 위성 신호는 영향받지 않으므로 방향 반전이 자연스럽게 설명됩니다. 다만 이게 사실이라면 </w:t>
      </w:r>
      <w:r>
        <w:rPr>
          <w:rFonts w:ascii="맑은 고딕" w:hAnsi="맑은 고딕" w:eastAsia="맑은 고딕" w:cs="맑은 고딕"/>
          <w:b/>
          <w:i w:val="0"/>
          <w:color w:val="262626"/>
          <w:sz w:val="22"/>
        </w:rPr>
        <w:t>경계 변경 공시가 불충분했다는 문제</w:t>
      </w:r>
      <w:r>
        <w:rPr>
          <w:rFonts w:ascii="맑은 고딕" w:hAnsi="맑은 고딕" w:eastAsia="맑은 고딕" w:cs="맑은 고딕"/>
          <w:b w:val="0"/>
          <w:i w:val="0"/>
          <w:color w:val="262626"/>
          <w:sz w:val="22"/>
        </w:rPr>
        <w:t>는 남습니다.</w:t>
      </w:r>
    </w:p>
    <w:p>
      <w:pPr>
        <w:spacing w:before="0" w:after="180" w:lineRule="auto" w:line="396"/>
        <w:ind w:firstLine="170"/>
        <w:jc w:val="both"/>
      </w:pPr>
      <w:r>
        <w:rPr>
          <w:rFonts w:ascii="맑은 고딕" w:hAnsi="맑은 고딕" w:eastAsia="맑은 고딕" w:cs="맑은 고딕"/>
          <w:b/>
          <w:i w:val="0"/>
          <w:color w:val="262626"/>
          <w:sz w:val="22"/>
        </w:rPr>
        <w:t>가설 2. Scope 재분류</w:t>
      </w:r>
      <w:r>
        <w:rPr>
          <w:rFonts w:ascii="맑은 고딕" w:hAnsi="맑은 고딕" w:eastAsia="맑은 고딕" w:cs="맑은 고딕"/>
          <w:b w:val="0"/>
          <w:i w:val="0"/>
          <w:color w:val="262626"/>
          <w:sz w:val="22"/>
        </w:rPr>
        <w:t xml:space="preserve"> — 자가발전을 Scope 1에서 매입전력의 Scope 2로 이전하는 등 산정 경계 재분류가 채널 간 비대칭을 만들었을 가능성. 대조표가 없는 현행 체계에서는 외부에서 이를 구분할 방법이 없습니다.</w:t>
      </w:r>
    </w:p>
    <w:p>
      <w:pPr>
        <w:spacing w:before="0" w:after="180" w:lineRule="auto" w:line="396"/>
        <w:ind w:firstLine="170"/>
        <w:jc w:val="both"/>
      </w:pPr>
      <w:r>
        <w:rPr>
          <w:rFonts w:ascii="맑은 고딕" w:hAnsi="맑은 고딕" w:eastAsia="맑은 고딕" w:cs="맑은 고딕"/>
          <w:b/>
          <w:i w:val="0"/>
          <w:color w:val="262626"/>
          <w:sz w:val="22"/>
        </w:rPr>
        <w:t>가설 3. 실감축의 선반영</w:t>
      </w:r>
      <w:r>
        <w:rPr>
          <w:rFonts w:ascii="맑은 고딕" w:hAnsi="맑은 고딕" w:eastAsia="맑은 고딕" w:cs="맑은 고딕"/>
          <w:b w:val="0"/>
          <w:i w:val="0"/>
          <w:color w:val="262626"/>
          <w:sz w:val="22"/>
        </w:rPr>
        <w:t xml:space="preserve"> — 공정 효율화와 CCUS 도입으로 실제 배출이 줄었으나 보고에 시차가 있는 경우. 위성이 먼저 하강을 포착하고 공시가 늦게 따라오는 시나리오로, </w:t>
      </w:r>
      <w:r>
        <w:rPr>
          <w:rFonts w:ascii="맑은 고딕" w:hAnsi="맑은 고딕" w:eastAsia="맑은 고딕" w:cs="맑은 고딕"/>
          <w:b/>
          <w:i w:val="0"/>
          <w:color w:val="262626"/>
          <w:sz w:val="22"/>
        </w:rPr>
        <w:t>기업에 가장 유리한 해석</w:t>
      </w:r>
      <w:r>
        <w:rPr>
          <w:rFonts w:ascii="맑은 고딕" w:hAnsi="맑은 고딕" w:eastAsia="맑은 고딕" w:cs="맑은 고딕"/>
          <w:b w:val="0"/>
          <w:i w:val="0"/>
          <w:color w:val="262626"/>
          <w:sz w:val="22"/>
        </w:rPr>
        <w:t>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본 분석만으로는 세 가설 중 무엇이 맞는지 특정할 수 없습니다. 그래서 </w:t>
      </w:r>
      <w:r>
        <w:rPr>
          <w:rFonts w:ascii="맑은 고딕" w:hAnsi="맑은 고딕" w:eastAsia="맑은 고딕" w:cs="맑은 고딕"/>
          <w:b/>
          <w:i w:val="0"/>
          <w:color w:val="262626"/>
          <w:sz w:val="22"/>
        </w:rPr>
        <w:t>이 연구는 그린워싱을 단정하지 않습니다.</w:t>
      </w:r>
    </w:p>
    <w:p>
      <w:pPr>
        <w:spacing w:before="0" w:after="180" w:lineRule="auto" w:line="396"/>
        <w:ind w:firstLine="170"/>
        <w:jc w:val="both"/>
      </w:pPr>
      <w:r>
        <w:rPr>
          <w:rFonts w:ascii="맑은 고딕" w:hAnsi="맑은 고딕" w:eastAsia="맑은 고딕" w:cs="맑은 고딕"/>
          <w:b w:val="0"/>
          <w:i w:val="0"/>
          <w:color w:val="262626"/>
          <w:sz w:val="22"/>
        </w:rPr>
        <w:t>제가 말하고 싶은 것은 다른 것입니다.</w:t>
      </w:r>
    </w:p>
    <w:p>
      <w:pPr>
        <w:spacing w:before="160" w:after="200" w:lineRule="auto" w:line="360"/>
        <w:shd w:val="clear" w:fill="F4F7F4"/>
      </w:pPr>
      <w:r>
        <w:rPr>
          <w:rFonts w:ascii="맑은 고딕" w:hAnsi="맑은 고딕" w:eastAsia="맑은 고딕" w:cs="맑은 고딕"/>
          <w:b/>
          <w:i w:val="0"/>
          <w:color w:val="262626"/>
          <w:sz w:val="21"/>
        </w:rPr>
        <w:t>이 발견의 의의는 특정 기업의 고발이 아니라, 대조표 없는 공시 체계가 5년간 누구도 눈치채지 못한 역전을 허용해 왔다는 '구조'의 증명에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무엇이 원인이든, </w:t>
      </w:r>
      <w:r>
        <w:rPr>
          <w:rFonts w:ascii="맑은 고딕" w:hAnsi="맑은 고딕" w:eastAsia="맑은 고딕" w:cs="맑은 고딕"/>
          <w:b/>
          <w:i w:val="0"/>
          <w:color w:val="262626"/>
          <w:sz w:val="22"/>
        </w:rPr>
        <w:t>아무도 이 불일치를 발견하지 못했다는 사실 자체가 문제</w:t>
      </w:r>
      <w:r>
        <w:rPr>
          <w:rFonts w:ascii="맑은 고딕" w:hAnsi="맑은 고딕" w:eastAsia="맑은 고딕" w:cs="맑은 고딕"/>
          <w:b w:val="0"/>
          <w:i w:val="0"/>
          <w:color w:val="262626"/>
          <w:sz w:val="22"/>
        </w:rPr>
        <w:t>입니다. 검증 체계가 있었다면 첫해에 질문이 나왔을 것입니다.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참고로 패턴 C 사례(현대모비스)는 성격이 다릅니다. 법정 채널은 하강(τ −0.40)하는데 자체보고만 상승(τ +0.40)했고, 위성과 ODIAC은 법정 채널의 손을 들어줬습니다. 이 경우엔 </w:t>
      </w:r>
      <w:r>
        <w:rPr>
          <w:rFonts w:ascii="맑은 고딕" w:hAnsi="맑은 고딕" w:eastAsia="맑은 고딕" w:cs="맑은 고딕"/>
          <w:b/>
          <w:i w:val="0"/>
          <w:color w:val="262626"/>
          <w:sz w:val="22"/>
        </w:rPr>
        <w:t>자체보고의 보고 범위 점검</w:t>
      </w:r>
      <w:r>
        <w:rPr>
          <w:rFonts w:ascii="맑은 고딕" w:hAnsi="맑은 고딕" w:eastAsia="맑은 고딕" w:cs="맑은 고딕"/>
          <w:b w:val="0"/>
          <w:i w:val="0"/>
          <w:color w:val="262626"/>
          <w:sz w:val="22"/>
        </w:rPr>
        <w:t xml:space="preserve">이 필요합니다. 즉 패턴 분류가 "이 기업이 이상하다"에서 멈추지 않고 </w:t>
      </w:r>
      <w:r>
        <w:rPr>
          <w:rFonts w:ascii="맑은 고딕" w:hAnsi="맑은 고딕" w:eastAsia="맑은 고딕" w:cs="맑은 고딕"/>
          <w:b/>
          <w:i w:val="0"/>
          <w:color w:val="262626"/>
          <w:sz w:val="22"/>
        </w:rPr>
        <w:t>어느 채널을 점검해야 하는지까지 지정</w:t>
      </w:r>
      <w:r>
        <w:rPr>
          <w:rFonts w:ascii="맑은 고딕" w:hAnsi="맑은 고딕" w:eastAsia="맑은 고딕" w:cs="맑은 고딕"/>
          <w:b w:val="0"/>
          <w:i w:val="0"/>
          <w:color w:val="262626"/>
          <w:sz w:val="22"/>
        </w:rPr>
        <w:t>해 줍니다.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9. 통계로 다시 확인하고, 판단 근거를 설명하게 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패턴 분류와 독립적인 방법으로도 검증했습니다. </w:t>
      </w:r>
      <w:r>
        <w:rPr>
          <w:rFonts w:ascii="맑은 고딕" w:hAnsi="맑은 고딕" w:eastAsia="맑은 고딕" w:cs="맑은 고딕"/>
          <w:b/>
          <w:i w:val="0"/>
          <w:color w:val="262626"/>
          <w:sz w:val="22"/>
        </w:rPr>
        <w:t>이상탐지 3층 앙상블</w:t>
      </w:r>
      <w:r>
        <w:rPr>
          <w:rFonts w:ascii="맑은 고딕" w:hAnsi="맑은 고딕" w:eastAsia="맑은 고딕" w:cs="맑은 고딕"/>
          <w:b w:val="0"/>
          <w:i w:val="0"/>
          <w:color w:val="262626"/>
          <w:sz w:val="22"/>
        </w:rPr>
        <w:t xml:space="preserve">입니다. 1층은 Isolation Forest와 LOF, 2층은 방향 불일치, 3층은 KCGS 등급조정 21건 같은 외부 라벨입니다. 교차검증 AUC 0.86, 외부 라벨 기준 정밀도 0.71이 나왔고, </w:t>
      </w:r>
      <w:r>
        <w:rPr>
          <w:rFonts w:ascii="맑은 고딕" w:hAnsi="맑은 고딕" w:eastAsia="맑은 고딕" w:cs="맑은 고딕"/>
          <w:b/>
          <w:i w:val="0"/>
          <w:color w:val="262626"/>
          <w:sz w:val="22"/>
        </w:rPr>
        <w:t>패턴 분류와 다른 방법이 같은 기업을 다시 지목</w:t>
      </w:r>
      <w:r>
        <w:rPr>
          <w:rFonts w:ascii="맑은 고딕" w:hAnsi="맑은 고딕" w:eastAsia="맑은 고딕" w:cs="맑은 고딕"/>
          <w:b w:val="0"/>
          <w:i w:val="0"/>
          <w:color w:val="262626"/>
          <w:sz w:val="22"/>
        </w:rPr>
        <w:t>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회귀 분석에서는 </w:t>
      </w:r>
      <w:r>
        <w:rPr>
          <w:rFonts w:ascii="맑은 고딕" w:hAnsi="맑은 고딕" w:eastAsia="맑은 고딕" w:cs="맑은 고딕"/>
          <w:b/>
          <w:i w:val="0"/>
          <w:color w:val="262626"/>
          <w:sz w:val="22"/>
        </w:rPr>
        <w:t>Heckman 2단계 모형</w:t>
      </w:r>
      <w:r>
        <w:rPr>
          <w:rFonts w:ascii="맑은 고딕" w:hAnsi="맑은 고딕" w:eastAsia="맑은 고딕" w:cs="맑은 고딕"/>
          <w:b w:val="0"/>
          <w:i w:val="0"/>
          <w:color w:val="262626"/>
          <w:sz w:val="22"/>
        </w:rPr>
        <w:t>을 썼습니다. ESG 보고서 발간은 자발적 선택이라 발간 기업과 미발간 기업 사이에 자기선택 편향이 있기 때문입니다.</w:t>
      </w:r>
    </w:p>
    <w:p>
      <w:pPr>
        <w:spacing w:before="160" w:after="40" w:lineRule="auto" w:line="384"/>
        <w:jc w:val="center"/>
      </w:pPr>
      <w:r>
        <w:drawing>
          <wp:inline xmlns:a="http://schemas.openxmlformats.org/drawingml/2006/main" xmlns:pic="http://schemas.openxmlformats.org/drawingml/2006/picture">
            <wp:extent cx="5580000" cy="3013678"/>
            <wp:docPr id="11" name="Picture 11"/>
            <wp:cNvGraphicFramePr>
              <a:graphicFrameLocks noChangeAspect="1"/>
            </wp:cNvGraphicFramePr>
            <a:graphic>
              <a:graphicData uri="http://schemas.openxmlformats.org/drawingml/2006/picture">
                <pic:pic>
                  <pic:nvPicPr>
                    <pic:cNvPr id="0" name="11.png"/>
                    <pic:cNvPicPr/>
                  </pic:nvPicPr>
                  <pic:blipFill>
                    <a:blip r:embed="rId19"/>
                    <a:stretch>
                      <a:fillRect/>
                    </a:stretch>
                  </pic:blipFill>
                  <pic:spPr>
                    <a:xfrm>
                      <a:off x="0" y="0"/>
                      <a:ext cx="5580000" cy="3013678"/>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11. </w:t>
      </w:r>
      <w:r>
        <w:rPr>
          <w:rFonts w:ascii="맑은 고딕" w:hAnsi="맑은 고딕" w:eastAsia="맑은 고딕" w:cs="맑은 고딕"/>
          <w:b w:val="0"/>
          <w:i w:val="0"/>
          <w:color w:val="6E6E6E"/>
          <w:sz w:val="19"/>
        </w:rPr>
        <w:t>Bootstrap 95% 신뢰구간을 함께 표시한 회귀계수 forest plot입니다. ln(GIR Scope 1) 계수의 신뢰구간이 0을 포함하지 않아 사전 등록한 가설 H1이 지지되었습니다. 배출 규모가 클수록 괴리가 작다는 방향인데, 이는 강제 검증을 받는 대형 배출자의 산정 정확도가 상대적으로 높다는 해석과 부합합니다.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마지막으로, </w:t>
      </w:r>
      <w:r>
        <w:rPr>
          <w:rFonts w:ascii="맑은 고딕" w:hAnsi="맑은 고딕" w:eastAsia="맑은 고딕" w:cs="맑은 고딕"/>
          <w:b/>
          <w:i w:val="0"/>
          <w:color w:val="262626"/>
          <w:sz w:val="22"/>
        </w:rPr>
        <w:t>왜 이 기업을 우선 검증 대상으로 지목했는지 설명할 수 있어야</w:t>
      </w:r>
      <w:r>
        <w:rPr>
          <w:rFonts w:ascii="맑은 고딕" w:hAnsi="맑은 고딕" w:eastAsia="맑은 고딕" w:cs="맑은 고딕"/>
          <w:b w:val="0"/>
          <w:i w:val="0"/>
          <w:color w:val="262626"/>
          <w:sz w:val="22"/>
        </w:rPr>
        <w:t xml:space="preserve"> 행정에서 쓸 수 있습니다. 그래서 SHAP으로 판단 근거를 변수 단위로 분해했습니다.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기여도 순서는 </w:t>
      </w:r>
      <w:r>
        <w:rPr>
          <w:rFonts w:ascii="맑은 고딕" w:hAnsi="맑은 고딕" w:eastAsia="맑은 고딕" w:cs="맑은 고딕"/>
          <w:b/>
          <w:i w:val="0"/>
          <w:color w:val="262626"/>
          <w:sz w:val="22"/>
        </w:rPr>
        <w:t>기상보정 NO₂ &gt; 로그 배출량 &gt; 괴리율 &gt; 보정 SO₂ &gt; ODIAC</w:t>
      </w:r>
      <w:r>
        <w:rPr>
          <w:rFonts w:ascii="맑은 고딕" w:hAnsi="맑은 고딕" w:eastAsia="맑은 고딕" w:cs="맑은 고딕"/>
          <w:b w:val="0"/>
          <w:i w:val="0"/>
          <w:color w:val="262626"/>
          <w:sz w:val="22"/>
        </w:rPr>
        <w:t xml:space="preserve">이었습니다. 즉 방향 반전 식별의 결정적 특성이 </w:t>
      </w:r>
      <w:r>
        <w:rPr>
          <w:rFonts w:ascii="맑은 고딕" w:hAnsi="맑은 고딕" w:eastAsia="맑은 고딕" w:cs="맑은 고딕"/>
          <w:b/>
          <w:i w:val="0"/>
          <w:color w:val="262626"/>
          <w:sz w:val="22"/>
        </w:rPr>
        <w:t>위성과 ODIAC 잔차</w:t>
      </w:r>
      <w:r>
        <w:rPr>
          <w:rFonts w:ascii="맑은 고딕" w:hAnsi="맑은 고딕" w:eastAsia="맑은 고딕" w:cs="맑은 고딕"/>
          <w:b w:val="0"/>
          <w:i w:val="0"/>
          <w:color w:val="262626"/>
          <w:sz w:val="22"/>
        </w:rPr>
        <w:t>임이 정량적으로 확인되었습니다.</w:t>
      </w:r>
    </w:p>
    <w:p>
      <w:pPr>
        <w:spacing w:before="160" w:after="40" w:lineRule="auto" w:line="384"/>
        <w:jc w:val="center"/>
      </w:pPr>
      <w:r>
        <w:drawing>
          <wp:inline xmlns:a="http://schemas.openxmlformats.org/drawingml/2006/main" xmlns:pic="http://schemas.openxmlformats.org/drawingml/2006/picture">
            <wp:extent cx="5580000" cy="3409313"/>
            <wp:docPr id="12" name="Picture 12"/>
            <wp:cNvGraphicFramePr>
              <a:graphicFrameLocks noChangeAspect="1"/>
            </wp:cNvGraphicFramePr>
            <a:graphic>
              <a:graphicData uri="http://schemas.openxmlformats.org/drawingml/2006/picture">
                <pic:pic>
                  <pic:nvPicPr>
                    <pic:cNvPr id="0" name="12.png"/>
                    <pic:cNvPicPr/>
                  </pic:nvPicPr>
                  <pic:blipFill>
                    <a:blip r:embed="rId20"/>
                    <a:stretch>
                      <a:fillRect/>
                    </a:stretch>
                  </pic:blipFill>
                  <pic:spPr>
                    <a:xfrm>
                      <a:off x="0" y="0"/>
                      <a:ext cx="5580000" cy="3409313"/>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12. </w:t>
      </w:r>
      <w:r>
        <w:rPr>
          <w:rFonts w:ascii="맑은 고딕" w:hAnsi="맑은 고딕" w:eastAsia="맑은 고딕" w:cs="맑은 고딕"/>
          <w:b w:val="0"/>
          <w:i w:val="0"/>
          <w:color w:val="6E6E6E"/>
          <w:sz w:val="19"/>
        </w:rPr>
        <w:t>SHAP 전역 분해 결과입니다. 각 점이 하나의 기업·연도이고, 가로 위치가 그 변수의 기여도입니다. 기상보정한 위성 신호가 판정에 가장 크게 기여했음을 보여줍니다.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10. 그래서 무엇을 하자는 것인가</w:t>
      </w:r>
    </w:p>
    <w:p>
      <w:pPr>
        <w:spacing w:before="0" w:after="180" w:lineRule="auto" w:line="396"/>
        <w:ind w:firstLine="170"/>
        <w:jc w:val="both"/>
      </w:pPr>
      <w:r>
        <w:rPr>
          <w:rFonts w:ascii="맑은 고딕" w:hAnsi="맑은 고딕" w:eastAsia="맑은 고딕" w:cs="맑은 고딕"/>
          <w:b w:val="0"/>
          <w:i w:val="0"/>
          <w:color w:val="262626"/>
          <w:sz w:val="22"/>
        </w:rPr>
        <w:t>이 연구의 정책적 제안은 명확합니다.</w:t>
      </w:r>
    </w:p>
    <w:p>
      <w:pPr>
        <w:spacing w:before="0" w:after="180" w:lineRule="auto" w:line="396"/>
        <w:ind w:firstLine="170"/>
        <w:jc w:val="both"/>
      </w:pPr>
      <w:r>
        <w:rPr>
          <w:rFonts w:ascii="맑은 고딕" w:hAnsi="맑은 고딕" w:eastAsia="맑은 고딕" w:cs="맑은 고딕"/>
          <w:b/>
          <w:i w:val="0"/>
          <w:color w:val="262626"/>
          <w:sz w:val="22"/>
        </w:rPr>
        <w:t>4중 비교 알고리즘을 KSSB 시행령 별표에 반영하면, 2028년 첫 의무공시 시점의 우선 검증 대상이 49개사에서 8~12개사로 약 75% 축소됩니다.</w:t>
      </w:r>
    </w:p>
    <w:p>
      <w:pPr>
        <w:spacing w:before="0" w:after="180" w:lineRule="auto" w:line="396"/>
        <w:ind w:firstLine="170"/>
        <w:jc w:val="both"/>
      </w:pPr>
      <w:r>
        <w:rPr>
          <w:rFonts w:ascii="맑은 고딕" w:hAnsi="맑은 고딕" w:eastAsia="맑은 고딕" w:cs="맑은 고딕"/>
          <w:b w:val="0"/>
          <w:i w:val="0"/>
          <w:color w:val="262626"/>
          <w:sz w:val="22"/>
        </w:rPr>
        <w:t xml:space="preserve">검증 자원은 유한합니다. 49개사를 다 똑같이 검증할 인력은 없습니다. 그러면 </w:t>
      </w:r>
      <w:r>
        <w:rPr>
          <w:rFonts w:ascii="맑은 고딕" w:hAnsi="맑은 고딕" w:eastAsia="맑은 고딕" w:cs="맑은 고딕"/>
          <w:b/>
          <w:i w:val="0"/>
          <w:color w:val="262626"/>
          <w:sz w:val="22"/>
        </w:rPr>
        <w:t>어디부터 봐야 하는지 정하는 근거</w:t>
      </w:r>
      <w:r>
        <w:rPr>
          <w:rFonts w:ascii="맑은 고딕" w:hAnsi="맑은 고딕" w:eastAsia="맑은 고딕" w:cs="맑은 고딕"/>
          <w:b w:val="0"/>
          <w:i w:val="0"/>
          <w:color w:val="262626"/>
          <w:sz w:val="22"/>
        </w:rPr>
        <w:t>가 필요합니다. 이 연구는 그 근거를 제공합니다. 그것도 추가 보고 부담 없이, 이미 존재하는 공개 데이터만으로요.</w:t>
      </w:r>
    </w:p>
    <w:p>
      <w:pPr>
        <w:spacing w:before="360" w:after="120" w:lineRule="auto" w:line="384"/>
        <w:pBdr>
          <w:bottom w:val="single" w:sz="6" w:space="3" w:color="1F4E36"/>
        </w:pBdr>
      </w:pPr>
      <w:r>
        <w:rPr>
          <w:rFonts w:ascii="맑은 고딕" w:hAnsi="맑은 고딕" w:eastAsia="맑은 고딕" w:cs="맑은 고딕"/>
          <w:b/>
          <w:i w:val="0"/>
          <w:color w:val="1F4E36"/>
          <w:sz w:val="28"/>
        </w:rPr>
        <w:t>11. 이 연구를 하면서 느낀 것</w:t>
      </w:r>
    </w:p>
    <w:p>
      <w:pPr>
        <w:spacing w:before="0" w:after="180" w:lineRule="auto" w:line="396"/>
        <w:ind w:firstLine="170"/>
        <w:jc w:val="both"/>
      </w:pPr>
      <w:r>
        <w:rPr>
          <w:rFonts w:ascii="맑은 고딕" w:hAnsi="맑은 고딕" w:eastAsia="맑은 고딕" w:cs="맑은 고딕"/>
          <w:b w:val="0"/>
          <w:i w:val="0"/>
          <w:color w:val="262626"/>
          <w:sz w:val="22"/>
        </w:rPr>
        <w:t xml:space="preserve">가장 크게 느낀 건 이것입니다. </w:t>
      </w:r>
      <w:r>
        <w:rPr>
          <w:rFonts w:ascii="맑은 고딕" w:hAnsi="맑은 고딕" w:eastAsia="맑은 고딕" w:cs="맑은 고딕"/>
          <w:b/>
          <w:i w:val="0"/>
          <w:color w:val="262626"/>
          <w:sz w:val="22"/>
        </w:rPr>
        <w:t>관측 기술은 이미 충분한데, 제도가 그것을 쓰지 않고 있었습니다.</w:t>
      </w:r>
    </w:p>
    <w:p>
      <w:pPr>
        <w:spacing w:before="0" w:after="180" w:lineRule="auto" w:line="396"/>
        <w:ind w:firstLine="170"/>
        <w:jc w:val="both"/>
      </w:pPr>
      <w:r>
        <w:rPr>
          <w:rFonts w:ascii="맑은 고딕" w:hAnsi="맑은 고딕" w:eastAsia="맑은 고딕" w:cs="맑은 고딕"/>
          <w:b w:val="0"/>
          <w:i w:val="0"/>
          <w:color w:val="262626"/>
          <w:sz w:val="22"/>
        </w:rPr>
        <w:t>위성은 2017년부터 매일 한국 상공을 찍고 있었습니다. ODIAC은 1km 격자로 CO₂를 추정하고 있었습니다. 그런데 이 자료들이 기업 공시 검증에 연결된 적은 없었습니다.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제가 한 일은 새 위성을 띄운 게 아닙니다. </w:t>
      </w:r>
      <w:r>
        <w:rPr>
          <w:rFonts w:ascii="맑은 고딕" w:hAnsi="맑은 고딕" w:eastAsia="맑은 고딕" w:cs="맑은 고딕"/>
          <w:b/>
          <w:i w:val="0"/>
          <w:color w:val="262626"/>
          <w:sz w:val="22"/>
        </w:rPr>
        <w:t>이미 하늘에 있던 눈을 제도가 필요한 곳으로 내려온 것</w:t>
      </w:r>
      <w:r>
        <w:rPr>
          <w:rFonts w:ascii="맑은 고딕" w:hAnsi="맑은 고딕" w:eastAsia="맑은 고딕" w:cs="맑은 고딕"/>
          <w:b w:val="0"/>
          <w:i w:val="0"/>
          <w:color w:val="262626"/>
          <w:sz w:val="22"/>
        </w:rPr>
        <w:t>입니다. 그리고 그 과정에서, 데이터를 수집하는 인프라조차 없다는 현실도 함께 기록했습니다. 대기업 다수의 지속가능경영보고서는 공시 시스템에 링크만 있고 원본은 각사 사이트에 흩어져 있었습니다. 검증 이전에 수집부터가 문제였습니다.</w:t>
      </w:r>
    </w:p>
    <w:p>
      <w:pPr>
        <w:spacing w:before="0" w:after="180" w:lineRule="auto" w:line="396"/>
        <w:ind w:firstLine="170"/>
        <w:jc w:val="both"/>
      </w:pPr>
      <w:r>
        <w:rPr>
          <w:rFonts w:ascii="맑은 고딕" w:hAnsi="맑은 고딕" w:eastAsia="맑은 고딕" w:cs="맑은 고딕"/>
          <w:b w:val="0"/>
          <w:i w:val="0"/>
          <w:color w:val="262626"/>
          <w:sz w:val="22"/>
        </w:rPr>
        <w:t>이 글의 모든 그림은 저장소에 그대로 들어 있고, 수집기와 파서, 분석 코드까지 공개되어 있습니다. 온실가스 공시나 위성 원격탐사에 관심 있는 분께 조금이라도 도움이 되면 좋겠습니다.</w:t>
      </w:r>
    </w:p>
    <w:p>
      <w:pPr>
        <w:spacing w:before="0" w:after="180" w:lineRule="auto" w:line="396"/>
        <w:ind w:firstLine="170"/>
        <w:jc w:val="both"/>
      </w:pPr>
      <w:r>
        <w:rPr>
          <w:rFonts w:ascii="맑은 고딕" w:hAnsi="맑은 고딕" w:eastAsia="맑은 고딕" w:cs="맑은 고딕"/>
          <w:b w:val="0"/>
          <w:i w:val="0"/>
          <w:color w:val="262626"/>
          <w:sz w:val="22"/>
        </w:rPr>
        <w:t>긴 글 읽어주셔서 감사합니다.</w:t>
      </w:r>
    </w:p>
    <w:p>
      <w:pPr>
        <w:spacing w:before="120" w:after="120" w:lineRule="auto" w:line="384"/>
        <w:pBdr>
          <w:bottom w:val="single" w:sz="4" w:space="3" w:color="CCCCCC"/>
        </w:pBdr>
      </w:pPr>
    </w:p>
    <w:p>
      <w:pPr>
        <w:spacing w:before="0" w:after="180" w:lineRule="auto" w:line="396"/>
        <w:ind w:firstLine="170"/>
        <w:jc w:val="both"/>
      </w:pPr>
      <w:r>
        <w:rPr>
          <w:rFonts w:ascii="맑은 고딕" w:hAnsi="맑은 고딕" w:eastAsia="맑은 고딕" w:cs="맑은 고딕"/>
          <w:b/>
          <w:i w:val="0"/>
          <w:color w:val="262626"/>
          <w:sz w:val="22"/>
        </w:rPr>
        <w:t>링크</w:t>
      </w:r>
    </w:p>
    <w:p>
      <w:pPr>
        <w:spacing w:before="0" w:after="180" w:lineRule="auto" w:line="396"/>
        <w:ind w:firstLine="170"/>
        <w:jc w:val="both"/>
      </w:pPr>
      <w:r>
        <w:rPr>
          <w:rFonts w:ascii="맑은 고딕" w:hAnsi="맑은 고딕" w:eastAsia="맑은 고딕" w:cs="맑은 고딕"/>
          <w:b w:val="0"/>
          <w:i w:val="0"/>
          <w:color w:val="262626"/>
          <w:sz w:val="22"/>
        </w:rPr>
        <w:t>GitHub(코드·데이터 명세·그림 원본) https://github.com/zxsa0716/AX_Contest (MIT License)</w:t>
      </w:r>
    </w:p>
    <w:p>
      <w:pPr>
        <w:spacing w:before="0" w:after="180" w:lineRule="auto" w:line="396"/>
        <w:ind w:firstLine="170"/>
        <w:jc w:val="both"/>
      </w:pPr>
      <w:r>
        <w:rPr>
          <w:rFonts w:ascii="맑은 고딕" w:hAnsi="맑은 고딕" w:eastAsia="맑은 고딕" w:cs="맑은 고딕"/>
          <w:b w:val="0"/>
          <w:i w:val="0"/>
          <w:color w:val="262626"/>
          <w:sz w:val="22"/>
        </w:rPr>
        <w:t>포트폴리오 https://portfolio-eight-ruddy-87.vercel.app</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