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742B45">
      <w:pPr>
        <w:pStyle w:val="31"/>
        <w:jc w:val="center"/>
      </w:pPr>
      <w:r>
        <w:t>患者依从性综合报告（医生版）</w:t>
      </w:r>
    </w:p>
    <w:p w14:paraId="4353122B">
      <w:pPr>
        <w:pStyle w:val="3"/>
      </w:pPr>
      <w:r>
        <w:t>摘要</w:t>
      </w:r>
    </w:p>
    <w:p w14:paraId="0DA455A0">
      <w:r>
        <w:t>病例摘要</w:t>
      </w:r>
      <w:r>
        <w:br w:type="textWrapping"/>
      </w:r>
      <w:r>
        <w:br w:type="textWrapping"/>
      </w:r>
      <w:r>
        <w:t>患者基本信息：女性，64岁，已婚，退休教师，居住于山东，与家人同住。既往史无特殊，过敏史为头孢菌素过敏。</w:t>
      </w:r>
      <w:r>
        <w:br w:type="textWrapping"/>
      </w:r>
      <w:r>
        <w:br w:type="textWrapping"/>
      </w:r>
      <w:r>
        <w:t>主要诊断及合并疾病：</w:t>
      </w:r>
      <w:r>
        <w:br w:type="textWrapping"/>
      </w:r>
      <w:r>
        <w:br w:type="textWrapping"/>
      </w:r>
      <w:r>
        <w:t>1. 冠心病（I25），诊断2年，目前中度；</w:t>
      </w:r>
      <w:r>
        <w:rPr>
          <w:rFonts w:hint="eastAsia" w:ascii="宋体" w:hAnsi="宋体" w:eastAsia="宋体" w:cs="宋体"/>
          <w:color w:val="FF0000"/>
          <w:lang w:eastAsia="zh-CN"/>
        </w:rPr>
        <w:t>【</w:t>
      </w:r>
      <w:r>
        <w:rPr>
          <w:rFonts w:hint="eastAsia" w:ascii="宋体" w:hAnsi="宋体" w:eastAsia="宋体" w:cs="宋体"/>
          <w:color w:val="FF0000"/>
          <w:lang w:val="en-US" w:eastAsia="zh-CN"/>
        </w:rPr>
        <w:t>分度所依据的维度：1、按冠心病分型？：稳定型心绞痛、不稳定型心绞痛、STENI/NSTEMI；2、按心功能分级？：Ⅰ、Ⅱ、Ⅲ、Ⅳ；3、按冠脉狭窄程度？：＜50%、50-70%、＞70%、主干或多支病变；4、结合以上综合评定？。建议：加入既往是否发生过心血管事件】</w:t>
      </w:r>
      <w:r>
        <w:rPr>
          <w:rFonts w:hint="eastAsia" w:ascii="宋体" w:hAnsi="宋体" w:eastAsia="宋体" w:cs="宋体"/>
          <w:color w:val="FF0000"/>
        </w:rPr>
        <w:br w:type="textWrapping"/>
      </w:r>
      <w:r>
        <w:t>2. 高血压（I10），诊断2年，控制良好；</w:t>
      </w:r>
      <w:r>
        <w:rPr>
          <w:rFonts w:hint="eastAsia" w:eastAsia="宋体"/>
          <w:color w:val="FF0000"/>
          <w:lang w:eastAsia="zh-CN"/>
        </w:rPr>
        <w:t>【</w:t>
      </w:r>
      <w:r>
        <w:rPr>
          <w:rFonts w:hint="eastAsia" w:eastAsia="宋体"/>
          <w:color w:val="FF0000"/>
          <w:lang w:val="en-US" w:eastAsia="zh-CN"/>
        </w:rPr>
        <w:t>建议：加入高血压分级和危险分层：低危、中危、高危、很高危】</w:t>
      </w:r>
      <w:r>
        <w:br w:type="textWrapping"/>
      </w:r>
      <w:r>
        <w:t>3. 2型糖尿病（E11），诊断2年，中度；</w:t>
      </w:r>
      <w:r>
        <w:rPr>
          <w:rFonts w:hint="eastAsia" w:ascii="宋体" w:hAnsi="宋体" w:eastAsia="宋体" w:cs="宋体"/>
          <w:color w:val="FF0000"/>
          <w:lang w:eastAsia="zh-CN"/>
        </w:rPr>
        <w:t>【</w:t>
      </w:r>
      <w:r>
        <w:rPr>
          <w:rFonts w:hint="eastAsia" w:ascii="宋体" w:hAnsi="宋体" w:eastAsia="宋体" w:cs="宋体"/>
          <w:color w:val="FF0000"/>
          <w:lang w:val="en-US" w:eastAsia="zh-CN"/>
        </w:rPr>
        <w:t>分度所依据的维度：1、发病所处阶段？；2、按HBA</w:t>
      </w:r>
      <w:r>
        <w:rPr>
          <w:rFonts w:hint="eastAsia" w:ascii="宋体" w:hAnsi="宋体" w:eastAsia="宋体" w:cs="宋体"/>
          <w:color w:val="FF0000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color w:val="FF0000"/>
          <w:lang w:val="en-US" w:eastAsia="zh-CN"/>
        </w:rPr>
        <w:t>C控制水平?；3、按是否发生并发症？】</w:t>
      </w:r>
      <w:r>
        <w:br w:type="textWrapping"/>
      </w:r>
      <w:r>
        <w:t>4. 轻度糖脂代谢异常（E78），诊断1年。</w:t>
      </w:r>
      <w:r>
        <w:br w:type="textWrapping"/>
      </w:r>
      <w:r>
        <w:br w:type="textWrapping"/>
      </w:r>
      <w:r>
        <w:t>家族史：母亲有高血压，部分叔伯有糖尿病遗传背景。</w:t>
      </w:r>
    </w:p>
    <w:p w14:paraId="0846D4F8">
      <w:pPr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eastAsia="宋体"/>
          <w:color w:val="FF0000"/>
          <w:lang w:eastAsia="zh-CN"/>
        </w:rPr>
        <w:t>【</w:t>
      </w:r>
      <w:r>
        <w:rPr>
          <w:rFonts w:hint="eastAsia" w:eastAsia="宋体"/>
          <w:color w:val="FF0000"/>
          <w:lang w:val="en-US" w:eastAsia="zh-CN"/>
        </w:rPr>
        <w:t>个人史：是否有烟酒等不良嗜好</w:t>
      </w:r>
      <w:r>
        <w:rPr>
          <w:rFonts w:hint="eastAsia" w:eastAsia="宋体"/>
          <w:color w:val="FF0000"/>
          <w:lang w:eastAsia="zh-CN"/>
        </w:rPr>
        <w:t>】</w:t>
      </w:r>
      <w:r>
        <w:br w:type="textWrapping"/>
      </w:r>
      <w:r>
        <w:br w:type="textWrapping"/>
      </w:r>
      <w:r>
        <w:t>临床指标与依从性趋势：</w:t>
      </w:r>
      <w:r>
        <w:br w:type="textWrapping"/>
      </w:r>
      <w:r>
        <w:t>患者目前按医嘱规律服用二甲双胍片（0.5g qd PO）、酒石酸美托洛尔缓释片（25mg qd PO）、苯磺酸氨氯地平片（5mg qd PO）及瑞舒伐他汀片（10mg qn PO）。最新随访显示血压及血糖控制较好。生活方式依从性总体较好：饮食方面能够控制盐分和主食摄入，注重多蔬果、适量深海鱼类；运动方面能坚持快步走每周3-4次，每次30分钟，小组锻炼增强了依从性；作息规律，每晚睡眠时间充足；能主动参与社区活动调节压力，与家人沟通良好。</w:t>
      </w:r>
      <w:r>
        <w:br w:type="textWrapping"/>
      </w:r>
      <w:r>
        <w:br w:type="textWrapping"/>
      </w:r>
      <w:r>
        <w:t>风险评估：</w:t>
      </w:r>
      <w:r>
        <w:br w:type="textWrapping"/>
      </w:r>
      <w:r>
        <w:t>患者为多重心血管危险因素集聚人群，包括冠心病、高血压、2型糖尿病及糖脂代谢异常。虽当前血压、血糖、血脂控制较满意，但因年龄较大、合并基础疾病及家族相关遗传背景，仍属于中高危人群。需警惕急性冠脉事件、脑卒中及微血管并发症风险。长期管理重点为：继续严格控制血糖、血脂水平，避免感染和剧烈波动的血压，同时加强足部健康监测以防糖尿病足等并发症发生。</w:t>
      </w:r>
      <w:r>
        <w:br w:type="textWrapping"/>
      </w:r>
      <w:r>
        <w:br w:type="textWrapping"/>
      </w:r>
      <w:r>
        <w:t>建议与后续计划：</w:t>
      </w:r>
      <w:r>
        <w:br w:type="textWrapping"/>
      </w:r>
      <w:r>
        <w:t>继续现有药物治疗方案，加强健康教育，提高慢病自我管理能力</w:t>
      </w:r>
      <w:r>
        <w:rPr>
          <w:rFonts w:hint="eastAsia" w:eastAsia="宋体"/>
          <w:color w:val="FF0000"/>
          <w:lang w:eastAsia="zh-CN"/>
        </w:rPr>
        <w:t>【</w:t>
      </w:r>
      <w:r>
        <w:rPr>
          <w:rFonts w:hint="eastAsia" w:eastAsia="宋体"/>
          <w:color w:val="FF0000"/>
          <w:lang w:val="en-US" w:eastAsia="zh-CN"/>
        </w:rPr>
        <w:t>建议加入对患者的具体建议：如自我足部检查、血压血糖自我监测</w:t>
      </w:r>
      <w:r>
        <w:rPr>
          <w:rFonts w:hint="eastAsia" w:eastAsia="宋体"/>
          <w:color w:val="FF0000"/>
          <w:lang w:eastAsia="zh-CN"/>
        </w:rPr>
        <w:t>】</w:t>
      </w:r>
      <w:r>
        <w:t>。定期复查生化指标和靶器官功能。下次随访日期为2025-01-20，请密切关注患者足部状况及有无低血糖、低血压等不良反应。如有急性不适或感染征象，应及时就医处理。</w:t>
      </w:r>
      <w:r>
        <w:rPr>
          <w:rFonts w:hint="eastAsia" w:ascii="宋体" w:hAnsi="宋体" w:eastAsia="宋体" w:cs="宋体"/>
          <w:color w:val="FF0000"/>
          <w:lang w:eastAsia="zh-CN"/>
        </w:rPr>
        <w:t>【</w:t>
      </w:r>
      <w:r>
        <w:rPr>
          <w:rFonts w:hint="eastAsia" w:ascii="宋体" w:hAnsi="宋体" w:eastAsia="宋体" w:cs="宋体"/>
          <w:color w:val="FF0000"/>
          <w:lang w:val="en-US" w:eastAsia="zh-CN"/>
        </w:rPr>
        <w:t>建议：将定期复查生化指标和靶器官功能项目及时间具体化：如每3个月复查肝功能、肾功能、尿微量白蛋白、血脂、HBA</w:t>
      </w:r>
      <w:r>
        <w:rPr>
          <w:rFonts w:hint="eastAsia" w:ascii="宋体" w:hAnsi="宋体" w:eastAsia="宋体" w:cs="宋体"/>
          <w:color w:val="FF0000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color w:val="FF0000"/>
          <w:lang w:val="en-US" w:eastAsia="zh-CN"/>
        </w:rPr>
        <w:t>C；每6个月行心电图、超声心动图检查；每年行眼底检查、心脑血管并发症筛查等】</w:t>
      </w:r>
    </w:p>
    <w:p w14:paraId="72F86800">
      <w:pPr>
        <w:pStyle w:val="3"/>
      </w:pPr>
      <w:r>
        <w:t>目录</w:t>
      </w:r>
    </w:p>
    <w:p w14:paraId="28EB31F8">
      <w:r>
        <w:fldChar w:fldCharType="begin"/>
      </w:r>
      <w:r>
        <w:instrText xml:space="preserve"> HYPERLINK \l "sec1" \h </w:instrText>
      </w:r>
      <w:r>
        <w:fldChar w:fldCharType="separate"/>
      </w:r>
      <w:r>
        <w:t>一、患者基本信息</w:t>
      </w:r>
      <w:r>
        <w:fldChar w:fldCharType="end"/>
      </w:r>
    </w:p>
    <w:p w14:paraId="17904D9D">
      <w:r>
        <w:fldChar w:fldCharType="begin"/>
      </w:r>
      <w:r>
        <w:instrText xml:space="preserve"> HYPERLINK \l "sec2" \h </w:instrText>
      </w:r>
      <w:r>
        <w:fldChar w:fldCharType="separate"/>
      </w:r>
      <w:r>
        <w:t>二、疾病与用药分析</w:t>
      </w:r>
      <w:r>
        <w:fldChar w:fldCharType="end"/>
      </w:r>
    </w:p>
    <w:p w14:paraId="36805337">
      <w:r>
        <w:fldChar w:fldCharType="begin"/>
      </w:r>
      <w:r>
        <w:instrText xml:space="preserve"> HYPERLINK \l "sec3" \h </w:instrText>
      </w:r>
      <w:r>
        <w:fldChar w:fldCharType="separate"/>
      </w:r>
      <w:r>
        <w:t>三、合并症及家族病史</w:t>
      </w:r>
      <w:r>
        <w:fldChar w:fldCharType="end"/>
      </w:r>
    </w:p>
    <w:p w14:paraId="40E3933B">
      <w:r>
        <w:fldChar w:fldCharType="begin"/>
      </w:r>
      <w:r>
        <w:instrText xml:space="preserve"> HYPERLINK \l "sec4" \h </w:instrText>
      </w:r>
      <w:r>
        <w:fldChar w:fldCharType="separate"/>
      </w:r>
      <w:r>
        <w:t>四、依从性趋势</w:t>
      </w:r>
      <w:r>
        <w:fldChar w:fldCharType="end"/>
      </w:r>
    </w:p>
    <w:p w14:paraId="69371061">
      <w:r>
        <w:fldChar w:fldCharType="begin"/>
      </w:r>
      <w:r>
        <w:instrText xml:space="preserve"> HYPERLINK \l "sec5" \h </w:instrText>
      </w:r>
      <w:r>
        <w:fldChar w:fldCharType="separate"/>
      </w:r>
      <w:r>
        <w:t>五、依从反馈与偏好变化分析</w:t>
      </w:r>
      <w:r>
        <w:fldChar w:fldCharType="end"/>
      </w:r>
    </w:p>
    <w:p w14:paraId="0B8A7CED">
      <w:r>
        <w:fldChar w:fldCharType="begin"/>
      </w:r>
      <w:r>
        <w:instrText xml:space="preserve"> HYPERLINK \l "sec6" \h </w:instrText>
      </w:r>
      <w:r>
        <w:fldChar w:fldCharType="separate"/>
      </w:r>
      <w:r>
        <w:t>六、对话洞察与后续方案</w:t>
      </w:r>
      <w:r>
        <w:fldChar w:fldCharType="end"/>
      </w:r>
    </w:p>
    <w:p w14:paraId="2C27E144">
      <w:r>
        <w:fldChar w:fldCharType="begin"/>
      </w:r>
      <w:r>
        <w:instrText xml:space="preserve"> HYPERLINK \l "sec7" \h </w:instrText>
      </w:r>
      <w:r>
        <w:fldChar w:fldCharType="separate"/>
      </w:r>
      <w:r>
        <w:t>七、综合分析与建议</w:t>
      </w:r>
      <w:r>
        <w:fldChar w:fldCharType="end"/>
      </w:r>
    </w:p>
    <w:p w14:paraId="151F31D8">
      <w:pPr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eastAsia="zh-CN"/>
        </w:rPr>
        <w:t>【</w:t>
      </w:r>
      <w:r>
        <w:rPr>
          <w:rFonts w:hint="eastAsia" w:ascii="宋体" w:hAnsi="宋体" w:eastAsia="宋体" w:cs="宋体"/>
          <w:color w:val="FF0000"/>
          <w:lang w:val="en-US" w:eastAsia="zh-CN"/>
        </w:rPr>
        <w:t>1、是否可以增加“既往生化指标与靶器官功能监测”栏，便于医生了解既往情况及变化趋势以利于慢病合并症的管理和干预；2、否可以增加血压、血糖、体重曲线？；3、患者</w:t>
      </w:r>
      <w:bookmarkStart w:id="7" w:name="_GoBack"/>
      <w:bookmarkEnd w:id="7"/>
      <w:r>
        <w:rPr>
          <w:rFonts w:hint="eastAsia" w:ascii="宋体" w:hAnsi="宋体" w:eastAsia="宋体" w:cs="宋体"/>
          <w:color w:val="FF0000"/>
          <w:lang w:val="en-US" w:eastAsia="zh-CN"/>
        </w:rPr>
        <w:t>理解能力和慢性教育情况：如是否掌握正确测量血压、正确测量末梢血糖、低血糖的应对方法、饮食营养结构的理解情况等】</w:t>
      </w:r>
    </w:p>
    <w:p w14:paraId="1AD670D7">
      <w:r>
        <w:br w:type="page"/>
      </w:r>
    </w:p>
    <w:p w14:paraId="0919C252">
      <w:pPr>
        <w:pStyle w:val="4"/>
      </w:pPr>
      <w:bookmarkStart w:id="0" w:name="sec1"/>
      <w:r>
        <w:t>一、患者基本信息</w:t>
      </w:r>
      <w:bookmarkEnd w:id="0"/>
    </w:p>
    <w:p w14:paraId="6E6BF750">
      <w:r>
        <w:t>患者编号：2d167509a99d23d5b6d470857f44cccf9e8d94ecc67351994432fac3718c138e</w:t>
      </w:r>
    </w:p>
    <w:p w14:paraId="2798476D">
      <w:r>
        <w:t>年龄：64 岁</w:t>
      </w:r>
    </w:p>
    <w:p w14:paraId="3CE511CA">
      <w:r>
        <w:t>性别：女</w:t>
      </w:r>
    </w:p>
    <w:p w14:paraId="6DB99903">
      <w:r>
        <w:t>婚姻状况：已婚</w:t>
      </w:r>
    </w:p>
    <w:p w14:paraId="13E99233">
      <w:r>
        <w:t>职业：退休教师</w:t>
      </w:r>
    </w:p>
    <w:p w14:paraId="5D55FE7C">
      <w:r>
        <w:t>居住地：山东</w:t>
      </w:r>
    </w:p>
    <w:p w14:paraId="0F910A57">
      <w:r>
        <w:t>学历：高中</w:t>
      </w:r>
    </w:p>
    <w:p w14:paraId="1CE72443">
      <w:r>
        <w:t>收入水平：中</w:t>
      </w:r>
    </w:p>
    <w:p w14:paraId="69207B7B">
      <w:r>
        <w:t>居住情况：与家人同住</w:t>
      </w:r>
    </w:p>
    <w:p w14:paraId="4714AC37">
      <w:r>
        <w:t>联系方式：138-2858-5678</w:t>
      </w:r>
    </w:p>
    <w:p w14:paraId="41E9C69A">
      <w:pPr>
        <w:pStyle w:val="4"/>
      </w:pPr>
      <w:bookmarkStart w:id="1" w:name="sec2"/>
      <w:r>
        <w:t>二、疾病与用药分析</w:t>
      </w:r>
      <w:bookmarkEnd w:id="1"/>
    </w:p>
    <w:p w14:paraId="3BC2181E">
      <w:r>
        <w:t>- 疾病：冠心病 (ICD10: I25)，诊断：2.0年，严重度：中度</w:t>
      </w:r>
    </w:p>
    <w:p w14:paraId="4B0363D8">
      <w:r>
        <w:t>- 疾病：高血压 (ICD10: I10)，诊断：2.0年，严重度：可控</w:t>
      </w:r>
    </w:p>
    <w:p w14:paraId="1F288DC1">
      <w:r>
        <w:t>- 疾病：2型糖尿病 (ICD10: E11)，诊断：2.0年，严重度：中度</w:t>
      </w:r>
    </w:p>
    <w:p w14:paraId="2E808070">
      <w:r>
        <w:t>- 药物：二甲双胍片，剂量：0.5g，频次：每日1次</w:t>
      </w:r>
    </w:p>
    <w:p w14:paraId="34F7BC2E">
      <w:r>
        <w:t>- 药物：酒石酸美托洛尔缓释片，剂量：25mg，频次：每日1次</w:t>
      </w:r>
    </w:p>
    <w:p w14:paraId="2273120F">
      <w:r>
        <w:t>- 药物：苯磺酸氨氯地平片，剂量：5mg，频次：每日1次</w:t>
      </w:r>
    </w:p>
    <w:p w14:paraId="70EAC761">
      <w:r>
        <w:t>- 药物：瑞舒伐他汀片，剂量：10mg，频次：每晚1次</w:t>
      </w:r>
    </w:p>
    <w:p w14:paraId="134C93E4">
      <w:pPr>
        <w:pStyle w:val="4"/>
      </w:pPr>
      <w:bookmarkStart w:id="2" w:name="sec3"/>
      <w:r>
        <w:t>三、合并症及家族病史</w:t>
      </w:r>
      <w:bookmarkEnd w:id="2"/>
    </w:p>
    <w:p w14:paraId="21A81CE3">
      <w:r>
        <w:t>- 合并症：轻度糖脂代谢异常 (ICD10: E78)，诊断：1.0年，严重度：轻度</w:t>
      </w:r>
    </w:p>
    <w:p w14:paraId="37F90630">
      <w:r>
        <w:t>家族病史：父亲：None；母亲：高血压；兄弟姐妹：None；子女：None；叔伯：部分成员有糖尿病</w:t>
      </w:r>
    </w:p>
    <w:p w14:paraId="2BADC49E">
      <w:r>
        <w:t>过敏史：头孢菌素过敏</w:t>
      </w:r>
    </w:p>
    <w:p w14:paraId="25292D90">
      <w:r>
        <w:t>最近检查：2024-12-21</w:t>
      </w:r>
    </w:p>
    <w:p w14:paraId="3737A252">
      <w:pPr>
        <w:pStyle w:val="4"/>
      </w:pPr>
      <w:bookmarkStart w:id="3" w:name="sec4"/>
      <w:r>
        <w:t>四、依从性趋势</w:t>
      </w:r>
      <w:bookmarkEnd w:id="3"/>
    </w:p>
    <w:p w14:paraId="0A1D57AA">
      <w:pPr>
        <w:jc w:val="center"/>
      </w:pPr>
      <w:r>
        <w:drawing>
          <wp:inline distT="0" distB="0" distL="114300" distR="114300">
            <wp:extent cx="5486400" cy="32918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0763">
      <w:pPr>
        <w:jc w:val="center"/>
      </w:pPr>
      <w:r>
        <w:drawing>
          <wp:inline distT="0" distB="0" distL="114300" distR="114300">
            <wp:extent cx="548640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FD30">
      <w:pPr>
        <w:pStyle w:val="4"/>
      </w:pPr>
      <w:bookmarkStart w:id="4" w:name="sec5"/>
      <w:r>
        <w:t>五、依从反馈与偏好变化分析</w:t>
      </w:r>
      <w:bookmarkEnd w:id="4"/>
    </w:p>
    <w:p w14:paraId="32D1F81C">
      <w:r>
        <w:t>最近建议反馈示例：</w:t>
      </w:r>
    </w:p>
    <w:p w14:paraId="57F4A96A">
      <w:r>
        <w:t>- 2024-12-22 建议类别：medication，反馈：not_tried</w:t>
      </w:r>
    </w:p>
    <w:p w14:paraId="338739E2">
      <w:r>
        <w:t>- 2024-12-22 建议类别：diet，反馈：not_tried</w:t>
      </w:r>
    </w:p>
    <w:p w14:paraId="43884331">
      <w:r>
        <w:t>- 2024-12-22 建议类别：diet，反馈：not_tried</w:t>
      </w:r>
    </w:p>
    <w:p w14:paraId="70E0DE2F">
      <w:pPr>
        <w:jc w:val="center"/>
      </w:pPr>
      <w:r>
        <w:drawing>
          <wp:inline distT="0" distB="0" distL="114300" distR="114300">
            <wp:extent cx="457200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80AD">
      <w:pPr>
        <w:jc w:val="center"/>
      </w:pPr>
      <w:r>
        <w:drawing>
          <wp:inline distT="0" distB="0" distL="114300" distR="114300">
            <wp:extent cx="5486400" cy="342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1B7C">
      <w:r>
        <w:t>最近偏好更新示例：</w:t>
      </w:r>
    </w:p>
    <w:p w14:paraId="0F6CD97E">
      <w:r>
        <w:t>- 2024-12-22 原偏好：None，新偏好：用小番茄和核桃替代晚上点心</w:t>
      </w:r>
    </w:p>
    <w:p w14:paraId="523E431B">
      <w:r>
        <w:t>- 2024-12-22 原偏好：户外散步和广场舞，新偏好：在家分几次做轻松操或原地走，每次10-15分钟</w:t>
      </w:r>
    </w:p>
    <w:p w14:paraId="4B9A493E">
      <w:r>
        <w:t>- 2024-12-23 原偏好：None，新偏好：晚上只吃小番茄，不吃点心</w:t>
      </w:r>
    </w:p>
    <w:p w14:paraId="2B0288A1">
      <w:pPr>
        <w:jc w:val="center"/>
      </w:pPr>
      <w:r>
        <w:drawing>
          <wp:inline distT="0" distB="0" distL="114300" distR="114300">
            <wp:extent cx="4572000" cy="342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74CE">
      <w:pPr>
        <w:jc w:val="center"/>
      </w:pPr>
      <w:r>
        <w:drawing>
          <wp:inline distT="0" distB="0" distL="114300" distR="114300">
            <wp:extent cx="4572000" cy="3429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1D96">
      <w:pPr>
        <w:pStyle w:val="4"/>
      </w:pPr>
      <w:bookmarkStart w:id="5" w:name="sec6"/>
      <w:r>
        <w:t>六、对话洞察与后续方案</w:t>
      </w:r>
      <w:bookmarkEnd w:id="5"/>
    </w:p>
    <w:p w14:paraId="699ACB41">
      <w:pPr>
        <w:pStyle w:val="5"/>
      </w:pPr>
      <w:r>
        <w:t>随访日期：2024-12-22</w:t>
      </w:r>
    </w:p>
    <w:p w14:paraId="268C699C">
      <w:r>
        <w:t>- 2024-12-22T08:30:00+08:00：通过循序渐进的问询，了解其实际执行情况、遇到的障碍及情绪状态。</w:t>
      </w:r>
    </w:p>
    <w:p w14:paraId="612289CD">
      <w:r>
        <w:t>- 2024-12-22T08:32:00+08:00：逐项检查药物、生活方式、监测依从性。</w:t>
      </w:r>
    </w:p>
    <w:p w14:paraId="4895BCB2">
      <w:r>
        <w:t>- 2024-12-22T08:33:10+08:00：建议结合晚间固定习惯建立服药提示。</w:t>
      </w:r>
    </w:p>
    <w:p w14:paraId="5ECE50B3">
      <w:r>
        <w:t>- 2024-12-22T08:34:20+08:00：继续跟进并引入生活方式遵从性检查。</w:t>
      </w:r>
    </w:p>
    <w:p w14:paraId="16FB47E6">
      <w:r>
        <w:t>- 2024-12-22T08:36:00+08:00：建议适当减少主食份量，增加蔬菜，鼓励全家支持。</w:t>
      </w:r>
    </w:p>
    <w:p w14:paraId="6F83F119">
      <w:r>
        <w:t>- 2024-12-22T08:37:20+08:00：个性化提供替代方案。</w:t>
      </w:r>
    </w:p>
    <w:p w14:paraId="2870C326">
      <w:r>
        <w:t>- 2024-12-22T08:39:00+08:00：关注血糖、血压自测情况。</w:t>
      </w:r>
    </w:p>
    <w:p w14:paraId="79EE713E">
      <w:r>
        <w:t>- 2024-12-22T08:40:15+08:00：建议轻量室内活动为主，分段完成运动量。</w:t>
      </w:r>
    </w:p>
    <w:p w14:paraId="55EE2F0E">
      <w:r>
        <w:t>- 2024-12-22T08:41:30+08:00：后续结合家庭支持和激励。</w:t>
      </w:r>
    </w:p>
    <w:p w14:paraId="6654CD93">
      <w:pPr>
        <w:pStyle w:val="5"/>
      </w:pPr>
      <w:r>
        <w:t>随访日期：2024-12-23</w:t>
      </w:r>
    </w:p>
    <w:p w14:paraId="24FBB2E9">
      <w:r>
        <w:t>- 2024-12-23T08:30:00+08:00：复查前述行为，继续正向激励，早期引入家属协作。</w:t>
      </w:r>
    </w:p>
    <w:p w14:paraId="356EE4D4">
      <w:r>
        <w:t>- 2024-12-23T08:31:45+08:00：继续追踪，关注饮食夜间加餐情况。</w:t>
      </w:r>
    </w:p>
    <w:p w14:paraId="7D89A992">
      <w:r>
        <w:t>- 2024-12-23T08:33:10+08:00：继续鼓励家庭支持。</w:t>
      </w:r>
    </w:p>
    <w:p w14:paraId="4FE4FCB4">
      <w:r>
        <w:t>- 2024-12-23T08:35:00+08:00：建议餐后轻运动，调整主食搭配。</w:t>
      </w:r>
    </w:p>
    <w:p w14:paraId="2FB24360">
      <w:r>
        <w:t>- 2024-12-23T08:36:30+08:00：继续追踪血糖变化。</w:t>
      </w:r>
    </w:p>
    <w:p w14:paraId="2631A4AC">
      <w:r>
        <w:t>- 2024-12-23T08:37:50+08:00：增加拉伸运动，提醒量力而行。</w:t>
      </w:r>
    </w:p>
    <w:p w14:paraId="326BE256">
      <w:r>
        <w:t>- 2024-12-23T08:39:00+08:00：继续强化积极体验。</w:t>
      </w:r>
    </w:p>
    <w:p w14:paraId="5763151A">
      <w:pPr>
        <w:pStyle w:val="5"/>
      </w:pPr>
      <w:r>
        <w:t>随访日期：2024-12-24</w:t>
      </w:r>
    </w:p>
    <w:p w14:paraId="5C065CEE">
      <w:r>
        <w:t>- 2024-12-24T08:30:00+08:00：询问执行反馈、身体反应及新困扰。</w:t>
      </w:r>
    </w:p>
    <w:p w14:paraId="695B98BD">
      <w:r>
        <w:t>- 2024-12-24T08:31:20+08:00：鼓励保持运动拉伸。</w:t>
      </w:r>
    </w:p>
    <w:p w14:paraId="75639FE3">
      <w:r>
        <w:t>- 2024-12-24T08:32:00+08:00：询问睡眠和情绪状态。</w:t>
      </w:r>
    </w:p>
    <w:p w14:paraId="1A292F04">
      <w:r>
        <w:t>- 2024-12-24T08:33:30+08:00：正向反馈和心理疏导。</w:t>
      </w:r>
    </w:p>
    <w:p w14:paraId="7F55E4F4">
      <w:r>
        <w:t>- 2024-12-24T08:34:45+08:00：鼓励多参与社交活动，激发正向动力。</w:t>
      </w:r>
    </w:p>
    <w:p w14:paraId="17353CEA">
      <w:r>
        <w:t>- 2024-12-24T08:35:15+08:00：预告明日总结与长期维护方案。</w:t>
      </w:r>
    </w:p>
    <w:p w14:paraId="21BCC9EE">
      <w:pPr>
        <w:pStyle w:val="5"/>
      </w:pPr>
      <w:r>
        <w:t>随访日期：2024-12-25</w:t>
      </w:r>
    </w:p>
    <w:p w14:paraId="3B82F37F">
      <w:r>
        <w:t>- 2024-12-25T08:30:00+08:00：预告后续自我管理计划及长期激励。</w:t>
      </w:r>
    </w:p>
    <w:p w14:paraId="56F7CD43">
      <w:r>
        <w:t>- 2024-12-25T08:31:30+08:00：鼓励记录健康小目标，增强成就感。</w:t>
      </w:r>
    </w:p>
    <w:p w14:paraId="7003F2B1">
      <w:r>
        <w:t>- 2024-12-25T08:32:30+08:00：强化自我管理和家庭互动。</w:t>
      </w:r>
    </w:p>
    <w:p w14:paraId="1C2C824F">
      <w:r>
        <w:t>- 2024-12-25T08:33:10+08:00：引入灵活运动方案和防寒建议。</w:t>
      </w:r>
    </w:p>
    <w:p w14:paraId="251E0A25">
      <w:r>
        <w:t>- 2024-12-25T08:34:15+08:00：提示足部检查和护理。</w:t>
      </w:r>
    </w:p>
    <w:p w14:paraId="6FCC97B5">
      <w:r>
        <w:t>- 2024-12-25T08:35:00+08:00：设立定期随访与健康自查机制。</w:t>
      </w:r>
    </w:p>
    <w:p w14:paraId="1F5B8943">
      <w:pPr>
        <w:pStyle w:val="5"/>
      </w:pPr>
      <w:r>
        <w:t>随访日期：2024-12-26</w:t>
      </w:r>
    </w:p>
    <w:p w14:paraId="27E3F21F">
      <w:r>
        <w:t>- 2024-12-26T08:30:00+08:00：设立自查周期与定期随访机制，巩固支持网络。</w:t>
      </w:r>
    </w:p>
    <w:p w14:paraId="405AEB1F">
      <w:r>
        <w:t>- 2024-12-26T08:31:45+08:00：鼓励建立周期性健康自查与家庭支持机制。</w:t>
      </w:r>
    </w:p>
    <w:p w14:paraId="63701A7E">
      <w:r>
        <w:t>- 2024-12-26T08:33:00+08:00：交代下次随访安排，缓释外部依赖。</w:t>
      </w:r>
    </w:p>
    <w:p w14:paraId="1FE62878">
      <w:r>
        <w:t>- 2024-12-26T08:34:00+08:00：随时保持沟通，强化信心。</w:t>
      </w:r>
    </w:p>
    <w:p w14:paraId="4E27152B">
      <w:pPr>
        <w:pStyle w:val="4"/>
      </w:pPr>
      <w:bookmarkStart w:id="6" w:name="sec7"/>
      <w:r>
        <w:t>七、综合分析与建议</w:t>
      </w:r>
      <w:bookmarkEnd w:id="6"/>
    </w:p>
    <w:p w14:paraId="0C326B10">
      <w:r>
        <w:t>总体完全依从率：76.5%；非依从次数：0 次。依据上述分析，为医疗团队提供针对性干预建议，并持续监测效果。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FFEE4FB"/>
    <w:rsid w:val="33DB7E80"/>
    <w:rsid w:val="3E7EAA99"/>
    <w:rsid w:val="3F7D828A"/>
    <w:rsid w:val="729DD6D9"/>
    <w:rsid w:val="7DBEF355"/>
    <w:rsid w:val="7E7E9FD0"/>
    <w:rsid w:val="7F3FC2F9"/>
    <w:rsid w:val="BFB7F975"/>
    <w:rsid w:val="DFD71DB5"/>
    <w:rsid w:val="FF694DB2"/>
    <w:rsid w:val="FF7717E8"/>
    <w:rsid w:val="FFF9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tyleName="APA" SelectedStyle="/APA.XSL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20</TotalTime>
  <ScaleCrop>false</ScaleCrop>
  <LinksUpToDate>false</LinksUpToDate>
  <CharactersWithSpaces>0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2013-12-24T15:15:00Z</dcterms:created>
  <dc:creator>python-docx</dc:creator>
  <dc:description>generated by python-docx</dc:description>
  <cp:lastModifiedBy>树上考拉</cp:lastModifiedBy>
  <dcterms:modified xsi:type="dcterms:W3CDTF">2025-07-29T16:01:11Z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3B1B2C2EE922C103186F88685F46D6E2_42</vt:lpwstr>
  </property>
</Properties>
</file>