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utoloader"/>
      <w:bookmarkEnd w:id="21"/>
      <w:r>
        <w:t xml:space="preserve">Autoloader</w:t>
      </w:r>
    </w:p>
    <w:p>
      <w:pPr>
        <w:pStyle w:val="FirstParagraph"/>
      </w:pPr>
      <w:r>
        <w:t xml:space="preserve">关键词 “必须”("MUST")、“一定不可/一定不能”("MUST NOT")、“需要”("REQUIRED")、</w:t>
      </w:r>
      <w:r>
        <w:t xml:space="preserve"> </w:t>
      </w:r>
      <w:r>
        <w:t xml:space="preserve">“将会”("SHALL")、“不会”("SHALL NOT")、“应该”("SHOULD")、“不该”("SHOULD NOT")、</w:t>
      </w:r>
      <w:r>
        <w:t xml:space="preserve"> </w:t>
      </w:r>
      <w:r>
        <w:t xml:space="preserve">“推荐”("RECOMMENDED")、“可以”("MAY")和”可选“("OPTIONAL")的详细描述可参见 [RFC 2119][http://tools.ietf.org/html/rfc2119] 。</w:t>
      </w:r>
    </w:p>
    <w:p>
      <w:pPr>
        <w:pStyle w:val="Heading2"/>
      </w:pPr>
      <w:bookmarkStart w:id="22" w:name="概述"/>
      <w:bookmarkEnd w:id="22"/>
      <w:r>
        <w:t xml:space="preserve">1. 概述</w:t>
      </w:r>
    </w:p>
    <w:p>
      <w:pPr>
        <w:pStyle w:val="FirstParagraph"/>
      </w:pPr>
      <w:r>
        <w:t xml:space="preserve">本 PSR 是关于由文件路径</w:t>
      </w:r>
      <w:r>
        <w:t xml:space="preserve"> </w:t>
      </w:r>
      <w:hyperlink r:id="rId23">
        <w:r>
          <w:rPr>
            <w:rStyle w:val="Hyperlink"/>
          </w:rPr>
          <w:t xml:space="preserve">自动载入</w:t>
        </w:r>
      </w:hyperlink>
      <w:r>
        <w:t xml:space="preserve"> </w:t>
      </w:r>
      <w:r>
        <w:t xml:space="preserve">对应类的相关规范，</w:t>
      </w:r>
      <w:r>
        <w:t xml:space="preserve"> </w:t>
      </w:r>
      <w:r>
        <w:t xml:space="preserve">本规范是可互操作的，可以作为任一自动载入规范的补充，其中包括</w:t>
      </w:r>
      <w:r>
        <w:t xml:space="preserve"> </w:t>
      </w:r>
      <w:hyperlink r:id="rId24">
        <w:r>
          <w:rPr>
            <w:rStyle w:val="Hyperlink"/>
          </w:rPr>
          <w:t xml:space="preserve">PSR-0</w:t>
        </w:r>
      </w:hyperlink>
      <w:r>
        <w:t xml:space="preserve">，此外，</w:t>
      </w:r>
      <w:r>
        <w:t xml:space="preserve"> </w:t>
      </w:r>
      <w:r>
        <w:t xml:space="preserve">本 PSR 还包括自动载入的类对应的文件存放路径规范。</w:t>
      </w:r>
    </w:p>
    <w:p>
      <w:pPr>
        <w:pStyle w:val="Heading2"/>
      </w:pPr>
      <w:bookmarkStart w:id="25" w:name="详细说明"/>
      <w:bookmarkEnd w:id="25"/>
      <w:r>
        <w:t xml:space="preserve">2. 详细说明</w:t>
      </w:r>
    </w:p>
    <w:p>
      <w:pPr>
        <w:numPr>
          <w:numId w:val="1001"/>
          <w:ilvl w:val="0"/>
        </w:numPr>
      </w:pPr>
      <w:r>
        <w:t xml:space="preserve">此处的“类”泛指所有的class类、接口、traits可复用代码块以及其它类似结构。</w:t>
      </w:r>
    </w:p>
    <w:p>
      <w:pPr>
        <w:numPr>
          <w:numId w:val="1001"/>
          <w:ilvl w:val="0"/>
        </w:numPr>
      </w:pPr>
      <w:r>
        <w:t xml:space="preserve">一个完整的类名需具有以下结构: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\&lt;命名空间&gt;(\&lt;子命名空间&gt;)*\&lt;类名&gt;</w:t>
      </w:r>
    </w:p>
    <w:p>
      <w:pPr>
        <w:numPr>
          <w:numId w:val="1002"/>
          <w:ilvl w:val="1"/>
        </w:numPr>
      </w:pPr>
      <w:r>
        <w:t xml:space="preserve">完整的类名</w:t>
      </w:r>
      <w:r>
        <w:rPr>
          <w:b/>
        </w:rPr>
        <w:t xml:space="preserve">必须</w:t>
      </w:r>
      <w:r>
        <w:t xml:space="preserve">要有一个顶级命名空间，被称为 "vendor namespace"；</w:t>
      </w:r>
    </w:p>
    <w:p>
      <w:pPr>
        <w:numPr>
          <w:numId w:val="1002"/>
          <w:ilvl w:val="1"/>
        </w:numPr>
      </w:pPr>
      <w:r>
        <w:t xml:space="preserve">完整的类名</w:t>
      </w:r>
      <w:r>
        <w:rPr>
          <w:b/>
        </w:rPr>
        <w:t xml:space="preserve">可以</w:t>
      </w:r>
      <w:r>
        <w:t xml:space="preserve">有一个或多个子命名空间；</w:t>
      </w:r>
    </w:p>
    <w:p>
      <w:pPr>
        <w:numPr>
          <w:numId w:val="1002"/>
          <w:ilvl w:val="1"/>
        </w:numPr>
      </w:pPr>
      <w:r>
        <w:t xml:space="preserve">完整的类名</w:t>
      </w:r>
      <w:r>
        <w:rPr>
          <w:b/>
        </w:rPr>
        <w:t xml:space="preserve">必须</w:t>
      </w:r>
      <w:r>
        <w:t xml:space="preserve">有一个最终的类名；</w:t>
      </w:r>
    </w:p>
    <w:p>
      <w:pPr>
        <w:numPr>
          <w:numId w:val="1002"/>
          <w:ilvl w:val="1"/>
        </w:numPr>
      </w:pPr>
      <w:r>
        <w:t xml:space="preserve">完整的类名中任意一部分中的下滑线都是没有特殊含义的；</w:t>
      </w:r>
    </w:p>
    <w:p>
      <w:pPr>
        <w:numPr>
          <w:numId w:val="1002"/>
          <w:ilvl w:val="1"/>
        </w:numPr>
      </w:pPr>
      <w:r>
        <w:t xml:space="preserve">完整的类名</w:t>
      </w:r>
      <w:r>
        <w:rPr>
          <w:b/>
        </w:rPr>
        <w:t xml:space="preserve">可以</w:t>
      </w:r>
      <w:r>
        <w:t xml:space="preserve">由任意大小写字母组成；</w:t>
      </w:r>
    </w:p>
    <w:p>
      <w:pPr>
        <w:numPr>
          <w:numId w:val="1002"/>
          <w:ilvl w:val="1"/>
        </w:numPr>
      </w:pPr>
      <w:r>
        <w:t xml:space="preserve">所有类名都</w:t>
      </w:r>
      <w:r>
        <w:rPr>
          <w:b/>
        </w:rPr>
        <w:t xml:space="preserve">必须</w:t>
      </w:r>
      <w:r>
        <w:t xml:space="preserve">是大小写敏感的。</w:t>
      </w:r>
    </w:p>
    <w:p>
      <w:pPr>
        <w:numPr>
          <w:numId w:val="1001"/>
          <w:ilvl w:val="0"/>
        </w:numPr>
      </w:pPr>
      <w:r>
        <w:t xml:space="preserve">当根据完整的类名载入相应的文件……</w:t>
      </w:r>
    </w:p>
    <w:p>
      <w:pPr>
        <w:numPr>
          <w:numId w:val="1003"/>
          <w:ilvl w:val="1"/>
        </w:numPr>
      </w:pPr>
      <w:r>
        <w:t xml:space="preserve">完整的类名中，去掉最前面的命名空间分隔符，前面连续的一个或多个命名空间和子命名空间，作为“命名空间前缀”，其必须与至少一个“文件基目录”相对应；</w:t>
      </w:r>
    </w:p>
    <w:p>
      <w:pPr>
        <w:numPr>
          <w:numId w:val="1003"/>
          <w:ilvl w:val="1"/>
        </w:numPr>
      </w:pPr>
      <w:r>
        <w:t xml:space="preserve">紧接命名空间前缀后的子命名空间</w:t>
      </w:r>
      <w:r>
        <w:rPr>
          <w:b/>
        </w:rPr>
        <w:t xml:space="preserve">必须</w:t>
      </w:r>
      <w:r>
        <w:t xml:space="preserve">与相应的”文件基目录“相匹配，其中的命名空间分隔符将作为目录分隔符。</w:t>
      </w:r>
    </w:p>
    <w:p>
      <w:pPr>
        <w:numPr>
          <w:numId w:val="1003"/>
          <w:ilvl w:val="1"/>
        </w:numPr>
      </w:pPr>
      <w:r>
        <w:t xml:space="preserve">末尾的类名</w:t>
      </w:r>
      <w:r>
        <w:rPr>
          <w:b/>
        </w:rPr>
        <w:t xml:space="preserve">必须</w:t>
      </w:r>
      <w:r>
        <w:t xml:space="preserve">与对应的以</w:t>
      </w:r>
      <w:r>
        <w:t xml:space="preserve"> </w:t>
      </w:r>
      <w:r>
        <w:rPr>
          <w:rStyle w:val="VerbatimChar"/>
        </w:rPr>
        <w:t xml:space="preserve">.php</w:t>
      </w:r>
      <w:r>
        <w:t xml:space="preserve"> </w:t>
      </w:r>
      <w:r>
        <w:t xml:space="preserve">为后缀的文件同名。</w:t>
      </w:r>
    </w:p>
    <w:p>
      <w:pPr>
        <w:numPr>
          <w:numId w:val="1003"/>
          <w:ilvl w:val="1"/>
        </w:numPr>
      </w:pPr>
      <w:r>
        <w:t xml:space="preserve">自动加载器（autoloader）的实现</w:t>
      </w:r>
      <w:r>
        <w:rPr>
          <w:b/>
        </w:rPr>
        <w:t xml:space="preserve">一定不能</w:t>
      </w:r>
      <w:r>
        <w:t xml:space="preserve">抛出异常、</w:t>
      </w:r>
      <w:r>
        <w:rPr>
          <w:b/>
        </w:rPr>
        <w:t xml:space="preserve">一定不能</w:t>
      </w:r>
      <w:r>
        <w:t xml:space="preserve">触发任一级别的错误信息以及</w:t>
      </w:r>
      <w:r>
        <w:rPr>
          <w:b/>
        </w:rPr>
        <w:t xml:space="preserve">不应该</w:t>
      </w:r>
      <w:r>
        <w:t xml:space="preserve">有返回值。</w:t>
      </w:r>
    </w:p>
    <w:p>
      <w:pPr>
        <w:pStyle w:val="Heading2"/>
      </w:pPr>
      <w:bookmarkStart w:id="26" w:name="例子"/>
      <w:bookmarkEnd w:id="26"/>
      <w:r>
        <w:t xml:space="preserve">3. 例子</w:t>
      </w:r>
    </w:p>
    <w:p>
      <w:pPr>
        <w:pStyle w:val="FirstParagraph"/>
      </w:pPr>
      <w:r>
        <w:t xml:space="preserve">下表展示了符合规范完整类名、命名空间前缀和文件基目录所对应的文件路径。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完整类名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命名空间前缀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文件基目录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文件路径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_Writer</w:t>
            </w:r>
          </w:p>
        </w:tc>
        <w:tc>
          <w:p>
            <w:pPr>
              <w:pStyle w:val="Compact"/>
              <w:jc w:val="left"/>
            </w:pPr>
            <w:r>
              <w:t xml:space="preserve">Acme</w:t>
            </w:r>
          </w:p>
        </w:tc>
        <w:tc>
          <w:p>
            <w:pPr>
              <w:pStyle w:val="Compact"/>
              <w:jc w:val="left"/>
            </w:pPr>
            <w:r>
              <w:t xml:space="preserve">./acme-log-writer/lib/</w:t>
            </w:r>
          </w:p>
        </w:tc>
        <w:tc>
          <w:p>
            <w:pPr>
              <w:pStyle w:val="Compact"/>
              <w:jc w:val="left"/>
            </w:pPr>
            <w:r>
              <w:t xml:space="preserve">./acme-log-writer/lib/File_Writer.php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Aura</w:t>
            </w:r>
          </w:p>
        </w:tc>
        <w:tc>
          <w:p>
            <w:pPr>
              <w:pStyle w:val="Compact"/>
              <w:jc w:val="left"/>
            </w:pPr>
            <w:r>
              <w:t xml:space="preserve">/path/to/aura-web/src/</w:t>
            </w:r>
          </w:p>
        </w:tc>
        <w:tc>
          <w:p>
            <w:pPr>
              <w:pStyle w:val="Compact"/>
              <w:jc w:val="left"/>
            </w:pPr>
            <w:r>
              <w:t xml:space="preserve">/path/to/aura-web/src/Response/Status.php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Symfony</w:t>
            </w:r>
          </w:p>
        </w:tc>
        <w:tc>
          <w:p>
            <w:pPr>
              <w:pStyle w:val="Compact"/>
              <w:jc w:val="left"/>
            </w:pPr>
            <w:r>
              <w:t xml:space="preserve">./vendor/Symfony/Core/</w:t>
            </w:r>
          </w:p>
        </w:tc>
        <w:tc>
          <w:p>
            <w:pPr>
              <w:pStyle w:val="Compact"/>
              <w:jc w:val="left"/>
            </w:pPr>
            <w:r>
              <w:t xml:space="preserve">./vendor/Symfony/Core/Request.php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Zend</w:t>
            </w:r>
          </w:p>
        </w:tc>
        <w:tc>
          <w:p>
            <w:pPr>
              <w:pStyle w:val="Compact"/>
              <w:jc w:val="left"/>
            </w:pPr>
            <w:r>
              <w:t xml:space="preserve">/usr/includes/Zend/</w:t>
            </w:r>
          </w:p>
        </w:tc>
        <w:tc>
          <w:p>
            <w:pPr>
              <w:pStyle w:val="Compact"/>
              <w:jc w:val="left"/>
            </w:pPr>
            <w:r>
              <w:t xml:space="preserve">/usr/includes/Zend/Acl.php</w:t>
            </w:r>
          </w:p>
        </w:tc>
      </w:tr>
    </w:tbl>
    <w:p>
      <w:pPr>
        <w:pStyle w:val="BodyText"/>
      </w:pPr>
      <w:r>
        <w:t xml:space="preserve">关于本规范的实现，可参阅</w:t>
      </w:r>
      <w:r>
        <w:t xml:space="preserve"> </w:t>
      </w:r>
      <w:hyperlink r:id="rId27">
        <w:r>
          <w:rPr>
            <w:rStyle w:val="Hyperlink"/>
          </w:rPr>
          <w:t xml:space="preserve">相关实例</w:t>
        </w:r>
      </w:hyperlink>
      <w:r>
        <w:br w:type="textWrapping"/>
      </w:r>
      <w:r>
        <w:t xml:space="preserve">注意：实例并</w:t>
      </w:r>
      <w:r>
        <w:rPr>
          <w:b/>
        </w:rPr>
        <w:t xml:space="preserve">不</w:t>
      </w:r>
      <w:r>
        <w:t xml:space="preserve">属于规范的一部分，且随时</w:t>
      </w:r>
      <w:r>
        <w:rPr>
          <w:b/>
        </w:rPr>
        <w:t xml:space="preserve">会</w:t>
      </w:r>
      <w:r>
        <w:t xml:space="preserve">有所变动。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915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5533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php.net/autoload" TargetMode="External" /><Relationship Type="http://schemas.openxmlformats.org/officeDocument/2006/relationships/hyperlink" Id="rId24" Target="https://github.com/PizzaLiu/PHP-FIG/blob/master/PSR-0-cn.md" TargetMode="External" /><Relationship Type="http://schemas.openxmlformats.org/officeDocument/2006/relationships/hyperlink" Id="rId27" Target="https://github.com/php-fig/fig-standards/blob/master/accepted/PSR-4-autoloader-example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php.net/autoload" TargetMode="External" /><Relationship Type="http://schemas.openxmlformats.org/officeDocument/2006/relationships/hyperlink" Id="rId24" Target="https://github.com/PizzaLiu/PHP-FIG/blob/master/PSR-0-cn.md" TargetMode="External" /><Relationship Type="http://schemas.openxmlformats.org/officeDocument/2006/relationships/hyperlink" Id="rId27" Target="https://github.com/php-fig/fig-standards/blob/master/accepted/PSR-4-autoloader-exampl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