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BEFE2">
      <w:pPr>
        <w:spacing w:before="240" w:after="160"/>
      </w:pPr>
      <w:r>
        <w:rPr>
          <w:rFonts w:ascii="Arial" w:hAnsi="Arial" w:eastAsia="Hiragino Sans GB" w:cs="Arial"/>
          <w:b/>
          <w:color w:val="2E74B5"/>
          <w:sz w:val="18"/>
        </w:rPr>
        <w:t>PRODUCT REQUIREMENTS CATALOG</w:t>
      </w:r>
    </w:p>
    <w:p w14:paraId="764F99C5">
      <w:pPr>
        <w:spacing w:after="80"/>
      </w:pPr>
      <w:r>
        <w:rPr>
          <w:rFonts w:ascii="Arial" w:hAnsi="Arial" w:eastAsia="Hiragino Sans GB" w:cs="Arial"/>
          <w:b/>
          <w:color w:val="0B2545"/>
          <w:sz w:val="54"/>
        </w:rPr>
        <w:t>Kratos 货运异常管理系统</w:t>
      </w:r>
    </w:p>
    <w:p w14:paraId="73E9C564">
      <w:pPr>
        <w:spacing w:after="360"/>
      </w:pPr>
      <w:r>
        <w:rPr>
          <w:rFonts w:ascii="Arial" w:hAnsi="Arial" w:eastAsia="Hiragino Sans GB" w:cs="Arial"/>
          <w:b/>
          <w:color w:val="1F4D78"/>
          <w:sz w:val="28"/>
        </w:rPr>
        <w:t>功能需求清单与优先级（P0 / P1 / P2）</w:t>
      </w:r>
    </w:p>
    <w:p w14:paraId="194A122B">
      <w:pPr>
        <w:pStyle w:val="164"/>
      </w:pPr>
      <w:r>
        <w:rPr>
          <w:rFonts w:ascii="Arial" w:hAnsi="Arial" w:eastAsia="Hiragino Sans GB" w:cs="Arial"/>
          <w:b/>
          <w:color w:val="5B6573"/>
          <w:sz w:val="19"/>
        </w:rPr>
        <w:t xml:space="preserve">版本: </w:t>
      </w:r>
      <w:r>
        <w:rPr>
          <w:rFonts w:ascii="Arial" w:hAnsi="Arial" w:eastAsia="Hiragino Sans GB" w:cs="Arial"/>
          <w:color w:val="5B6573"/>
          <w:sz w:val="19"/>
        </w:rPr>
        <w:t>v1.0</w:t>
      </w:r>
    </w:p>
    <w:p w14:paraId="3DDB240B">
      <w:pPr>
        <w:pStyle w:val="164"/>
      </w:pPr>
      <w:r>
        <w:rPr>
          <w:rFonts w:ascii="Arial" w:hAnsi="Arial" w:eastAsia="Hiragino Sans GB" w:cs="Arial"/>
          <w:b/>
          <w:color w:val="5B6573"/>
          <w:sz w:val="19"/>
        </w:rPr>
        <w:t xml:space="preserve">日期: </w:t>
      </w:r>
      <w:r>
        <w:rPr>
          <w:rFonts w:ascii="Arial" w:hAnsi="Arial" w:eastAsia="Hiragino Sans GB" w:cs="Arial"/>
          <w:color w:val="5B6573"/>
          <w:sz w:val="19"/>
        </w:rPr>
        <w:t>2026-08-17</w:t>
      </w:r>
    </w:p>
    <w:p w14:paraId="297B569D">
      <w:pPr>
        <w:pStyle w:val="164"/>
      </w:pPr>
      <w:r>
        <w:rPr>
          <w:rFonts w:ascii="Arial" w:hAnsi="Arial" w:eastAsia="Hiragino Sans GB" w:cs="Arial"/>
          <w:b/>
          <w:color w:val="5B6573"/>
          <w:sz w:val="19"/>
        </w:rPr>
        <w:t xml:space="preserve">状态: </w:t>
      </w:r>
      <w:r>
        <w:rPr>
          <w:rFonts w:ascii="Arial" w:hAnsi="Arial" w:eastAsia="Hiragino Sans GB" w:cs="Arial"/>
          <w:color w:val="5B6573"/>
          <w:sz w:val="19"/>
        </w:rPr>
        <w:t>团队评审稿</w:t>
      </w:r>
    </w:p>
    <w:p w14:paraId="52AB9ACB">
      <w:pPr>
        <w:pStyle w:val="164"/>
      </w:pPr>
      <w:r>
        <w:rPr>
          <w:rFonts w:ascii="Arial" w:hAnsi="Arial" w:eastAsia="Hiragino Sans GB" w:cs="Arial"/>
          <w:b/>
          <w:color w:val="5B6573"/>
          <w:sz w:val="19"/>
        </w:rPr>
        <w:t xml:space="preserve">范围: </w:t>
      </w:r>
      <w:r>
        <w:rPr>
          <w:rFonts w:ascii="Arial" w:hAnsi="Arial" w:eastAsia="Hiragino Sans GB" w:cs="Arial"/>
          <w:color w:val="5B6573"/>
          <w:sz w:val="19"/>
        </w:rPr>
        <w:t>MVP 至智能优化阶段</w:t>
      </w:r>
    </w:p>
    <w:p w14:paraId="3799DD46">
      <w:pPr>
        <w:pBdr>
          <w:left w:val="single" w:color="2E74B5" w:sz="18" w:space="8"/>
        </w:pBdr>
        <w:shd w:val="clear" w:fill="F4F6F9"/>
        <w:spacing w:before="280" w:after="280" w:line="288" w:lineRule="auto"/>
        <w:ind w:left="173" w:right="115"/>
      </w:pPr>
      <w:r>
        <w:rPr>
          <w:rFonts w:ascii="Arial" w:hAnsi="Arial" w:eastAsia="Hiragino Sans GB" w:cs="Arial"/>
          <w:b/>
          <w:color w:val="0B2545"/>
          <w:sz w:val="22"/>
        </w:rPr>
        <w:t xml:space="preserve">产品定位  </w:t>
      </w:r>
      <w:r>
        <w:rPr>
          <w:rFonts w:ascii="Arial" w:hAnsi="Arial" w:eastAsia="Hiragino Sans GB" w:cs="Arial"/>
          <w:color w:val="111827"/>
          <w:sz w:val="22"/>
        </w:rPr>
        <w:t>Kratos 是位于 TMS、承运商、港口和客户通知系统之上的异常案件编排与决策支持层，核心闭环为：发现 &gt; 评估 &gt; 决策 &gt; 审批 &gt; 执行 &gt; 通知 &gt; 监控 &gt; 关闭 &gt; 复盘。</w:t>
      </w:r>
    </w:p>
    <w:p w14:paraId="2E88D59A">
      <w:pPr>
        <w:pStyle w:val="3"/>
        <w:keepNext/>
        <w:keepLines/>
      </w:pPr>
      <w:r>
        <w:t>优先级定义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6186071">
        <w:trPr>
          <w:tblHeader/>
        </w:trPr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BC86">
            <w:pPr>
              <w:spacing w:after="40"/>
              <w:jc w:val="center"/>
            </w:pPr>
            <w:r>
              <w:rPr>
                <w:rFonts w:ascii="Arial" w:hAnsi="Arial" w:eastAsia="Hiragino Sans GB" w:cs="Arial"/>
                <w:b/>
                <w:color w:val="9B1C1C"/>
                <w:sz w:val="24"/>
              </w:rPr>
              <w:t>P0</w:t>
            </w:r>
          </w:p>
          <w:p w14:paraId="2466A53B">
            <w:pPr>
              <w:spacing w:after="0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MVP 必须实现</w:t>
            </w:r>
          </w:p>
        </w:tc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DC22">
            <w:pPr>
              <w:spacing w:after="40"/>
              <w:jc w:val="center"/>
            </w:pPr>
            <w:r>
              <w:rPr>
                <w:rFonts w:ascii="Arial" w:hAnsi="Arial" w:eastAsia="Hiragino Sans GB" w:cs="Arial"/>
                <w:b/>
                <w:color w:val="7A5A00"/>
                <w:sz w:val="24"/>
              </w:rPr>
              <w:t>P1</w:t>
            </w:r>
          </w:p>
          <w:p w14:paraId="0D20FCC9">
            <w:pPr>
              <w:spacing w:after="0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第二阶段增强</w:t>
            </w:r>
          </w:p>
        </w:tc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8F42">
            <w:pPr>
              <w:spacing w:after="40"/>
              <w:jc w:val="center"/>
            </w:pPr>
            <w:r>
              <w:rPr>
                <w:rFonts w:ascii="Arial" w:hAnsi="Arial" w:eastAsia="Hiragino Sans GB" w:cs="Arial"/>
                <w:b/>
                <w:color w:val="1F4D78"/>
                <w:sz w:val="24"/>
              </w:rPr>
              <w:t>P2</w:t>
            </w:r>
          </w:p>
          <w:p w14:paraId="4448B29B">
            <w:pPr>
              <w:spacing w:after="0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智能优化阶段</w:t>
            </w:r>
          </w:p>
        </w:tc>
      </w:tr>
    </w:tbl>
    <w:p w14:paraId="7C806B34">
      <w:pPr>
        <w:spacing w:before="140" w:after="0"/>
      </w:pPr>
      <w:r>
        <w:rPr>
          <w:rFonts w:ascii="Arial" w:hAnsi="Arial" w:eastAsia="Hiragino Sans GB" w:cs="Arial"/>
          <w:b/>
          <w:color w:val="5B6573"/>
          <w:sz w:val="19"/>
        </w:rPr>
        <w:t>说明：</w:t>
      </w:r>
      <w:r>
        <w:rPr>
          <w:rFonts w:ascii="Arial" w:hAnsi="Arial" w:eastAsia="Hiragino Sans GB" w:cs="Arial"/>
          <w:color w:val="5B6573"/>
          <w:sz w:val="19"/>
        </w:rPr>
        <w:t>优先级表示建议实施阶段，不表示业务重要性；安全、审计和人工兜底均属于 P0。</w:t>
      </w:r>
    </w:p>
    <w:p w14:paraId="0F6024F4">
      <w:pPr>
        <w:pStyle w:val="2"/>
        <w:keepNext/>
        <w:keepLines/>
        <w:pageBreakBefore/>
      </w:pPr>
      <w:r>
        <w:t>1. 文档目的与范围</w:t>
      </w:r>
    </w:p>
    <w:p w14:paraId="0CE927BC">
      <w:r>
        <w:t>本文件将系统需求整理为可追踪的功能条目，并为每项需求标注建议实施优先级。它可作为产品评审、页面规划、技术设计、Backlog 拆分和验收标准编写的共同基线。</w:t>
      </w:r>
    </w:p>
    <w:p w14:paraId="01D58876">
      <w:pPr>
        <w:pBdr>
          <w:left w:val="single" w:color="2E74B5" w:sz="18" w:space="8"/>
        </w:pBdr>
        <w:shd w:val="clear" w:fill="EEF6FF"/>
        <w:spacing w:before="80" w:after="200"/>
      </w:pPr>
      <w:r>
        <w:rPr>
          <w:rFonts w:ascii="Arial" w:hAnsi="Arial" w:eastAsia="Hiragino Sans GB" w:cs="Arial"/>
          <w:b/>
          <w:color w:val="0B2545"/>
          <w:sz w:val="22"/>
        </w:rPr>
        <w:t xml:space="preserve">需求统计  </w:t>
      </w:r>
      <w:r>
        <w:rPr>
          <w:rFonts w:ascii="Arial" w:hAnsi="Arial" w:eastAsia="Hiragino Sans GB" w:cs="Arial"/>
          <w:b/>
          <w:color w:val="9B1C1C"/>
          <w:sz w:val="21"/>
        </w:rPr>
        <w:t xml:space="preserve">P0: 65 项（MVP 必须实现）  </w:t>
      </w:r>
      <w:r>
        <w:rPr>
          <w:rFonts w:ascii="Arial" w:hAnsi="Arial" w:eastAsia="Hiragino Sans GB" w:cs="Arial"/>
          <w:b/>
          <w:color w:val="7A5A00"/>
          <w:sz w:val="21"/>
        </w:rPr>
        <w:t xml:space="preserve">P1: 25 项（第二阶段增强）  </w:t>
      </w:r>
      <w:r>
        <w:rPr>
          <w:rFonts w:ascii="Arial" w:hAnsi="Arial" w:eastAsia="Hiragino Sans GB" w:cs="Arial"/>
          <w:b/>
          <w:color w:val="1F4D78"/>
          <w:sz w:val="21"/>
        </w:rPr>
        <w:t xml:space="preserve">P2: 7 项（智能优化阶段）  </w:t>
      </w:r>
    </w:p>
    <w:p w14:paraId="52BD4AA3">
      <w:pPr>
        <w:pStyle w:val="3"/>
        <w:keepNext/>
        <w:keepLines/>
      </w:pPr>
      <w:r>
        <w:t>1.1 产品边界</w:t>
      </w:r>
    </w:p>
    <w:p w14:paraId="7175C5C2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SCOPE  产品边界 - </w:t>
      </w:r>
      <w:r>
        <w:rPr>
          <w:rFonts w:ascii="Arial" w:hAnsi="Arial" w:eastAsia="Hiragino Sans GB" w:cs="Arial"/>
          <w:color w:val="111827"/>
          <w:sz w:val="21"/>
        </w:rPr>
        <w:t>读取并解释 TMS、承运商、港口、通知和相关外部数据。</w:t>
      </w:r>
    </w:p>
    <w:p w14:paraId="1572BBE4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SCOPE  产品边界 - </w:t>
      </w:r>
      <w:r>
        <w:rPr>
          <w:rFonts w:ascii="Arial" w:hAnsi="Arial" w:eastAsia="Hiragino Sans GB" w:cs="Arial"/>
          <w:color w:val="111827"/>
          <w:sz w:val="21"/>
        </w:rPr>
        <w:t>管理异常案件、方案、审批、执行、通知、监控和审计闭环。</w:t>
      </w:r>
    </w:p>
    <w:p w14:paraId="16A6D153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SCOPE  产品边界 - </w:t>
      </w:r>
      <w:r>
        <w:rPr>
          <w:rFonts w:ascii="Arial" w:hAnsi="Arial" w:eastAsia="Hiragino Sans GB" w:cs="Arial"/>
          <w:color w:val="111827"/>
          <w:sz w:val="21"/>
        </w:rPr>
        <w:t>将结果可靠同步回 TMS 和客户 Portal，而不是替代这些系统。</w:t>
      </w:r>
    </w:p>
    <w:p w14:paraId="2C2AC088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1F4D78"/>
          <w:sz w:val="21"/>
        </w:rPr>
        <w:t xml:space="preserve">[P2]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SCOPE  产品边界 - </w:t>
      </w:r>
      <w:r>
        <w:rPr>
          <w:rFonts w:ascii="Arial" w:hAnsi="Arial" w:eastAsia="Hiragino Sans GB" w:cs="Arial"/>
          <w:color w:val="111827"/>
          <w:sz w:val="21"/>
        </w:rPr>
        <w:t>完整车队管理、司机排班和全局自动调度属于后续扩展，不纳入 MVP。</w:t>
      </w:r>
    </w:p>
    <w:p w14:paraId="2E29C208">
      <w:pPr>
        <w:pStyle w:val="3"/>
        <w:keepNext/>
        <w:keepLines/>
      </w:pPr>
      <w:r>
        <w:t>1.2 功能架构总览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5360"/>
        <w:gridCol w:w="1800"/>
      </w:tblGrid>
      <w:tr w14:paraId="2F57B90F">
        <w:trPr>
          <w:tblHeader/>
        </w:trPr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241D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模块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09FE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主要目标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4507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需求数量</w:t>
            </w:r>
          </w:p>
        </w:tc>
      </w:tr>
      <w:tr w14:paraId="35072A5F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5CFD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DSH  控制塔 Dashboard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BD0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让协调员与管理者快速发现待处理、即将超时和影响最大的异常。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654A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P0:4 / P1:2</w:t>
            </w:r>
          </w:p>
        </w:tc>
      </w:tr>
      <w:tr w14:paraId="2CE63B3F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F7D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SHP  货运管理 Shipments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4BD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提供面向异常处理的货运视图，而不是重新建设一套完整 TMS。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DB78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P0:4 / P1:2</w:t>
            </w:r>
          </w:p>
        </w:tc>
      </w:tr>
      <w:tr w14:paraId="72916F2F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E6BE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EVT  事件接入与异常检测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02E24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可靠接收外部运输信号，并将其转换为可追溯、可去重的异常案件。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F67A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P0:6 / P1:2 / P2:1</w:t>
            </w:r>
          </w:p>
        </w:tc>
      </w:tr>
      <w:tr w14:paraId="6E34A5BA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2573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EXC  异常案件工作台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EE3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为每个异常提供明确责任人、状态、证据、处理期限和完整时间线。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1CE3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P0:6 / P1:2</w:t>
            </w:r>
          </w:p>
        </w:tc>
      </w:tr>
      <w:tr w14:paraId="429B76E3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2B1E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AIA  AI 评估与决策支持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048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基于证据提供一致、可解释、可人工覆盖的根因和恢复建议。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9CF1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P0:6 / P1:2 / P2:1</w:t>
            </w:r>
          </w:p>
        </w:tc>
      </w:tr>
      <w:tr w14:paraId="31A38C83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104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APR  审批中心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98E1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按风险与授权额度将正确的案件交给正确的审批人。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F58F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P0:4 / P1:2 / P2:1</w:t>
            </w:r>
          </w:p>
        </w:tc>
      </w:tr>
      <w:tr w14:paraId="7BAF7AD0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32EB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COM  沟通与通知中心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4494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让客户在来电前获得清晰、准确且可追溯的主动更新。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87DE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P0:5 / P1:2 / P2:1</w:t>
            </w:r>
          </w:p>
        </w:tc>
      </w:tr>
      <w:tr w14:paraId="33900FFA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BA01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MON  持续监控与结案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B5D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验证恢复方案是否真正奏效，并以客观证据完成结案。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ACF9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P0:5 / P1:1 / P2:1</w:t>
            </w:r>
          </w:p>
        </w:tc>
      </w:tr>
      <w:tr w14:paraId="72494853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807E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ANL  分析与持续改进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925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量化异常处理成效，并安全地利用历史结果改进未来建议。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5934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P0:3 / P1:4 / P2:1</w:t>
            </w:r>
          </w:p>
        </w:tc>
      </w:tr>
      <w:tr w14:paraId="2EAAB69D"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C42F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ADM  系统管理、安全与治理</w:t>
            </w:r>
          </w:p>
        </w:tc>
        <w:tc>
          <w:tcPr>
            <w:tcW w:w="5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7DA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保证用户、规则、集成和 AI 行为安全、可配置、可审计。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8D1C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P0:8 / P1:1</w:t>
            </w:r>
          </w:p>
        </w:tc>
      </w:tr>
    </w:tbl>
    <w:p w14:paraId="166FC907">
      <w:pPr>
        <w:pStyle w:val="2"/>
        <w:keepNext/>
        <w:keepLines/>
        <w:pageBreakBefore/>
      </w:pPr>
      <w:r>
        <w:t>2. 用户角色与职责</w:t>
      </w:r>
    </w:p>
    <w:p w14:paraId="31231CAF">
      <w:r>
        <w:t>角色权限应基于最小权限原则，并同时考虑团队、客户、区域、授权额度和异常敏感度。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500"/>
        <w:gridCol w:w="4760"/>
      </w:tblGrid>
      <w:tr w14:paraId="55E6F321">
        <w:trPr>
          <w:tblHeader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E8D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角色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32FD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主要职责</w:t>
            </w:r>
          </w:p>
        </w:tc>
        <w:tc>
          <w:tcPr>
            <w:tcW w:w="47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0D7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关键权限</w:t>
            </w:r>
          </w:p>
        </w:tc>
      </w:tr>
      <w:tr w14:paraId="62C02B3F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4161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Planner / Operations Coordinator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3AFD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异常案件主处理人</w:t>
            </w:r>
          </w:p>
        </w:tc>
        <w:tc>
          <w:tcPr>
            <w:tcW w:w="47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78E4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接单、补充信息、查看 AI 建议、修改方案和通知；在授权额度内审批。</w:t>
            </w:r>
          </w:p>
        </w:tc>
      </w:tr>
      <w:tr w14:paraId="7CA588DA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A19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Operations Manager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B814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高风险与超权限审批人</w:t>
            </w:r>
          </w:p>
        </w:tc>
        <w:tc>
          <w:tcPr>
            <w:tcW w:w="47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7470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审批高货值、高成本、VIP、重大 SLA 风险、低置信度或监管案件。</w:t>
            </w:r>
          </w:p>
        </w:tc>
      </w:tr>
      <w:tr w14:paraId="06E6110B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2574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Dispatcher / Carrier Coordinator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BFF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承运商与执行协调</w:t>
            </w:r>
          </w:p>
        </w:tc>
        <w:tc>
          <w:tcPr>
            <w:tcW w:w="47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AE1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获取报价、发送已批准指令、登记订舱及执行确认。</w:t>
            </w:r>
          </w:p>
        </w:tc>
      </w:tr>
      <w:tr w14:paraId="5DFA5C74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369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Customer Service / Account Manager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96EB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客户沟通与关系管理</w:t>
            </w:r>
          </w:p>
        </w:tc>
        <w:tc>
          <w:tcPr>
            <w:tcW w:w="47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9F5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审核敏感措辞、查看通知历史、处理客户回复和升级。</w:t>
            </w:r>
          </w:p>
        </w:tc>
      </w:tr>
      <w:tr w14:paraId="293045F4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B264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System Administrator / Policy Owner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BA1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平台治理</w:t>
            </w:r>
          </w:p>
        </w:tc>
        <w:tc>
          <w:tcPr>
            <w:tcW w:w="47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400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管理用户、SLA、风险规则、审批矩阵、模板、集成和 AI 护栏。</w:t>
            </w:r>
          </w:p>
        </w:tc>
      </w:tr>
      <w:tr w14:paraId="50E97A58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C57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Analyst / Management Viewer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60A4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分析与管理视图</w:t>
            </w:r>
          </w:p>
        </w:tc>
        <w:tc>
          <w:tcPr>
            <w:tcW w:w="47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0BAF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只读查看 Dashboard、趋势、成本、SLA、根因和运营报告。</w:t>
            </w:r>
          </w:p>
        </w:tc>
      </w:tr>
      <w:tr w14:paraId="4D5D1305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81CE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AI / System Actor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28B1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受控辅助主体</w:t>
            </w:r>
          </w:p>
        </w:tc>
        <w:tc>
          <w:tcPr>
            <w:tcW w:w="47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7CF7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检测、摘要、建议、起草、同步和监控；所有动作可解释、可审计、可暂停。</w:t>
            </w:r>
          </w:p>
        </w:tc>
      </w:tr>
      <w:tr w14:paraId="3229FA26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2567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Carrier（外部参与者）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1FED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报价与执行反馈</w:t>
            </w:r>
          </w:p>
        </w:tc>
        <w:tc>
          <w:tcPr>
            <w:tcW w:w="47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F69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仅访问指定询价、指令和确认入口，不进入内部案件权限域。</w:t>
            </w:r>
          </w:p>
        </w:tc>
      </w:tr>
    </w:tbl>
    <w:p w14:paraId="16528D3D">
      <w:pPr>
        <w:pStyle w:val="2"/>
        <w:keepNext/>
        <w:keepLines/>
        <w:pageBreakBefore/>
      </w:pPr>
      <w:r>
        <w:t>3. 端到端业务流程</w:t>
      </w:r>
    </w:p>
    <w:p w14:paraId="7654A0DB">
      <w:pPr>
        <w:spacing w:after="200"/>
      </w:pPr>
      <w:r>
        <w:rPr>
          <w:rFonts w:ascii="Arial" w:hAnsi="Arial" w:eastAsia="Hiragino Sans GB" w:cs="Arial"/>
          <w:b/>
          <w:color w:val="0B2545"/>
          <w:sz w:val="22"/>
        </w:rPr>
        <w:t>核心闭环：</w:t>
      </w:r>
      <w:r>
        <w:rPr>
          <w:rFonts w:ascii="Arial" w:hAnsi="Arial" w:eastAsia="Hiragino Sans GB" w:cs="Arial"/>
          <w:color w:val="111827"/>
          <w:sz w:val="22"/>
        </w:rPr>
        <w:t>发现 &gt; 评估 &gt; 决策 &gt; 审批 &gt; 执行 &gt; 通知 &gt; 监控 &gt; 关闭 &gt; 复盘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900"/>
        <w:gridCol w:w="4300"/>
        <w:gridCol w:w="2510"/>
      </w:tblGrid>
      <w:tr w14:paraId="1D06962D">
        <w:trPr>
          <w:tblHeader/>
        </w:trPr>
        <w:tc>
          <w:tcPr>
            <w:tcW w:w="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F211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步骤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A63A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阶段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62E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系统职责</w:t>
            </w:r>
          </w:p>
        </w:tc>
        <w:tc>
          <w:tcPr>
            <w:tcW w:w="25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B81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主要输出</w:t>
            </w:r>
          </w:p>
        </w:tc>
      </w:tr>
      <w:tr w14:paraId="6C70C0AF">
        <w:tc>
          <w:tcPr>
            <w:tcW w:w="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6248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1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DEFB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信号接入与检测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3F57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接收并标准化事件，关联货运，识别真实异常并去重。</w:t>
            </w:r>
          </w:p>
        </w:tc>
        <w:tc>
          <w:tcPr>
            <w:tcW w:w="25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C1D3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已检测 / 误报 / 重复</w:t>
            </w:r>
          </w:p>
        </w:tc>
      </w:tr>
      <w:tr w14:paraId="3FA5F814">
        <w:tc>
          <w:tcPr>
            <w:tcW w:w="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F7F9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2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87BF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AI 初步评估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ED2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聚合客户、SLA、路线和历史上下文，输出根因、ETA、影响及置信度。</w:t>
            </w:r>
          </w:p>
        </w:tc>
        <w:tc>
          <w:tcPr>
            <w:tcW w:w="25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19C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已评估 / 待人工核实</w:t>
            </w:r>
          </w:p>
        </w:tc>
      </w:tr>
      <w:tr w14:paraId="3C6EF104">
        <w:tc>
          <w:tcPr>
            <w:tcW w:w="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129D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3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9933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风险与方案分流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E8C0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生成和比较恢复方案，依据风险、成本、客户和权限决定路径。</w:t>
            </w:r>
          </w:p>
        </w:tc>
        <w:tc>
          <w:tcPr>
            <w:tcW w:w="25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48A7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自动路径 / 人工路径</w:t>
            </w:r>
          </w:p>
        </w:tc>
      </w:tr>
      <w:tr w14:paraId="6CF103C8">
        <w:tc>
          <w:tcPr>
            <w:tcW w:w="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2320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4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480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报价与审批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618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取得有效报价，Planner 审批；超权限时升级 Operations Manager。</w:t>
            </w:r>
          </w:p>
        </w:tc>
        <w:tc>
          <w:tcPr>
            <w:tcW w:w="25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9F2E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批准 / 退回 / 拒绝</w:t>
            </w:r>
          </w:p>
        </w:tc>
      </w:tr>
      <w:tr w14:paraId="4DAD9EA2">
        <w:tc>
          <w:tcPr>
            <w:tcW w:w="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5E4F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5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F53A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执行与确认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172A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发送锁定版本的承运商指令，取得订舱、费用和新 ETA 确认。</w:t>
            </w:r>
          </w:p>
        </w:tc>
        <w:tc>
          <w:tcPr>
            <w:tcW w:w="25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3F2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已发送 / 已确认 / 失败</w:t>
            </w:r>
          </w:p>
        </w:tc>
      </w:tr>
      <w:tr w14:paraId="54D23B58">
        <w:tc>
          <w:tcPr>
            <w:tcW w:w="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B82A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6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5A2D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通知与同步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DDBF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分阶段通知客户和内部团队，同步 TMS 与客户 Portal。</w:t>
            </w:r>
          </w:p>
        </w:tc>
        <w:tc>
          <w:tcPr>
            <w:tcW w:w="25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1F4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已送达 / 同步成功 / 待重试</w:t>
            </w:r>
          </w:p>
        </w:tc>
      </w:tr>
      <w:tr w14:paraId="46522766">
        <w:tc>
          <w:tcPr>
            <w:tcW w:w="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76BC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7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E65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持续监控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C3BD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跟踪恢复里程碑，发现二次偏差时重新评估和升级。</w:t>
            </w:r>
          </w:p>
        </w:tc>
        <w:tc>
          <w:tcPr>
            <w:tcW w:w="25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FEB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监控中 / 重新打开</w:t>
            </w:r>
          </w:p>
        </w:tc>
      </w:tr>
      <w:tr w14:paraId="467AED3F">
        <w:tc>
          <w:tcPr>
            <w:tcW w:w="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D5F9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8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8B5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结案与学习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E5D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依据客观证据解决并关闭，记录实际成本、SLA 结果和人工反馈。</w:t>
            </w:r>
          </w:p>
        </w:tc>
        <w:tc>
          <w:tcPr>
            <w:tcW w:w="25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9323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已解决 / 已关闭</w:t>
            </w:r>
          </w:p>
        </w:tc>
      </w:tr>
    </w:tbl>
    <w:p w14:paraId="7072C96F">
      <w:pPr>
        <w:pStyle w:val="3"/>
        <w:keepNext/>
        <w:keepLines/>
      </w:pPr>
      <w:r>
        <w:t>3.1 状态模型</w:t>
      </w:r>
    </w:p>
    <w:p w14:paraId="5D47C597">
      <w:r>
        <w:t>不要把货运、异常、审批、执行和通知压缩为一个状态字段。以下状态维度应独立维护并通过案件时间线关联。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700"/>
        <w:gridCol w:w="4860"/>
      </w:tblGrid>
      <w:tr w14:paraId="4891A059">
        <w:trPr>
          <w:tblHeader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C300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状态维度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D4A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用途</w:t>
            </w:r>
          </w:p>
        </w:tc>
        <w:tc>
          <w:tcPr>
            <w:tcW w:w="4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0C7D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示例</w:t>
            </w:r>
          </w:p>
        </w:tc>
      </w:tr>
      <w:tr w14:paraId="09354D84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25F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货运状态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2660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运输对象当前所处的业务状态</w:t>
            </w:r>
          </w:p>
        </w:tc>
        <w:tc>
          <w:tcPr>
            <w:tcW w:w="4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802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计划中 / 在途 / 延误 / 已交付</w:t>
            </w:r>
          </w:p>
        </w:tc>
      </w:tr>
      <w:tr w14:paraId="20BE0772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0C3F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异常案件状态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A1BF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异常处理主生命周期</w:t>
            </w:r>
          </w:p>
        </w:tc>
        <w:tc>
          <w:tcPr>
            <w:tcW w:w="4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7B0E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Detected &gt; Triaged &gt; Investigating &gt; Action Proposed &gt; Awaiting Approval &gt; Execution Pending &gt; Monitoring &gt; Resolved &gt; Closed</w:t>
            </w:r>
          </w:p>
        </w:tc>
      </w:tr>
      <w:tr w14:paraId="70B27AE1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86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审批状态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281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方案审批进度</w:t>
            </w:r>
          </w:p>
        </w:tc>
        <w:tc>
          <w:tcPr>
            <w:tcW w:w="4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89B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Not Required / Planner Pending / Manager Pending / Approved / Rejected / Revision Requested</w:t>
            </w:r>
          </w:p>
        </w:tc>
      </w:tr>
      <w:tr w14:paraId="6AC4D2A9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F30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执行状态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C0FA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恢复动作执行进度</w:t>
            </w:r>
          </w:p>
        </w:tc>
        <w:tc>
          <w:tcPr>
            <w:tcW w:w="4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D279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Not Started / Instruction Sent / Carrier Confirmed / In Progress / Completed / Failed</w:t>
            </w:r>
          </w:p>
        </w:tc>
      </w:tr>
      <w:tr w14:paraId="05B89741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3263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通知状态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F5C9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客户或内部消息进度</w:t>
            </w:r>
          </w:p>
        </w:tc>
        <w:tc>
          <w:tcPr>
            <w:tcW w:w="4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2F57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Pending / Sent / Delivered / Failed</w:t>
            </w:r>
          </w:p>
        </w:tc>
      </w:tr>
      <w:tr w14:paraId="662281C4"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F99F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外部同步状态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E4EF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TMS、Portal 等系统的一致性</w:t>
            </w:r>
          </w:p>
        </w:tc>
        <w:tc>
          <w:tcPr>
            <w:tcW w:w="4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001F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Pending / Synced / Partial Failure / Failed / Reconciled</w:t>
            </w:r>
          </w:p>
        </w:tc>
      </w:tr>
    </w:tbl>
    <w:p w14:paraId="3CC7D8A3">
      <w:pPr>
        <w:pStyle w:val="2"/>
        <w:keepNext/>
        <w:keepLines/>
        <w:pageBreakBefore/>
      </w:pPr>
      <w:r>
        <w:t>4. 功能需求清单</w:t>
      </w:r>
    </w:p>
    <w:p w14:paraId="0DEA0642">
      <w:r>
        <w:t>每条需求包含唯一编号和实施优先级。P0 条目共同组成可演示、可审计的 MVP 业务闭环。</w:t>
      </w:r>
    </w:p>
    <w:p w14:paraId="1F49D944">
      <w:pPr>
        <w:pStyle w:val="3"/>
        <w:keepNext/>
        <w:keepLines/>
      </w:pPr>
      <w:r>
        <w:t>4.1 控制塔 Dashboard</w:t>
      </w:r>
    </w:p>
    <w:p w14:paraId="3F77DEEC">
      <w:pPr>
        <w:keepNext/>
        <w:spacing w:after="100"/>
      </w:pPr>
      <w:r>
        <w:rPr>
          <w:rFonts w:ascii="Arial" w:hAnsi="Arial" w:eastAsia="Hiragino Sans GB" w:cs="Arial"/>
          <w:b/>
          <w:color w:val="5B6573"/>
          <w:sz w:val="21"/>
        </w:rPr>
        <w:t>模块目标：</w:t>
      </w:r>
      <w:r>
        <w:rPr>
          <w:rFonts w:ascii="Arial" w:hAnsi="Arial" w:eastAsia="Hiragino Sans GB" w:cs="Arial"/>
          <w:color w:val="5B6573"/>
          <w:sz w:val="21"/>
        </w:rPr>
        <w:t>让协调员与管理者快速发现待处理、即将超时和影响最大的异常。</w:t>
      </w:r>
    </w:p>
    <w:p w14:paraId="004B2EEE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DSH-001  核心运营指标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显示运单量、异常数量、异常率、未结案件、待审批案件和 SLA 风险案件。</w:t>
      </w:r>
    </w:p>
    <w:p w14:paraId="3E3EE25E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DSH-002  15 分钟检测指标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显示异常在触发事件后 15 分钟内完成检测与分流的比例，并可下钻至具体案件。</w:t>
      </w:r>
    </w:p>
    <w:p w14:paraId="4A2C424B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DSH-003  运营告警队列 - </w:t>
      </w:r>
      <w:r>
        <w:rPr>
          <w:rFonts w:ascii="Arial" w:hAnsi="Arial" w:eastAsia="Hiragino Sans GB" w:cs="Arial"/>
          <w:color w:val="111827"/>
          <w:sz w:val="21"/>
        </w:rPr>
        <w:t>突出未分配、即将超时、等待报价、等待审批、执行失败、通知失败和同步失败的案件。</w:t>
      </w:r>
    </w:p>
    <w:p w14:paraId="6F3B75C1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DSH-004  筛选与下钻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支持按日期、客户、承运商、线路、运输方式、异常类型、严重度和责任人筛选，并跳转到案件详情。</w:t>
      </w:r>
    </w:p>
    <w:p w14:paraId="29C7D31F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  <w:highlight w:val="yellow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DSH-005  趋势与成本分析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展示异常量、SLA 违约、恢复成本、避免损失和根因分布趋势</w:t>
      </w:r>
      <w:r>
        <w:rPr>
          <w:rFonts w:ascii="Arial" w:hAnsi="Arial" w:eastAsia="Hiragino Sans GB" w:cs="Arial"/>
          <w:color w:val="111827"/>
          <w:sz w:val="21"/>
        </w:rPr>
        <w:t>。</w:t>
      </w:r>
    </w:p>
    <w:p w14:paraId="527F46EF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DSH-006  系统健康概览 - </w:t>
      </w:r>
      <w:r>
        <w:rPr>
          <w:rFonts w:ascii="Arial" w:hAnsi="Arial" w:eastAsia="Hiragino Sans GB" w:cs="Arial"/>
          <w:color w:val="111827"/>
          <w:sz w:val="21"/>
        </w:rPr>
        <w:t>展示承运商、TMS、通知渠道和后台任务的最后成功时间、失败数量及待重试项目。</w:t>
      </w:r>
    </w:p>
    <w:p w14:paraId="755CE875">
      <w:pPr>
        <w:pStyle w:val="3"/>
        <w:keepNext/>
        <w:keepLines/>
      </w:pPr>
      <w:r>
        <w:t>4.2 货运管理 Shipments</w:t>
      </w:r>
    </w:p>
    <w:p w14:paraId="331401B5">
      <w:pPr>
        <w:keepNext/>
        <w:spacing w:after="100"/>
      </w:pPr>
      <w:r>
        <w:rPr>
          <w:rFonts w:ascii="Arial" w:hAnsi="Arial" w:eastAsia="Hiragino Sans GB" w:cs="Arial"/>
          <w:b/>
          <w:color w:val="5B6573"/>
          <w:sz w:val="21"/>
        </w:rPr>
        <w:t>模块目标：</w:t>
      </w:r>
      <w:r>
        <w:rPr>
          <w:rFonts w:ascii="Arial" w:hAnsi="Arial" w:eastAsia="Hiragino Sans GB" w:cs="Arial"/>
          <w:color w:val="5B6573"/>
          <w:sz w:val="21"/>
        </w:rPr>
        <w:t>提供面向异常处理的货运视图，而不是重新建设一套完整 TMS。</w:t>
      </w:r>
    </w:p>
    <w:p w14:paraId="4B998E7A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SHP-001  货运列表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支持搜索、筛选、排序、分页和保存常用视图；显示当前状态、客户、ETA、SLA 和异常标记。</w:t>
      </w:r>
    </w:p>
    <w:p w14:paraId="084B903E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SHP-002  货运详情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显示客户、货物、价值、服务等级、承运商、路线、联系人和关联订单/集装箱。</w:t>
      </w:r>
    </w:p>
    <w:p w14:paraId="7FA092E2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SHP-003  里程碑时间线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对比计划节点、实际节点、计划 ETA、动态 ETA、最后更新时间和数据来源。</w:t>
      </w:r>
    </w:p>
    <w:p w14:paraId="230344C4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SHP-004  异常关联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展示该货运关联的当前异常、历史异常、恢复动作、通知记录及状态时间线。</w:t>
      </w:r>
    </w:p>
    <w:p w14:paraId="4518C398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7A5A00"/>
          <w:sz w:val="21"/>
          <w:highlight w:val="yellow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SHP-005  地图与路线可视化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展示计划路线、实际路线、当前位置、异常节点和受影响范围，并提供列表替代视图。</w:t>
      </w:r>
    </w:p>
    <w:p w14:paraId="4FEBA8E0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SHP-006  文档与证据 - </w:t>
      </w:r>
      <w:r>
        <w:rPr>
          <w:rFonts w:ascii="Arial" w:hAnsi="Arial" w:eastAsia="Hiragino Sans GB" w:cs="Arial"/>
          <w:color w:val="111827"/>
          <w:sz w:val="21"/>
        </w:rPr>
        <w:t>管理照片、POD、海关文件、承运商附件及数据缺失或来源冲突提示。</w:t>
      </w:r>
    </w:p>
    <w:p w14:paraId="271B576B">
      <w:pPr>
        <w:pStyle w:val="3"/>
        <w:keepNext/>
        <w:keepLines/>
      </w:pPr>
      <w:r>
        <w:t>4.3 事件接入与异常检测</w:t>
      </w:r>
    </w:p>
    <w:p w14:paraId="724A309C">
      <w:pPr>
        <w:keepNext/>
        <w:spacing w:after="100"/>
      </w:pPr>
      <w:r>
        <w:rPr>
          <w:rFonts w:ascii="Arial" w:hAnsi="Arial" w:eastAsia="Hiragino Sans GB" w:cs="Arial"/>
          <w:b/>
          <w:color w:val="5B6573"/>
          <w:sz w:val="21"/>
        </w:rPr>
        <w:t>模块目标：</w:t>
      </w:r>
      <w:r>
        <w:rPr>
          <w:rFonts w:ascii="Arial" w:hAnsi="Arial" w:eastAsia="Hiragino Sans GB" w:cs="Arial"/>
          <w:color w:val="5B6573"/>
          <w:sz w:val="21"/>
        </w:rPr>
        <w:t>可靠接收外部运输信号，并将其转换为可追溯、可去重的异常案件。</w:t>
      </w:r>
    </w:p>
    <w:p w14:paraId="2A770B26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EVT-001  事件接入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通过 API、Webhook、轮询、批量文件或人工录入接收 TMS、承运商和港口事件</w:t>
      </w:r>
      <w:r>
        <w:rPr>
          <w:rFonts w:ascii="Arial" w:hAnsi="Arial" w:eastAsia="Hiragino Sans GB" w:cs="Arial"/>
          <w:color w:val="111827"/>
          <w:sz w:val="21"/>
        </w:rPr>
        <w:t>。</w:t>
      </w:r>
    </w:p>
    <w:p w14:paraId="57CF81FB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EVT-002  统一事件模型 - </w:t>
      </w:r>
      <w:r>
        <w:rPr>
          <w:rFonts w:ascii="Arial" w:hAnsi="Arial" w:eastAsia="Hiragino Sans GB" w:cs="Arial"/>
          <w:color w:val="111827"/>
          <w:sz w:val="21"/>
        </w:rPr>
        <w:t>标准化事件类型、时间戳、时区、运输节点、承运商状态和货运标识。</w:t>
      </w:r>
    </w:p>
    <w:p w14:paraId="154B8243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EVT-003  数据质量控制 - </w:t>
      </w:r>
      <w:r>
        <w:rPr>
          <w:rFonts w:ascii="Arial" w:hAnsi="Arial" w:eastAsia="Hiragino Sans GB" w:cs="Arial"/>
          <w:color w:val="111827"/>
          <w:sz w:val="21"/>
        </w:rPr>
        <w:t>验证必填字段、身份匹配和时间合理性；隔离无法处理的数据并支持人工重放。</w:t>
      </w:r>
    </w:p>
    <w:p w14:paraId="316A02DF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EVT-004  幂等与去重 - </w:t>
      </w:r>
      <w:r>
        <w:rPr>
          <w:rFonts w:ascii="Arial" w:hAnsi="Arial" w:eastAsia="Hiragino Sans GB" w:cs="Arial"/>
          <w:color w:val="111827"/>
          <w:sz w:val="21"/>
        </w:rPr>
        <w:t>重复、迟到或乱序事件不得重复创建案件或重复触发外部动作。</w:t>
      </w:r>
    </w:p>
    <w:p w14:paraId="008605A5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EVT-005  基础异常检测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识别延误、关键扫描缺失、运输停滞、ETA 超限和明确的承运商异常码。</w:t>
      </w:r>
    </w:p>
    <w:p w14:paraId="2950AACA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EVT-006  人工确认与误报处理 - </w:t>
      </w:r>
      <w:r>
        <w:rPr>
          <w:rFonts w:ascii="Arial" w:hAnsi="Arial" w:eastAsia="Hiragino Sans GB" w:cs="Arial"/>
          <w:color w:val="111827"/>
          <w:sz w:val="21"/>
        </w:rPr>
        <w:t>支持人工创建异常、确认真实异常、标记误报、重复案件或数据问题。</w:t>
      </w:r>
    </w:p>
    <w:p w14:paraId="731BB33C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EVT-007  扩展异常类型 - </w:t>
      </w:r>
      <w:r>
        <w:rPr>
          <w:rFonts w:ascii="Arial" w:hAnsi="Arial" w:eastAsia="Hiragino Sans GB" w:cs="Arial"/>
          <w:color w:val="111827"/>
          <w:sz w:val="21"/>
        </w:rPr>
        <w:t>支持破损、错运、取消、海关扣留、温控异常和路线偏离。</w:t>
      </w:r>
    </w:p>
    <w:p w14:paraId="60D9B4D0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EVT-008  网络事件编组 - </w:t>
      </w:r>
      <w:r>
        <w:rPr>
          <w:rFonts w:ascii="Arial" w:hAnsi="Arial" w:eastAsia="Hiragino Sans GB" w:cs="Arial"/>
          <w:color w:val="111827"/>
          <w:sz w:val="21"/>
        </w:rPr>
        <w:t>一个港口、航班或天气事件可关联多票货物和多个客户，并支持批量处置。</w:t>
      </w:r>
    </w:p>
    <w:p w14:paraId="606D0482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1F4D78"/>
          <w:sz w:val="21"/>
          <w:highlight w:val="yellow"/>
        </w:rPr>
        <w:t xml:space="preserve">[P2]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EVT-009  预测性风险预警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基于线路、天气、承运商表现、转运节点和历史数据预测异常发生概率。</w:t>
      </w:r>
    </w:p>
    <w:p w14:paraId="24C455B6">
      <w:pPr>
        <w:pStyle w:val="3"/>
        <w:keepNext/>
        <w:keepLines/>
      </w:pPr>
      <w:r>
        <w:t>4.4 异常案件工作台</w:t>
      </w:r>
    </w:p>
    <w:p w14:paraId="65DA72DD">
      <w:pPr>
        <w:keepNext/>
        <w:spacing w:after="100"/>
      </w:pPr>
      <w:r>
        <w:rPr>
          <w:rFonts w:ascii="Arial" w:hAnsi="Arial" w:eastAsia="Hiragino Sans GB" w:cs="Arial"/>
          <w:b/>
          <w:color w:val="5B6573"/>
          <w:sz w:val="21"/>
        </w:rPr>
        <w:t>模块目标：</w:t>
      </w:r>
      <w:r>
        <w:rPr>
          <w:rFonts w:ascii="Arial" w:hAnsi="Arial" w:eastAsia="Hiragino Sans GB" w:cs="Arial"/>
          <w:color w:val="5B6573"/>
          <w:sz w:val="21"/>
        </w:rPr>
        <w:t>为每个异常提供明确责任人、状态、证据、处理期限和完整时间线。</w:t>
      </w:r>
    </w:p>
    <w:p w14:paraId="43FB10DD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EXC-001  案件队列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提供我的待办、团队待办、未分配、高风险、等待信息和即将超时队列。</w:t>
      </w:r>
    </w:p>
    <w:p w14:paraId="786B101E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EXC-002  案件详情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集中展示异常摘要、影响运单、客户、SLA、原始事件、证据、根因、方案和处理时间线。</w:t>
      </w:r>
    </w:p>
    <w:p w14:paraId="3B991BFA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EXC-003  严重度与优先级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根据时间影响、SLA、货值、客户等级、货物属性、影响范围和恢复难度计算并动态调整</w:t>
      </w:r>
      <w:r>
        <w:rPr>
          <w:rFonts w:ascii="Arial" w:hAnsi="Arial" w:eastAsia="Hiragino Sans GB" w:cs="Arial"/>
          <w:color w:val="111827"/>
          <w:sz w:val="21"/>
        </w:rPr>
        <w:t>。</w:t>
      </w:r>
    </w:p>
    <w:p w14:paraId="42525D1B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EXC-004 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责任分配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支持自动分配、认领、转派、协作人</w:t>
      </w:r>
      <w:r>
        <w:rPr>
          <w:rFonts w:ascii="Arial" w:hAnsi="Arial" w:eastAsia="Hiragino Sans GB" w:cs="Arial"/>
          <w:color w:val="111827"/>
          <w:sz w:val="21"/>
        </w:rPr>
        <w:t>、交接班和下一检查时间。</w:t>
      </w:r>
    </w:p>
    <w:p w14:paraId="79FDA319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EXC-005  协作记录 - </w:t>
      </w:r>
      <w:r>
        <w:rPr>
          <w:rFonts w:ascii="Arial" w:hAnsi="Arial" w:eastAsia="Hiragino Sans GB" w:cs="Arial"/>
          <w:color w:val="111827"/>
          <w:sz w:val="21"/>
        </w:rPr>
        <w:t>支持内部备注、评论、@提醒、附件和处理清单，并区分内部与外部可见内容。</w:t>
      </w:r>
    </w:p>
    <w:p w14:paraId="2CC110E0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EXC-006  SLA 计时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记录检测、首次响应、审批、通知和解决时限，并在临近超时时提醒和升级。</w:t>
      </w:r>
    </w:p>
    <w:p w14:paraId="3618BFD4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EXC-007  案件合并与拆分 - </w:t>
      </w:r>
      <w:r>
        <w:rPr>
          <w:rFonts w:ascii="Arial" w:hAnsi="Arial" w:eastAsia="Hiragino Sans GB" w:cs="Arial"/>
          <w:color w:val="111827"/>
          <w:sz w:val="21"/>
        </w:rPr>
        <w:t>支持重复案件合并、网络事件拆分以及一个案件关联多票货物。</w:t>
      </w:r>
    </w:p>
    <w:p w14:paraId="52564CD6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EXC-008  批量操作 - </w:t>
      </w:r>
      <w:r>
        <w:rPr>
          <w:rFonts w:ascii="Arial" w:hAnsi="Arial" w:eastAsia="Hiragino Sans GB" w:cs="Arial"/>
          <w:color w:val="111827"/>
          <w:sz w:val="21"/>
        </w:rPr>
        <w:t>支持批量分配、批量通知、批量更新下一检查时间和批量关闭建议。</w:t>
      </w:r>
    </w:p>
    <w:p w14:paraId="724E8188">
      <w:pPr>
        <w:pStyle w:val="3"/>
        <w:keepNext/>
        <w:keepLines/>
      </w:pPr>
      <w:r>
        <w:t>4.5 AI 评估与决策支持</w:t>
      </w:r>
    </w:p>
    <w:p w14:paraId="58EA6BF7">
      <w:pPr>
        <w:keepNext/>
        <w:spacing w:after="100"/>
      </w:pPr>
      <w:r>
        <w:rPr>
          <w:rFonts w:ascii="Arial" w:hAnsi="Arial" w:eastAsia="Hiragino Sans GB" w:cs="Arial"/>
          <w:b/>
          <w:color w:val="5B6573"/>
          <w:sz w:val="21"/>
        </w:rPr>
        <w:t>模块目标：</w:t>
      </w:r>
      <w:r>
        <w:rPr>
          <w:rFonts w:ascii="Arial" w:hAnsi="Arial" w:eastAsia="Hiragino Sans GB" w:cs="Arial"/>
          <w:color w:val="5B6573"/>
          <w:sz w:val="21"/>
        </w:rPr>
        <w:t>基于证据提供一致、可解释、可人工覆盖的根因和恢复建议。</w:t>
      </w:r>
    </w:p>
    <w:p w14:paraId="3A16CFF4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AIA-001  异常摘要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汇总事件、货运、客户和 SLA 上下文，生成简明的异常说明。</w:t>
      </w:r>
    </w:p>
    <w:p w14:paraId="31DCC861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AIA-002  根因诊断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输出可能根因、备选原因、置信度、证据来源和仍需核实的信息。</w:t>
      </w:r>
    </w:p>
    <w:p w14:paraId="55274651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AIA-003  影响评估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计算受影响货运、动态 ETA、预计延误、SLA 风险、预计罚金和客户影响。</w:t>
      </w:r>
    </w:p>
    <w:p w14:paraId="74ED0A5B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AIA-004  方案生成与比较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生成 2-3 个可行方案，对比额外成本、新 ETA、SLA 影响、执行依赖和剩余风险。</w:t>
      </w:r>
    </w:p>
    <w:p w14:paraId="209989B4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AIA-005  推荐解释 - </w:t>
      </w:r>
      <w:r>
        <w:rPr>
          <w:rFonts w:ascii="Arial" w:hAnsi="Arial" w:eastAsia="Hiragino Sans GB" w:cs="Arial"/>
          <w:color w:val="111827"/>
          <w:sz w:val="21"/>
        </w:rPr>
        <w:t>展示推荐方案的业务规则、输入数据、规则/模型版本及推荐理由。</w:t>
      </w:r>
    </w:p>
    <w:p w14:paraId="1B3FDC7C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AIA-006  人工兜底 - </w:t>
      </w:r>
      <w:r>
        <w:rPr>
          <w:rFonts w:ascii="Arial" w:hAnsi="Arial" w:eastAsia="Hiragino Sans GB" w:cs="Arial"/>
          <w:color w:val="111827"/>
          <w:sz w:val="21"/>
        </w:rPr>
        <w:t>数据不足、置信度过低、模型不可用或无可行方案时自动转人工处理，不得生成确定性承诺。</w:t>
      </w:r>
    </w:p>
    <w:p w14:paraId="009CBEC8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7A5A00"/>
          <w:sz w:val="21"/>
          <w:highlight w:val="yellow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AIA-007  案件 Ask AI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允许用户针对当前有权访问的案件提问，并返回证据链接和数据时间。</w:t>
      </w:r>
    </w:p>
    <w:p w14:paraId="58DA1045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AIA-008  人工反馈 - </w:t>
      </w:r>
      <w:r>
        <w:rPr>
          <w:rFonts w:ascii="Arial" w:hAnsi="Arial" w:eastAsia="Hiragino Sans GB" w:cs="Arial"/>
          <w:color w:val="111827"/>
          <w:sz w:val="21"/>
        </w:rPr>
        <w:t>记录接受、修改或拒绝 AI 建议的原因，用于质量评估而非直接在线修改规则。</w:t>
      </w:r>
    </w:p>
    <w:p w14:paraId="6D3DB39E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1F4D78"/>
          <w:sz w:val="21"/>
          <w:highlight w:val="yellow"/>
        </w:rPr>
        <w:t xml:space="preserve">[P2]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AIA-009  预测模型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预测 ETA、连接失败和 SLA 违约概率，并监测准确率、校准度和模型漂移。</w:t>
      </w:r>
    </w:p>
    <w:p w14:paraId="5D56CADC">
      <w:pPr>
        <w:pStyle w:val="3"/>
        <w:keepNext/>
        <w:keepLines/>
        <w:rPr>
          <w:strike/>
          <w:dstrike w:val="0"/>
        </w:rPr>
      </w:pPr>
      <w:r>
        <w:rPr>
          <w:strike/>
          <w:dstrike w:val="0"/>
        </w:rPr>
        <w:t>4.6 承运商报价管理</w:t>
      </w:r>
    </w:p>
    <w:p w14:paraId="06E4F482">
      <w:pPr>
        <w:keepNext/>
        <w:spacing w:after="10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5B6573"/>
          <w:sz w:val="21"/>
        </w:rPr>
        <w:t>模块目标：</w:t>
      </w:r>
      <w:r>
        <w:rPr>
          <w:rFonts w:ascii="Arial" w:hAnsi="Arial" w:eastAsia="Hiragino Sans GB" w:cs="Arial"/>
          <w:strike/>
          <w:dstrike w:val="0"/>
          <w:color w:val="5B6573"/>
          <w:sz w:val="21"/>
        </w:rPr>
        <w:t>让报价、容量和有效期成为审批方案的一部分，并保留完整版本。</w:t>
      </w:r>
    </w:p>
    <w:p w14:paraId="4761845C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QTE-001  人工报价录入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支持人工录入、上传或复制承运商报价，包括价格、币种、附加费、容量、新 ETA 和有效期。</w:t>
      </w:r>
    </w:p>
    <w:p w14:paraId="3826F3C1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QTE-002  报价比较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按总成本、可执行性、时效、容量、可靠性和 SLA 结果比较多个报价。</w:t>
      </w:r>
    </w:p>
    <w:p w14:paraId="42BC33CF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QTE-003  报价版本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保存报价版本、附件、接收时间、有效期和与批准方案的关联。</w:t>
      </w:r>
    </w:p>
    <w:p w14:paraId="6D37A969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QTE-004  自动询价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通过 API、邮件或承运商门户发送结构化询价并跟踪响应。</w:t>
      </w:r>
    </w:p>
    <w:p w14:paraId="22DFFC65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QTE-005  异常报价处理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处理未回复、无容量、报价过期、价格变更、反报价和部分确认。</w:t>
      </w:r>
    </w:p>
    <w:p w14:paraId="1244E1B1">
      <w:pPr>
        <w:pStyle w:val="3"/>
        <w:keepNext/>
        <w:keepLines/>
      </w:pPr>
      <w:r>
        <w:t>4.7 审批中心</w:t>
      </w:r>
    </w:p>
    <w:p w14:paraId="2379B3F9">
      <w:pPr>
        <w:keepNext/>
        <w:spacing w:after="100"/>
      </w:pPr>
      <w:r>
        <w:rPr>
          <w:rFonts w:ascii="Arial" w:hAnsi="Arial" w:eastAsia="Hiragino Sans GB" w:cs="Arial"/>
          <w:b/>
          <w:color w:val="5B6573"/>
          <w:sz w:val="21"/>
        </w:rPr>
        <w:t>模块目标：</w:t>
      </w:r>
      <w:r>
        <w:rPr>
          <w:rFonts w:ascii="Arial" w:hAnsi="Arial" w:eastAsia="Hiragino Sans GB" w:cs="Arial"/>
          <w:color w:val="5B6573"/>
          <w:sz w:val="21"/>
        </w:rPr>
        <w:t>按风险与授权额度将正确的案件交给正确的审批人。</w:t>
      </w:r>
    </w:p>
    <w:p w14:paraId="2B490C28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APR-001  审批矩阵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按成本、货值、客户等级、严重度、SLA、置信度和监管属性配置 Planner 与 Manager 权限。</w:t>
      </w:r>
    </w:p>
    <w:p w14:paraId="111D30E3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APR-002  自动路由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自动判断无需审批、Planner 审批或 Operations Manager 审批，并记录路由原因。</w:t>
      </w:r>
    </w:p>
    <w:p w14:paraId="13D682B8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APR-003  审批操作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支持批准、选择其他方案、修改、附条件批准、拒绝、退回补充信息和重新询价。</w:t>
      </w:r>
    </w:p>
    <w:p w14:paraId="00F37085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APR-004  版本与审计 - </w:t>
      </w:r>
      <w:r>
        <w:rPr>
          <w:rFonts w:ascii="Arial" w:hAnsi="Arial" w:eastAsia="Hiragino Sans GB" w:cs="Arial"/>
          <w:color w:val="111827"/>
          <w:sz w:val="21"/>
        </w:rPr>
        <w:t>记录谁在何时审批了哪个方案版本、批准金额、意见和人工覆盖原因。</w:t>
      </w:r>
    </w:p>
    <w:p w14:paraId="28E82FE3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7A5A00"/>
          <w:sz w:val="21"/>
          <w:highlight w:val="yellow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APR-005  超时升级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审批临近超时时提醒，并按值班或授权链路自动升级。</w:t>
      </w:r>
    </w:p>
    <w:p w14:paraId="52E313A1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APR-006  委托与移动审批 - </w:t>
      </w:r>
      <w:r>
        <w:rPr>
          <w:rFonts w:ascii="Arial" w:hAnsi="Arial" w:eastAsia="Hiragino Sans GB" w:cs="Arial"/>
          <w:color w:val="111827"/>
          <w:sz w:val="21"/>
        </w:rPr>
        <w:t>支持缺席代理、临时委托和适合移动端的快速审批视图。</w:t>
      </w:r>
    </w:p>
    <w:p w14:paraId="7083D065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1F4D78"/>
          <w:sz w:val="21"/>
        </w:rPr>
        <w:t xml:space="preserve">[P2]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APR-007  受控自动批准 - </w:t>
      </w:r>
      <w:r>
        <w:rPr>
          <w:rFonts w:ascii="Arial" w:hAnsi="Arial" w:eastAsia="Hiragino Sans GB" w:cs="Arial"/>
          <w:color w:val="111827"/>
          <w:sz w:val="21"/>
        </w:rPr>
        <w:t>仅对低风险、低成本、高置信度、预批准且无监管问题的动作开放自动批准，并可随时暂停。</w:t>
      </w:r>
    </w:p>
    <w:p w14:paraId="235756B5">
      <w:pPr>
        <w:pStyle w:val="3"/>
        <w:keepNext/>
        <w:keepLines/>
        <w:rPr>
          <w:strike/>
          <w:dstrike w:val="0"/>
        </w:rPr>
      </w:pPr>
      <w:r>
        <w:rPr>
          <w:strike/>
          <w:dstrike w:val="0"/>
        </w:rPr>
        <w:t>4.8 恢复执行与系统同步</w:t>
      </w:r>
    </w:p>
    <w:p w14:paraId="08F3582D">
      <w:pPr>
        <w:keepNext/>
        <w:spacing w:after="10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5B6573"/>
          <w:sz w:val="21"/>
        </w:rPr>
        <w:t>模块目标：</w:t>
      </w:r>
      <w:r>
        <w:rPr>
          <w:rFonts w:ascii="Arial" w:hAnsi="Arial" w:eastAsia="Hiragino Sans GB" w:cs="Arial"/>
          <w:strike/>
          <w:dstrike w:val="0"/>
          <w:color w:val="5B6573"/>
          <w:sz w:val="21"/>
        </w:rPr>
        <w:t>把批准方案转为可执行指令，并可靠同步到外部系统。</w:t>
      </w:r>
    </w:p>
    <w:p w14:paraId="6B4CF604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EXE-001  批准版本锁定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执行前锁定批准方案、报价和通知版本，防止审批后内容被静默修改。</w:t>
      </w:r>
    </w:p>
    <w:p w14:paraId="127E9C21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EXE-002  承运商指令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生成结构化执行指令并通过人工确认的渠道发送给承运商。</w:t>
      </w:r>
    </w:p>
    <w:p w14:paraId="3B60C2CF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EXE-003  送达与重试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记录指令排队、发送、送达、失败、重试和人工接管状态，确保幂等。</w:t>
      </w:r>
    </w:p>
    <w:p w14:paraId="04A6DA01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EXE-004  承运商确认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记录订舱号、最终费用、新 ETA、承运商确认时间及部分确认或拒绝。</w:t>
      </w:r>
    </w:p>
    <w:p w14:paraId="292B73BE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EXE-005  TMS/Portal 同步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同步异常、恢复动作、动态 ETA 和案件状态；支持失败重试、补偿和对账。</w:t>
      </w:r>
    </w:p>
    <w:p w14:paraId="72112447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EXE-006  恢复任务与日历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生成港口、提货、转运、航班和末端配送任务，显示时间窗和资源冲突。</w:t>
      </w:r>
    </w:p>
    <w:p w14:paraId="1C41A4D8">
      <w:pPr>
        <w:keepLines/>
        <w:numPr>
          <w:ilvl w:val="0"/>
          <w:numId w:val="7"/>
        </w:numPr>
        <w:spacing w:after="80"/>
        <w:rPr>
          <w:strike/>
          <w:dstrike w:val="0"/>
        </w:rPr>
      </w:pPr>
      <w:r>
        <w:rPr>
          <w:rFonts w:ascii="Arial" w:hAnsi="Arial" w:eastAsia="Hiragino Sans GB" w:cs="Arial"/>
          <w:b/>
          <w:strike/>
          <w:dstrike w:val="0"/>
          <w:color w:val="1F4D78"/>
          <w:sz w:val="21"/>
        </w:rPr>
        <w:t xml:space="preserve">[P2] </w:t>
      </w:r>
      <w:r>
        <w:rPr>
          <w:rFonts w:ascii="Arial" w:hAnsi="Arial" w:eastAsia="Hiragino Sans GB" w:cs="Arial"/>
          <w:b/>
          <w:strike/>
          <w:dstrike w:val="0"/>
          <w:color w:val="0B2545"/>
          <w:sz w:val="21"/>
        </w:rPr>
        <w:t xml:space="preserve">EXE-007  自动订舱与调度 - </w:t>
      </w:r>
      <w:r>
        <w:rPr>
          <w:rFonts w:ascii="Arial" w:hAnsi="Arial" w:eastAsia="Hiragino Sans GB" w:cs="Arial"/>
          <w:strike/>
          <w:dstrike w:val="0"/>
          <w:color w:val="111827"/>
          <w:sz w:val="21"/>
        </w:rPr>
        <w:t>在容量、权限、预算和回滚机制齐备后，受控自动预订和派发低风险恢复资源。</w:t>
      </w:r>
    </w:p>
    <w:p w14:paraId="2220E8A6">
      <w:pPr>
        <w:pStyle w:val="3"/>
        <w:keepNext/>
        <w:keepLines/>
      </w:pPr>
      <w:r>
        <w:t>4.9 沟通与通知中心</w:t>
      </w:r>
    </w:p>
    <w:p w14:paraId="3D9B1905">
      <w:pPr>
        <w:keepNext/>
        <w:spacing w:after="100"/>
      </w:pPr>
      <w:r>
        <w:rPr>
          <w:rFonts w:ascii="Arial" w:hAnsi="Arial" w:eastAsia="Hiragino Sans GB" w:cs="Arial"/>
          <w:b/>
          <w:color w:val="5B6573"/>
          <w:sz w:val="21"/>
        </w:rPr>
        <w:t>模块目标：</w:t>
      </w:r>
      <w:r>
        <w:rPr>
          <w:rFonts w:ascii="Arial" w:hAnsi="Arial" w:eastAsia="Hiragino Sans GB" w:cs="Arial"/>
          <w:color w:val="5B6573"/>
          <w:sz w:val="21"/>
        </w:rPr>
        <w:t>让客户在来电前获得清晰、准确且可追溯的主动更新。</w:t>
      </w:r>
    </w:p>
    <w:p w14:paraId="7D63992A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COM-001  客户通知草稿 - </w:t>
      </w:r>
      <w:r>
        <w:rPr>
          <w:rFonts w:ascii="Arial" w:hAnsi="Arial" w:eastAsia="Hiragino Sans GB" w:cs="Arial"/>
          <w:color w:val="111827"/>
          <w:sz w:val="21"/>
        </w:rPr>
        <w:t>根据已确认事实生成 plain-English 通知草稿，并区分事实、预测和待确认内容。</w:t>
      </w:r>
    </w:p>
    <w:p w14:paraId="79AAD685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COM-002  两阶段通知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异常确认后先发送“已发现并处理中”；方案确认后再发送新 ETA 和恢复安排。</w:t>
      </w:r>
    </w:p>
    <w:p w14:paraId="7291723C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COM-003  人工审核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支持预览、编辑、批准和取消发送；高风险或敏感客户通知必须人工确认。</w:t>
      </w:r>
    </w:p>
    <w:p w14:paraId="4C0BF8E2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COM-004  发送记录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记录内容版本、收件人、渠道、发送时间、送达、退信、失败和重试状态。</w:t>
      </w:r>
    </w:p>
    <w:p w14:paraId="602F8DFF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COM-005  内部与承运商沟通 - </w:t>
      </w:r>
      <w:r>
        <w:rPr>
          <w:rFonts w:ascii="Arial" w:hAnsi="Arial" w:eastAsia="Hiragino Sans GB" w:cs="Arial"/>
          <w:color w:val="111827"/>
          <w:sz w:val="21"/>
        </w:rPr>
        <w:t>保存询价、执行指令、内部评论、附件、交接和关键确认记录。</w:t>
      </w:r>
    </w:p>
    <w:p w14:paraId="1F4EC941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COM-006  多渠道通知 - </w:t>
      </w:r>
      <w:r>
        <w:rPr>
          <w:rFonts w:ascii="Arial" w:hAnsi="Arial" w:eastAsia="Hiragino Sans GB" w:cs="Arial"/>
          <w:color w:val="111827"/>
          <w:sz w:val="21"/>
        </w:rPr>
        <w:t>支持 Email、SMS 和客户 Portal，并按失败策略切换替代渠道。</w:t>
      </w:r>
    </w:p>
    <w:p w14:paraId="59287B02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COM-007  模板与偏好 - </w:t>
      </w:r>
      <w:r>
        <w:rPr>
          <w:rFonts w:ascii="Arial" w:hAnsi="Arial" w:eastAsia="Hiragino Sans GB" w:cs="Arial"/>
          <w:color w:val="111827"/>
          <w:sz w:val="21"/>
        </w:rPr>
        <w:t>按客户、语言、时区、异常类型、严重度、渠道和频率管理模板与联系人偏好。</w:t>
      </w:r>
    </w:p>
    <w:p w14:paraId="2207BD78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1F4D78"/>
          <w:sz w:val="21"/>
        </w:rPr>
        <w:t xml:space="preserve">[P2]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COM-008  低风险自动更新 - </w:t>
      </w:r>
      <w:r>
        <w:rPr>
          <w:rFonts w:ascii="Arial" w:hAnsi="Arial" w:eastAsia="Hiragino Sans GB" w:cs="Arial"/>
          <w:color w:val="111827"/>
          <w:sz w:val="21"/>
        </w:rPr>
        <w:t>在模板预批准、事实已验证且客户政策允许时，自动发送低风险状态更新。</w:t>
      </w:r>
    </w:p>
    <w:p w14:paraId="273326BF">
      <w:pPr>
        <w:pStyle w:val="3"/>
        <w:keepNext/>
        <w:keepLines/>
      </w:pPr>
      <w:r>
        <w:t>4.10 持续监控与结案</w:t>
      </w:r>
    </w:p>
    <w:p w14:paraId="300E6FCE">
      <w:pPr>
        <w:keepNext/>
        <w:spacing w:after="100"/>
      </w:pPr>
      <w:r>
        <w:rPr>
          <w:rFonts w:ascii="Arial" w:hAnsi="Arial" w:eastAsia="Hiragino Sans GB" w:cs="Arial"/>
          <w:b/>
          <w:color w:val="5B6573"/>
          <w:sz w:val="21"/>
        </w:rPr>
        <w:t>模块目标：</w:t>
      </w:r>
      <w:r>
        <w:rPr>
          <w:rFonts w:ascii="Arial" w:hAnsi="Arial" w:eastAsia="Hiragino Sans GB" w:cs="Arial"/>
          <w:color w:val="5B6573"/>
          <w:sz w:val="21"/>
        </w:rPr>
        <w:t>验证恢复方案是否真正奏效，并以客观证据完成结案。</w:t>
      </w:r>
    </w:p>
    <w:p w14:paraId="75E2FB0F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MON-001  监控里程碑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根据批准方案创建到港、卸货、提货、转运、发运和交付等监控任务。</w:t>
      </w:r>
    </w:p>
    <w:p w14:paraId="51EAE7FC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MON-002  偏差检测 - </w:t>
      </w:r>
      <w:r>
        <w:rPr>
          <w:rFonts w:ascii="Arial" w:hAnsi="Arial" w:eastAsia="Hiragino Sans GB" w:cs="Arial"/>
          <w:color w:val="111827"/>
          <w:sz w:val="21"/>
        </w:rPr>
        <w:t>持续比较实际事件与恢复计划，发现新延误或未确认时重新告警和升级。</w:t>
      </w:r>
    </w:p>
    <w:p w14:paraId="770F6F8A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MON-003  ETA 重新计算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收到新事件后更新 ETA、SLA 风险和通知需求，并保留前后变化。</w:t>
      </w:r>
    </w:p>
    <w:p w14:paraId="301E4ED6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MON-004  解决证据 - </w:t>
      </w:r>
      <w:r>
        <w:rPr>
          <w:rFonts w:ascii="Arial" w:hAnsi="Arial" w:eastAsia="Hiragino Sans GB" w:cs="Arial"/>
          <w:color w:val="111827"/>
          <w:sz w:val="21"/>
        </w:rPr>
        <w:t>以交付、POD、海关放行、恢复里程碑或人工核验作为 Resolved 依据。</w:t>
      </w:r>
    </w:p>
    <w:p w14:paraId="64DB4C8F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MON-005  关闭与重新打开 - </w:t>
      </w:r>
      <w:r>
        <w:rPr>
          <w:rFonts w:ascii="Arial" w:hAnsi="Arial" w:eastAsia="Hiragino Sans GB" w:cs="Arial"/>
          <w:color w:val="111827"/>
          <w:sz w:val="21"/>
        </w:rPr>
        <w:t>MVP 中由授权人员确认 Closed；出现二次异常时支持 Reopened 并保留原时间线。</w:t>
      </w:r>
    </w:p>
    <w:p w14:paraId="32484C1E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MON-006  费用收口 - </w:t>
      </w:r>
      <w:r>
        <w:rPr>
          <w:rFonts w:ascii="Arial" w:hAnsi="Arial" w:eastAsia="Hiragino Sans GB" w:cs="Arial"/>
          <w:color w:val="111827"/>
          <w:sz w:val="21"/>
        </w:rPr>
        <w:t>对比报价、批准金额、实际费用、SLA 赔付、索赔和最终避免损失。</w:t>
      </w:r>
    </w:p>
    <w:p w14:paraId="7BBF54C8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1F4D78"/>
          <w:sz w:val="21"/>
        </w:rPr>
        <w:t xml:space="preserve">[P2]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MON-007  自动关闭护栏 - </w:t>
      </w:r>
      <w:r>
        <w:rPr>
          <w:rFonts w:ascii="Arial" w:hAnsi="Arial" w:eastAsia="Hiragino Sans GB" w:cs="Arial"/>
          <w:color w:val="111827"/>
          <w:sz w:val="21"/>
        </w:rPr>
        <w:t>仅在所有客观关闭条件满足并经过观察期后自动关闭，Critical 案件仍需人工复核。</w:t>
      </w:r>
    </w:p>
    <w:p w14:paraId="20096F3D">
      <w:pPr>
        <w:pStyle w:val="3"/>
        <w:keepNext/>
        <w:keepLines/>
        <w:rPr>
          <w:rFonts w:hint="default" w:eastAsiaTheme="majorEastAsia"/>
          <w:lang w:val="en-US" w:eastAsia="zh-CN"/>
        </w:rPr>
      </w:pPr>
      <w:r>
        <w:t>4.11 分析与持续改进</w:t>
      </w:r>
      <w:r>
        <w:rPr>
          <w:rFonts w:hint="eastAsia"/>
          <w:lang w:val="en-US" w:eastAsia="zh-CN"/>
        </w:rPr>
        <w:t>-Dashboard</w:t>
      </w:r>
    </w:p>
    <w:p w14:paraId="222775CD">
      <w:pPr>
        <w:keepNext/>
        <w:spacing w:after="100"/>
      </w:pPr>
      <w:r>
        <w:rPr>
          <w:rFonts w:ascii="Arial" w:hAnsi="Arial" w:eastAsia="Hiragino Sans GB" w:cs="Arial"/>
          <w:b/>
          <w:color w:val="5B6573"/>
          <w:sz w:val="21"/>
        </w:rPr>
        <w:t>模块目标：</w:t>
      </w:r>
      <w:r>
        <w:rPr>
          <w:rFonts w:ascii="Arial" w:hAnsi="Arial" w:eastAsia="Hiragino Sans GB" w:cs="Arial"/>
          <w:color w:val="5B6573"/>
          <w:sz w:val="21"/>
        </w:rPr>
        <w:t>量化异常处理成效，并安全地利用历史结果改进未来建议。</w:t>
      </w:r>
    </w:p>
    <w:p w14:paraId="7A4E1E11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ANL-001  业务 KPI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统计异常率、15 分钟检测率、主动通知率、SLA 违约率与违约成本。</w:t>
      </w:r>
    </w:p>
    <w:p w14:paraId="1F1688B3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ANL-002  运营效率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统计检测时间、首次行动时间、审批时长、通知时长、解决时长和人工处理时间。</w:t>
      </w:r>
    </w:p>
    <w:p w14:paraId="79D11B04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9B1C1C"/>
          <w:sz w:val="21"/>
          <w:highlight w:val="yellow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ANL-003  分类趋势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按异常类型、根因、承运商、线路、客户和运输方式分析数量与趋势。</w:t>
      </w:r>
    </w:p>
    <w:p w14:paraId="18C0B894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ANL-004  AI 质量 - </w:t>
      </w:r>
      <w:r>
        <w:rPr>
          <w:rFonts w:ascii="Arial" w:hAnsi="Arial" w:eastAsia="Hiragino Sans GB" w:cs="Arial"/>
          <w:color w:val="111827"/>
          <w:sz w:val="21"/>
        </w:rPr>
        <w:t>统计建议接受、修改、拒绝、人工接管和错误自动化比例，并展示拒绝原因。</w:t>
      </w:r>
    </w:p>
    <w:p w14:paraId="4E2C54FC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ANL-005  预测质量 - </w:t>
      </w:r>
      <w:r>
        <w:rPr>
          <w:rFonts w:ascii="Arial" w:hAnsi="Arial" w:eastAsia="Hiragino Sans GB" w:cs="Arial"/>
          <w:color w:val="111827"/>
          <w:sz w:val="21"/>
        </w:rPr>
        <w:t>按异常类型跟踪根因准确率、ETA 误差、置信度校准和模型漂移。</w:t>
      </w:r>
    </w:p>
    <w:p w14:paraId="78A37A34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ANL-006  成本收益 - </w:t>
      </w:r>
      <w:r>
        <w:rPr>
          <w:rFonts w:ascii="Arial" w:hAnsi="Arial" w:eastAsia="Hiragino Sans GB" w:cs="Arial"/>
          <w:color w:val="111827"/>
          <w:sz w:val="21"/>
        </w:rPr>
        <w:t>比较预计与实际恢复成本、避免罚金、节省金额和自动化 ROI。</w:t>
      </w:r>
    </w:p>
    <w:p w14:paraId="41633042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ANL-007  报表与导出 - </w:t>
      </w:r>
      <w:r>
        <w:rPr>
          <w:rFonts w:ascii="Arial" w:hAnsi="Arial" w:eastAsia="Hiragino Sans GB" w:cs="Arial"/>
          <w:color w:val="111827"/>
          <w:sz w:val="21"/>
        </w:rPr>
        <w:t>支持按角色共享视图、定时报表和受权限控制的数据导出。</w:t>
      </w:r>
    </w:p>
    <w:p w14:paraId="1EAF0A1D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1F4D78"/>
          <w:sz w:val="21"/>
        </w:rPr>
        <w:t xml:space="preserve">[P2]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ANL-008  受治理的学习闭环 - </w:t>
      </w:r>
      <w:r>
        <w:rPr>
          <w:rFonts w:ascii="Arial" w:hAnsi="Arial" w:eastAsia="Hiragino Sans GB" w:cs="Arial"/>
          <w:color w:val="111827"/>
          <w:sz w:val="21"/>
        </w:rPr>
        <w:t>使用人工决策和实际结果优化推荐排序；规则或模型变更必须验证、版本化并人工发布。</w:t>
      </w:r>
    </w:p>
    <w:p w14:paraId="3801FD8C">
      <w:pPr>
        <w:pStyle w:val="3"/>
        <w:keepNext/>
        <w:keepLines/>
      </w:pPr>
      <w:r>
        <w:t>4.12 系统管理、安全与治理</w:t>
      </w:r>
    </w:p>
    <w:p w14:paraId="6EB8919D">
      <w:pPr>
        <w:keepNext/>
        <w:spacing w:after="100"/>
      </w:pPr>
      <w:r>
        <w:rPr>
          <w:rFonts w:ascii="Arial" w:hAnsi="Arial" w:eastAsia="Hiragino Sans GB" w:cs="Arial"/>
          <w:b/>
          <w:color w:val="5B6573"/>
          <w:sz w:val="21"/>
        </w:rPr>
        <w:t>模块目标：</w:t>
      </w:r>
      <w:r>
        <w:rPr>
          <w:rFonts w:ascii="Arial" w:hAnsi="Arial" w:eastAsia="Hiragino Sans GB" w:cs="Arial"/>
          <w:color w:val="5B6573"/>
          <w:sz w:val="21"/>
        </w:rPr>
        <w:t>保证用户、规则、集成和 AI 行为安全、可配置、可审计。</w:t>
      </w:r>
    </w:p>
    <w:p w14:paraId="6ACD06AB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ADM-001  用户与 RBAC - </w:t>
      </w:r>
      <w:r>
        <w:rPr>
          <w:rFonts w:ascii="Arial" w:hAnsi="Arial" w:eastAsia="Hiragino Sans GB" w:cs="Arial"/>
          <w:color w:val="111827"/>
          <w:sz w:val="21"/>
        </w:rPr>
        <w:t>管理用户、团队、角色、客户/区域范围和最小权限；敏感操作需要相应授权。</w:t>
      </w:r>
    </w:p>
    <w:p w14:paraId="5DD670F8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ADM-002  主数据配置 - </w:t>
      </w:r>
      <w:r>
        <w:rPr>
          <w:rFonts w:ascii="Arial" w:hAnsi="Arial" w:eastAsia="Hiragino Sans GB" w:cs="Arial"/>
          <w:color w:val="111827"/>
          <w:sz w:val="21"/>
        </w:rPr>
        <w:t>维护客户等级、SLA、服务等级、货物类型、线路、承运商、联系人和节假日。</w:t>
      </w:r>
    </w:p>
    <w:p w14:paraId="253A8E2B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ADM-003  异常与风险规则 - </w:t>
      </w:r>
      <w:r>
        <w:rPr>
          <w:rFonts w:ascii="Arial" w:hAnsi="Arial" w:eastAsia="Hiragino Sans GB" w:cs="Arial"/>
          <w:color w:val="111827"/>
          <w:sz w:val="21"/>
        </w:rPr>
        <w:t>维护异常、根因、严重度、风险评分、分配、升级和响应时限规则。</w:t>
      </w:r>
    </w:p>
    <w:p w14:paraId="01E19A00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ADM-004  审批与自动化护栏 - </w:t>
      </w:r>
      <w:r>
        <w:rPr>
          <w:rFonts w:ascii="Arial" w:hAnsi="Arial" w:eastAsia="Hiragino Sans GB" w:cs="Arial"/>
          <w:color w:val="111827"/>
          <w:sz w:val="21"/>
        </w:rPr>
        <w:t>配置授权额度、预批准动作、成本上限、禁用条件和紧急暂停开关。</w:t>
      </w:r>
    </w:p>
    <w:p w14:paraId="5E514ED3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ADM-005  集成管理 - </w:t>
      </w:r>
      <w:r>
        <w:rPr>
          <w:rFonts w:ascii="Arial" w:hAnsi="Arial" w:eastAsia="Hiragino Sans GB" w:cs="Arial"/>
          <w:color w:val="111827"/>
          <w:sz w:val="21"/>
        </w:rPr>
        <w:t>管理连接状态、字段映射、同步频率、凭据引用、重试策略和最后成功时间。</w:t>
      </w:r>
    </w:p>
    <w:p w14:paraId="5867E617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ADM-006  完整审计日志 - </w:t>
      </w:r>
      <w:r>
        <w:rPr>
          <w:rFonts w:ascii="Arial" w:hAnsi="Arial" w:eastAsia="Hiragino Sans GB" w:cs="Arial"/>
          <w:color w:val="111827"/>
          <w:sz w:val="21"/>
        </w:rPr>
        <w:t>记录查看、修改、批准、拒绝、发送、同步、关闭及修改前后值。</w:t>
      </w:r>
    </w:p>
    <w:p w14:paraId="5B5A1062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ADM-007  数据安全 - </w:t>
      </w:r>
      <w:r>
        <w:rPr>
          <w:rFonts w:ascii="Arial" w:hAnsi="Arial" w:eastAsia="Hiragino Sans GB" w:cs="Arial"/>
          <w:color w:val="111827"/>
          <w:sz w:val="21"/>
        </w:rPr>
        <w:t>支持传输/存储加密、密钥管理、敏感字段遮蔽、保留与删除策略及访问告警。</w:t>
      </w:r>
    </w:p>
    <w:p w14:paraId="6998E031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ADM-008  可观测性与恢复 - </w:t>
      </w:r>
      <w:r>
        <w:rPr>
          <w:rFonts w:ascii="Arial" w:hAnsi="Arial" w:eastAsia="Hiragino Sans GB" w:cs="Arial"/>
          <w:color w:val="111827"/>
          <w:sz w:val="21"/>
        </w:rPr>
        <w:t>提供关键服务健康、后台任务、失败队列、日志、备份和恢复机制。</w:t>
      </w:r>
    </w:p>
    <w:p w14:paraId="53D10243">
      <w:pPr>
        <w:keepLines/>
        <w:numPr>
          <w:ilvl w:val="0"/>
          <w:numId w:val="7"/>
        </w:numPr>
        <w:spacing w:after="80"/>
        <w:rPr>
          <w:highlight w:val="yellow"/>
        </w:rPr>
      </w:pPr>
      <w:r>
        <w:rPr>
          <w:rFonts w:ascii="Arial" w:hAnsi="Arial" w:eastAsia="Hiragino Sans GB" w:cs="Arial"/>
          <w:b/>
          <w:color w:val="7A5A00"/>
          <w:sz w:val="21"/>
          <w:highlight w:val="yellow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  <w:highlight w:val="yellow"/>
        </w:rPr>
        <w:t xml:space="preserve">ADM-009  AI 治理 - </w:t>
      </w:r>
      <w:r>
        <w:rPr>
          <w:rFonts w:ascii="Arial" w:hAnsi="Arial" w:eastAsia="Hiragino Sans GB" w:cs="Arial"/>
          <w:color w:val="111827"/>
          <w:sz w:val="21"/>
          <w:highlight w:val="yellow"/>
        </w:rPr>
        <w:t>管理模型</w:t>
      </w:r>
      <w:bookmarkStart w:id="0" w:name="_GoBack"/>
      <w:bookmarkEnd w:id="0"/>
    </w:p>
    <w:p w14:paraId="23BDA6E5">
      <w:pPr>
        <w:pStyle w:val="2"/>
        <w:keepNext/>
        <w:keepLines/>
        <w:pageBreakBefore/>
      </w:pPr>
      <w:r>
        <w:t>5. 审批分流与自动化边界</w:t>
      </w:r>
    </w:p>
    <w:p w14:paraId="3A526B61">
      <w:r>
        <w:t>自动化权限必须由规则、数据质量和人工治理共同约束。AI 置信度只能作为条件之一，不能单独决定费用支出或客户承诺。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900"/>
        <w:gridCol w:w="3500"/>
        <w:gridCol w:w="3260"/>
      </w:tblGrid>
      <w:tr w14:paraId="09885C9E">
        <w:trPr>
          <w:tblHeader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219D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处理路径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29C3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阶段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CF11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适用条件</w:t>
            </w:r>
          </w:p>
        </w:tc>
        <w:tc>
          <w:tcPr>
            <w:tcW w:w="3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75F4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关键控制</w:t>
            </w:r>
          </w:p>
        </w:tc>
      </w:tr>
      <w:tr w14:paraId="06A7FA15"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3C4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AI 自动处理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9AAF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P2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CD29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低风险 + 低成本 + 高置信度 + 预批准动作 + 客户允许 + 无安全/监管问题</w:t>
            </w:r>
          </w:p>
        </w:tc>
        <w:tc>
          <w:tcPr>
            <w:tcW w:w="3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A30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执行前再次校验；支持全局暂停、幂等和人工接管。</w:t>
            </w:r>
          </w:p>
        </w:tc>
      </w:tr>
      <w:tr w14:paraId="193B071D"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F71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Planner 审批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4AE3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P0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3E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中等风险、需要报价或存在多个方案，且金额在 Planner 权限内</w:t>
            </w:r>
          </w:p>
        </w:tc>
        <w:tc>
          <w:tcPr>
            <w:tcW w:w="3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7BCE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可批准、选择其他方案、修改、退回或重新询价。</w:t>
            </w:r>
          </w:p>
        </w:tc>
      </w:tr>
      <w:tr w14:paraId="2F6C6F9C"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2F1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Operations Manager 审批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2B16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P0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FA6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高货值、高成本、VIP、重大 SLA 风险、低置信度、监管问题或超权限</w:t>
            </w:r>
          </w:p>
        </w:tc>
        <w:tc>
          <w:tcPr>
            <w:tcW w:w="3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650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可批准、附条件批准、拒绝或退回；必须记录理由。</w:t>
            </w:r>
          </w:p>
        </w:tc>
      </w:tr>
    </w:tbl>
    <w:p w14:paraId="44D7F4F8">
      <w:pPr>
        <w:pStyle w:val="3"/>
        <w:keepNext/>
        <w:keepLines/>
      </w:pPr>
      <w:r>
        <w:t>5.1 MVP 禁止直接自动化的动作</w:t>
      </w:r>
    </w:p>
    <w:p w14:paraId="0AD8FA92">
      <w:pPr>
        <w:numPr>
          <w:ilvl w:val="0"/>
          <w:numId w:val="8"/>
        </w:numPr>
      </w:pPr>
      <w:r>
        <w:rPr>
          <w:rFonts w:ascii="Arial" w:hAnsi="Arial" w:eastAsia="Hiragino Sans GB" w:cs="Arial"/>
          <w:color w:val="111827"/>
          <w:sz w:val="21"/>
        </w:rPr>
        <w:t>仅凭 AI 置信度自动批准高成本或高风险方案。</w:t>
      </w:r>
    </w:p>
    <w:p w14:paraId="34D426F7">
      <w:pPr>
        <w:numPr>
          <w:ilvl w:val="0"/>
          <w:numId w:val="8"/>
        </w:numPr>
      </w:pPr>
      <w:r>
        <w:rPr>
          <w:rFonts w:ascii="Arial" w:hAnsi="Arial" w:eastAsia="Hiragino Sans GB" w:cs="Arial"/>
          <w:color w:val="111827"/>
          <w:sz w:val="21"/>
        </w:rPr>
        <w:t>未经人工确认改变运输方式、预订航班、承担赔偿或显著追加费用。</w:t>
      </w:r>
    </w:p>
    <w:p w14:paraId="4EFFB628">
      <w:pPr>
        <w:numPr>
          <w:ilvl w:val="0"/>
          <w:numId w:val="8"/>
        </w:numPr>
      </w:pPr>
      <w:r>
        <w:rPr>
          <w:rFonts w:ascii="Arial" w:hAnsi="Arial" w:eastAsia="Hiragino Sans GB" w:cs="Arial"/>
          <w:color w:val="111827"/>
          <w:sz w:val="21"/>
        </w:rPr>
        <w:t>向客户自动发送未经核实的根因、新 ETA 或赔偿承诺。</w:t>
      </w:r>
    </w:p>
    <w:p w14:paraId="5BB3DBE3">
      <w:pPr>
        <w:numPr>
          <w:ilvl w:val="0"/>
          <w:numId w:val="8"/>
        </w:numPr>
      </w:pPr>
      <w:r>
        <w:rPr>
          <w:rFonts w:ascii="Arial" w:hAnsi="Arial" w:eastAsia="Hiragino Sans GB" w:cs="Arial"/>
          <w:color w:val="111827"/>
          <w:sz w:val="21"/>
        </w:rPr>
        <w:t>根据单个 Delivered 事件立即永久关闭案件。</w:t>
      </w:r>
    </w:p>
    <w:p w14:paraId="5D9054D8">
      <w:pPr>
        <w:numPr>
          <w:ilvl w:val="0"/>
          <w:numId w:val="8"/>
        </w:numPr>
      </w:pPr>
      <w:r>
        <w:rPr>
          <w:rFonts w:ascii="Arial" w:hAnsi="Arial" w:eastAsia="Hiragino Sans GB" w:cs="Arial"/>
          <w:color w:val="111827"/>
          <w:sz w:val="21"/>
        </w:rPr>
        <w:t>从历史人工决策直接在线修改业务规则或审批政策。</w:t>
      </w:r>
    </w:p>
    <w:p w14:paraId="334D0444">
      <w:pPr>
        <w:numPr>
          <w:ilvl w:val="0"/>
          <w:numId w:val="8"/>
        </w:numPr>
      </w:pPr>
      <w:r>
        <w:rPr>
          <w:rFonts w:ascii="Arial" w:hAnsi="Arial" w:eastAsia="Hiragino Sans GB" w:cs="Arial"/>
          <w:color w:val="111827"/>
          <w:sz w:val="21"/>
        </w:rPr>
        <w:t>自动处理危险品、保险索赔、复杂清关或法律责任。</w:t>
      </w:r>
    </w:p>
    <w:p w14:paraId="65165E0E">
      <w:pPr>
        <w:pStyle w:val="2"/>
        <w:keepNext/>
        <w:keepLines/>
        <w:pageBreakBefore/>
      </w:pPr>
      <w:r>
        <w:t>6. 非功能与治理要求</w:t>
      </w:r>
    </w:p>
    <w:p w14:paraId="6C81BF6B">
      <w:r>
        <w:t>以下要求不是附加项，而是异常自动化能够安全运行的基础。</w:t>
      </w:r>
    </w:p>
    <w:p w14:paraId="4C895BDD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NFR-001  可追溯性 - </w:t>
      </w:r>
      <w:r>
        <w:rPr>
          <w:rFonts w:ascii="Arial" w:hAnsi="Arial" w:eastAsia="Hiragino Sans GB" w:cs="Arial"/>
          <w:color w:val="111827"/>
          <w:sz w:val="21"/>
        </w:rPr>
        <w:t>原始事件、标准化事件、案件、推荐、报价、审批、执行和通知必须保持数据血缘。</w:t>
      </w:r>
    </w:p>
    <w:p w14:paraId="73BB283C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NFR-002  安全与权限 - </w:t>
      </w:r>
      <w:r>
        <w:rPr>
          <w:rFonts w:ascii="Arial" w:hAnsi="Arial" w:eastAsia="Hiragino Sans GB" w:cs="Arial"/>
          <w:color w:val="111827"/>
          <w:sz w:val="21"/>
        </w:rPr>
        <w:t>采用最小权限、RBAC、敏感字段保护、服务凭据管理和关键操作审计。</w:t>
      </w:r>
    </w:p>
    <w:p w14:paraId="7D9877E8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NFR-003  可靠性 - </w:t>
      </w:r>
      <w:r>
        <w:rPr>
          <w:rFonts w:ascii="Arial" w:hAnsi="Arial" w:eastAsia="Hiragino Sans GB" w:cs="Arial"/>
          <w:color w:val="111827"/>
          <w:sz w:val="21"/>
        </w:rPr>
        <w:t>事件处理、外部写入和消息发送必须支持幂等、重试、死信、补偿和人工重放。</w:t>
      </w:r>
    </w:p>
    <w:p w14:paraId="3BF4134B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NFR-004  时间与时区 - </w:t>
      </w:r>
      <w:r>
        <w:rPr>
          <w:rFonts w:ascii="Arial" w:hAnsi="Arial" w:eastAsia="Hiragino Sans GB" w:cs="Arial"/>
          <w:color w:val="111827"/>
          <w:sz w:val="21"/>
        </w:rPr>
        <w:t>所有时间保存 UTC，并按用户/客户时区显示；SLA 支持工作时间、节假日和暂停规则。</w:t>
      </w:r>
    </w:p>
    <w:p w14:paraId="715E3F53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NFR-005  可访问性 - </w:t>
      </w:r>
      <w:r>
        <w:rPr>
          <w:rFonts w:ascii="Arial" w:hAnsi="Arial" w:eastAsia="Hiragino Sans GB" w:cs="Arial"/>
          <w:color w:val="111827"/>
          <w:sz w:val="21"/>
        </w:rPr>
        <w:t>地图提供列表替代；严重度不只依赖颜色；核心操作支持键盘、清晰标签和确认反馈。</w:t>
      </w:r>
    </w:p>
    <w:p w14:paraId="61EE94FB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NFR-006  AI 安全 - </w:t>
      </w:r>
      <w:r>
        <w:rPr>
          <w:rFonts w:ascii="Arial" w:hAnsi="Arial" w:eastAsia="Hiragino Sans GB" w:cs="Arial"/>
          <w:color w:val="111827"/>
          <w:sz w:val="21"/>
        </w:rPr>
        <w:t>AI 不得自行编造 ETA、事实或赔偿承诺；低置信度和模型故障必须安全降级。</w:t>
      </w:r>
    </w:p>
    <w:p w14:paraId="5DBB1CE8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NFR-007  性能与扩展 - </w:t>
      </w:r>
      <w:r>
        <w:rPr>
          <w:rFonts w:ascii="Arial" w:hAnsi="Arial" w:eastAsia="Hiragino Sans GB" w:cs="Arial"/>
          <w:color w:val="111827"/>
          <w:sz w:val="21"/>
        </w:rPr>
        <w:t>支持当前每月 15,000+ 货运规模，并对事件高峰、批量异常和报表查询制定容量指标。</w:t>
      </w:r>
    </w:p>
    <w:p w14:paraId="279F7508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NFR-008  可观测性 - </w:t>
      </w:r>
      <w:r>
        <w:rPr>
          <w:rFonts w:ascii="Arial" w:hAnsi="Arial" w:eastAsia="Hiragino Sans GB" w:cs="Arial"/>
          <w:color w:val="111827"/>
          <w:sz w:val="21"/>
        </w:rPr>
        <w:t>提供日志、指标、追踪、连接器健康、任务延迟和自动化暂停告警。</w:t>
      </w:r>
    </w:p>
    <w:p w14:paraId="294C2719">
      <w:pPr>
        <w:pStyle w:val="2"/>
        <w:keepNext/>
        <w:keepLines/>
        <w:pageBreakBefore/>
      </w:pPr>
      <w:r>
        <w:t>7. 实施分期与 MVP 范围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500"/>
        <w:gridCol w:w="5260"/>
      </w:tblGrid>
      <w:tr w14:paraId="743C5032">
        <w:trPr>
          <w:tblHeader/>
        </w:trPr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3D4A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阶段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7F2F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目标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A3BA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建议范围</w:t>
            </w:r>
          </w:p>
        </w:tc>
      </w:tr>
      <w:tr w14:paraId="42CD85BA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FD3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P0 - MVP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A33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打通可审计的人机协作闭环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9DBD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一个运输模式/有限线路；2-3 种高频异常；事件接入、货运视图、异常案件、AI 摘要与方案、手工报价、分级审批、人工确认通知、执行监控、关闭、审计和核心 KPI。</w:t>
            </w:r>
          </w:p>
        </w:tc>
      </w:tr>
      <w:tr w14:paraId="7C2383B5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A10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P1 - 第二阶段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77D9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真实集成与受控 AI 增强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3A4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更多承运商和港口；自动询价；多渠道通知；高级地图；移动审批；资源日历；损坏、错运、清关试点；AI 质量和 ETA 准确率分析。</w:t>
            </w:r>
          </w:p>
        </w:tc>
      </w:tr>
      <w:tr w14:paraId="7103127F"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582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P2 - 智能优化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99B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在护栏内开放低风险自动化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90F3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预测性异常、受控自动批准、低风险自动通知、自动订舱/调度、自动关闭、推荐排序优化及经验证的学习闭环。</w:t>
            </w:r>
          </w:p>
        </w:tc>
      </w:tr>
    </w:tbl>
    <w:p w14:paraId="1B02ADA0">
      <w:pPr>
        <w:pStyle w:val="3"/>
        <w:keepNext/>
        <w:keepLines/>
      </w:pPr>
      <w:r>
        <w:t>7.1 P0 MVP 建议边界</w:t>
      </w:r>
    </w:p>
    <w:p w14:paraId="614F6754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MVP  范围控制 - </w:t>
      </w:r>
      <w:r>
        <w:rPr>
          <w:rFonts w:ascii="Arial" w:hAnsi="Arial" w:eastAsia="Hiragino Sans GB" w:cs="Arial"/>
          <w:color w:val="111827"/>
          <w:sz w:val="21"/>
        </w:rPr>
        <w:t>选择一个运输模式、有限线路或客户群作为试点。</w:t>
      </w:r>
    </w:p>
    <w:p w14:paraId="65C34199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MVP  范围控制 - </w:t>
      </w:r>
      <w:r>
        <w:rPr>
          <w:rFonts w:ascii="Arial" w:hAnsi="Arial" w:eastAsia="Hiragino Sans GB" w:cs="Arial"/>
          <w:color w:val="111827"/>
          <w:sz w:val="21"/>
        </w:rPr>
        <w:t>优先支持 2-3 种高频异常，例如航运延误、关键扫描缺失和道路停留超时。</w:t>
      </w:r>
    </w:p>
    <w:p w14:paraId="4D86A051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MVP  范围控制 - </w:t>
      </w:r>
      <w:r>
        <w:rPr>
          <w:rFonts w:ascii="Arial" w:hAnsi="Arial" w:eastAsia="Hiragino Sans GB" w:cs="Arial"/>
          <w:color w:val="111827"/>
          <w:sz w:val="21"/>
        </w:rPr>
        <w:t>承运商报价允许人工录入；客户通知和承运商指令必须人工确认后发送。</w:t>
      </w:r>
    </w:p>
    <w:p w14:paraId="2B92A1E2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MVP  范围控制 - </w:t>
      </w:r>
      <w:r>
        <w:rPr>
          <w:rFonts w:ascii="Arial" w:hAnsi="Arial" w:eastAsia="Hiragino Sans GB" w:cs="Arial"/>
          <w:color w:val="111827"/>
          <w:sz w:val="21"/>
        </w:rPr>
        <w:t>地图以运营可视化为主，不在 MVP 中建设完整路线优化。</w:t>
      </w:r>
    </w:p>
    <w:p w14:paraId="0BE06565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MVP  范围控制 - </w:t>
      </w:r>
      <w:r>
        <w:rPr>
          <w:rFonts w:ascii="Arial" w:hAnsi="Arial" w:eastAsia="Hiragino Sans GB" w:cs="Arial"/>
          <w:color w:val="111827"/>
          <w:sz w:val="21"/>
        </w:rPr>
        <w:t>损坏理赔、危险品、复杂清关、完整自动调度和高成本自动执行延后。</w:t>
      </w:r>
    </w:p>
    <w:p w14:paraId="18FAD11E">
      <w:pPr>
        <w:pStyle w:val="2"/>
        <w:keepNext/>
        <w:keepLines/>
        <w:pageBreakBefore/>
      </w:pPr>
      <w:r>
        <w:t>8. 验收指标与业务目标</w:t>
      </w:r>
    </w:p>
    <w:p w14:paraId="5CCD2599">
      <w:r>
        <w:t>MVP 首先建立可靠基线和可追踪数据，再衡量工作量与 SLA 改善；所有 Dashboard 数字必须可以下钻至案件。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200"/>
        <w:gridCol w:w="1900"/>
        <w:gridCol w:w="1160"/>
      </w:tblGrid>
      <w:tr w14:paraId="6AC04D85">
        <w:trPr>
          <w:tblHeader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21F8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指标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535E">
            <w:pPr>
              <w:pStyle w:val="165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定义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5BCD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目标</w:t>
            </w:r>
          </w:p>
        </w:tc>
        <w:tc>
          <w:tcPr>
            <w:tcW w:w="1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1D14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0B2545"/>
                <w:sz w:val="19"/>
              </w:rPr>
              <w:t>阶段</w:t>
            </w:r>
          </w:p>
        </w:tc>
      </w:tr>
      <w:tr w14:paraId="3386F159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C77A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异常检测与分流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C2DC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触发事件后 15 分钟内进入正确队列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AACF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&gt; 80%</w:t>
            </w:r>
          </w:p>
        </w:tc>
        <w:tc>
          <w:tcPr>
            <w:tcW w:w="1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88C0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P0</w:t>
            </w:r>
          </w:p>
        </w:tc>
      </w:tr>
      <w:tr w14:paraId="6C8CDFF6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2E4B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案件可追溯性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EF89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案件具备来源事件、责任人、状态时间线和决策记录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7F52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100%</w:t>
            </w:r>
          </w:p>
        </w:tc>
        <w:tc>
          <w:tcPr>
            <w:tcW w:w="1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2314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P0</w:t>
            </w:r>
          </w:p>
        </w:tc>
      </w:tr>
      <w:tr w14:paraId="727E8FD8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6C2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越权自动操作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82A6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高风险或超权限动作被系统自动执行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6FC5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0</w:t>
            </w:r>
          </w:p>
        </w:tc>
        <w:tc>
          <w:tcPr>
            <w:tcW w:w="1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D438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P0</w:t>
            </w:r>
          </w:p>
        </w:tc>
      </w:tr>
      <w:tr w14:paraId="5C267FF7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518A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对外 ETA 可追溯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D58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客户通知中的 ETA 有承运商、规则模型或批准方案来源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12B3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100%</w:t>
            </w:r>
          </w:p>
        </w:tc>
        <w:tc>
          <w:tcPr>
            <w:tcW w:w="1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1D8F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P0</w:t>
            </w:r>
          </w:p>
        </w:tc>
      </w:tr>
      <w:tr w14:paraId="7C50B503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2485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客户主动通知率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5669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客户首次来电前已收到主动通知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447B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&gt;= 70%</w:t>
            </w:r>
          </w:p>
        </w:tc>
        <w:tc>
          <w:tcPr>
            <w:tcW w:w="1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39B4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P1</w:t>
            </w:r>
          </w:p>
        </w:tc>
      </w:tr>
      <w:tr w14:paraId="709F3ED6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54A0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建议采纳与修正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8FF2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统计 AI 建议接受、修改和拒绝比例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998F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建立基线并持续改善</w:t>
            </w:r>
          </w:p>
        </w:tc>
        <w:tc>
          <w:tcPr>
            <w:tcW w:w="1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7084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P1</w:t>
            </w:r>
          </w:p>
        </w:tc>
      </w:tr>
      <w:tr w14:paraId="7F2C1A39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8BBB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SLA 违约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F484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相对业务基线的 SLA breach 数量与成本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F86E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降低 30%</w:t>
            </w:r>
          </w:p>
        </w:tc>
        <w:tc>
          <w:tcPr>
            <w:tcW w:w="1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806C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P2</w:t>
            </w:r>
          </w:p>
        </w:tc>
      </w:tr>
      <w:tr w14:paraId="6A97652E"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0C17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协调员反应性工作量</w:t>
            </w:r>
          </w:p>
        </w:tc>
        <w:tc>
          <w:tcPr>
            <w:tcW w:w="4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7289">
            <w:pPr>
              <w:pStyle w:val="165"/>
              <w:jc w:val="left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异常案件平均人工处理时间及反应性工作占比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1F2C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color w:val="111827"/>
                <w:sz w:val="19"/>
              </w:rPr>
              <w:t>降低 50%</w:t>
            </w:r>
          </w:p>
        </w:tc>
        <w:tc>
          <w:tcPr>
            <w:tcW w:w="1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78AB">
            <w:pPr>
              <w:pStyle w:val="165"/>
              <w:jc w:val="center"/>
            </w:pPr>
            <w:r>
              <w:rPr>
                <w:rFonts w:ascii="Arial" w:hAnsi="Arial" w:eastAsia="Hiragino Sans GB" w:cs="Arial"/>
                <w:b/>
                <w:color w:val="111827"/>
                <w:sz w:val="19"/>
              </w:rPr>
              <w:t>P2</w:t>
            </w:r>
          </w:p>
        </w:tc>
      </w:tr>
    </w:tbl>
    <w:p w14:paraId="6A62B60B">
      <w:pPr>
        <w:pStyle w:val="2"/>
        <w:keepNext/>
        <w:keepLines/>
        <w:pageBreakBefore/>
      </w:pPr>
      <w:r>
        <w:t>附录 A. 对现有流程图的关键修订</w:t>
      </w:r>
    </w:p>
    <w:p w14:paraId="7447F53C">
      <w:r>
        <w:t>以下修订用于补齐顺利路径之外的失败、退回、同步和安全边界。</w:t>
      </w:r>
    </w:p>
    <w:p w14:paraId="15CB0291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FLOW  流程修订 - </w:t>
      </w:r>
      <w:r>
        <w:rPr>
          <w:rFonts w:ascii="Arial" w:hAnsi="Arial" w:eastAsia="Hiragino Sans GB" w:cs="Arial"/>
          <w:color w:val="111827"/>
          <w:sz w:val="21"/>
        </w:rPr>
        <w:t>起点由 Delay detected 扩展为异常信号或预测风险，覆盖多种异常。</w:t>
      </w:r>
    </w:p>
    <w:p w14:paraId="7A77F3AF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FLOW  流程修订 - </w:t>
      </w:r>
      <w:r>
        <w:rPr>
          <w:rFonts w:ascii="Arial" w:hAnsi="Arial" w:eastAsia="Hiragino Sans GB" w:cs="Arial"/>
          <w:color w:val="111827"/>
          <w:sz w:val="21"/>
        </w:rPr>
        <w:t>低货值不等于低风险；自动处理必须同时校验风险、成本、客户、合规、置信度和预批准动作。</w:t>
      </w:r>
    </w:p>
    <w:p w14:paraId="516018CD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FLOW  流程修订 - </w:t>
      </w:r>
      <w:r>
        <w:rPr>
          <w:rFonts w:ascii="Arial" w:hAnsi="Arial" w:eastAsia="Hiragino Sans GB" w:cs="Arial"/>
          <w:color w:val="111827"/>
          <w:sz w:val="21"/>
        </w:rPr>
        <w:t>客户通知采用两阶段，而不是等承运商完成确认后才首次联系客户。</w:t>
      </w:r>
    </w:p>
    <w:p w14:paraId="7473DD89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FLOW  流程修订 - </w:t>
      </w:r>
      <w:r>
        <w:rPr>
          <w:rFonts w:ascii="Arial" w:hAnsi="Arial" w:eastAsia="Hiragino Sans GB" w:cs="Arial"/>
          <w:color w:val="111827"/>
          <w:sz w:val="21"/>
        </w:rPr>
        <w:t>拒绝后返回补充信息、修改方案或重新询价，不直接固定返回承运商。</w:t>
      </w:r>
    </w:p>
    <w:p w14:paraId="4AFD2105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FLOW  流程修订 - </w:t>
      </w:r>
      <w:r>
        <w:rPr>
          <w:rFonts w:ascii="Arial" w:hAnsi="Arial" w:eastAsia="Hiragino Sans GB" w:cs="Arial"/>
          <w:color w:val="111827"/>
          <w:sz w:val="21"/>
        </w:rPr>
        <w:t>审批、执行、通知和外部同步分别维护状态，避免单一状态字段失真。</w:t>
      </w:r>
    </w:p>
    <w:p w14:paraId="62AA40F5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FLOW  流程修订 - </w:t>
      </w:r>
      <w:r>
        <w:rPr>
          <w:rFonts w:ascii="Arial" w:hAnsi="Arial" w:eastAsia="Hiragino Sans GB" w:cs="Arial"/>
          <w:color w:val="111827"/>
          <w:sz w:val="21"/>
        </w:rPr>
        <w:t>增加接口、报价、发送、同步和执行失败后的重试与人工兜底路径。</w:t>
      </w:r>
    </w:p>
    <w:p w14:paraId="523525D2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9B1C1C"/>
          <w:sz w:val="21"/>
        </w:rPr>
        <w:t xml:space="preserve">[P0]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FLOW  流程修订 - </w:t>
      </w:r>
      <w:r>
        <w:rPr>
          <w:rFonts w:ascii="Arial" w:hAnsi="Arial" w:eastAsia="Hiragino Sans GB" w:cs="Arial"/>
          <w:color w:val="111827"/>
          <w:sz w:val="21"/>
        </w:rPr>
        <w:t>以 POD、交付、海关放行或人工核验作为结案证据，并支持二次异常重新打开。</w:t>
      </w:r>
    </w:p>
    <w:p w14:paraId="6C6BB076">
      <w:pPr>
        <w:keepLines/>
        <w:numPr>
          <w:ilvl w:val="0"/>
          <w:numId w:val="7"/>
        </w:numPr>
        <w:spacing w:after="80"/>
      </w:pPr>
      <w:r>
        <w:rPr>
          <w:rFonts w:ascii="Arial" w:hAnsi="Arial" w:eastAsia="Hiragino Sans GB" w:cs="Arial"/>
          <w:b/>
          <w:color w:val="7A5A00"/>
          <w:sz w:val="21"/>
        </w:rPr>
        <w:t xml:space="preserve">[P1] </w:t>
      </w:r>
      <w:r>
        <w:rPr>
          <w:rFonts w:ascii="Arial" w:hAnsi="Arial" w:eastAsia="Hiragino Sans GB" w:cs="Arial"/>
          <w:b/>
          <w:color w:val="0B2545"/>
          <w:sz w:val="21"/>
        </w:rPr>
        <w:t xml:space="preserve">FLOW  流程修订 - </w:t>
      </w:r>
      <w:r>
        <w:rPr>
          <w:rFonts w:ascii="Arial" w:hAnsi="Arial" w:eastAsia="Hiragino Sans GB" w:cs="Arial"/>
          <w:color w:val="111827"/>
          <w:sz w:val="21"/>
        </w:rPr>
        <w:t>将 Schedule Planning 收敛为恢复计划与执行；完整车队排班和自动调度延后。</w:t>
      </w:r>
    </w:p>
    <w:p w14:paraId="1F68DF01">
      <w:pPr>
        <w:pStyle w:val="2"/>
        <w:keepNext/>
        <w:keepLines/>
      </w:pPr>
      <w:r>
        <w:t>附录 B. 后续拆分建议</w:t>
      </w:r>
    </w:p>
    <w:p w14:paraId="13F12C52">
      <w:pPr>
        <w:pBdr>
          <w:left w:val="single" w:color="2E74B5" w:sz="18" w:space="8"/>
        </w:pBdr>
        <w:shd w:val="clear" w:fill="EEF6FF"/>
        <w:spacing w:before="80" w:after="160"/>
      </w:pPr>
      <w:r>
        <w:rPr>
          <w:rFonts w:ascii="Arial" w:hAnsi="Arial" w:eastAsia="Hiragino Sans GB" w:cs="Arial"/>
          <w:b/>
          <w:color w:val="0B2545"/>
          <w:sz w:val="22"/>
        </w:rPr>
        <w:t xml:space="preserve">建议下一步  </w:t>
      </w:r>
      <w:r>
        <w:rPr>
          <w:rFonts w:ascii="Arial" w:hAnsi="Arial" w:eastAsia="Hiragino Sans GB" w:cs="Arial"/>
          <w:color w:val="111827"/>
          <w:sz w:val="22"/>
        </w:rPr>
        <w:t>以 P0 需求为范围，继续拆分为页面清单、用户故事、API/事件契约、数据模型和可测试验收标准。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60516">
    <w:pPr>
      <w:pStyle w:val="18"/>
      <w:spacing w:before="0" w:after="0"/>
      <w:jc w:val="center"/>
    </w:pPr>
    <w:r>
      <w:rPr>
        <w:rFonts w:ascii="Arial" w:hAnsi="Arial" w:eastAsia="Hiragino Sans GB" w:cs="Arial"/>
        <w:color w:val="5B6573"/>
        <w:sz w:val="18"/>
      </w:rPr>
      <w:t xml:space="preserve">Kratos Freight Exception Agent   |   Page </w:t>
    </w:r>
    <w:r>
      <w:rPr>
        <w:rFonts w:ascii="Arial" w:hAnsi="Arial" w:eastAsia="Hiragino Sans GB" w:cs="Arial"/>
        <w:color w:val="5B6573"/>
        <w:sz w:val="18"/>
      </w:rPr>
      <w:fldChar w:fldCharType="begin"/>
    </w:r>
    <w:r>
      <w:rPr>
        <w:rFonts w:ascii="Arial" w:hAnsi="Arial" w:eastAsia="Hiragino Sans GB" w:cs="Arial"/>
        <w:color w:val="5B6573"/>
        <w:sz w:val="18"/>
      </w:rPr>
      <w:instrText xml:space="preserve"> PAGE </w:instrText>
    </w:r>
    <w:r>
      <w:rPr>
        <w:rFonts w:ascii="Arial" w:hAnsi="Arial" w:eastAsia="Hiragino Sans GB" w:cs="Arial"/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40234">
    <w:pPr>
      <w:pStyle w:val="19"/>
      <w:spacing w:after="0"/>
      <w:jc w:val="left"/>
    </w:pPr>
    <w:r>
      <w:rPr>
        <w:rFonts w:ascii="Arial" w:hAnsi="Arial" w:eastAsia="Hiragino Sans GB" w:cs="Arial"/>
        <w:b/>
        <w:color w:val="5B6573"/>
        <w:sz w:val="17"/>
      </w:rPr>
      <w:t>KRATOS  |  FUNCTION REQUIREMENTS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FEFEA"/>
    <w:multiLevelType w:val="singleLevel"/>
    <w:tmpl w:val="B3FFEFEA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Arial" w:hAnsi="Arial" w:eastAsia="Hiragino Sans GB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BFB8C0B"/>
    <w:multiLevelType w:val="singleLevel"/>
    <w:tmpl w:val="3BFB8C0B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Arial" w:hAnsi="Arial" w:eastAsia="Hiragino Sans GB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FEB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Arial" w:hAnsi="Arial" w:eastAsia="Hiragino Sans GB" w:cstheme="minorBidi"/>
      <w:color w:val="111827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Metadata"/>
    <w:uiPriority w:val="0"/>
    <w:pPr>
      <w:spacing w:after="60" w:line="264" w:lineRule="auto"/>
    </w:pPr>
    <w:rPr>
      <w:rFonts w:ascii="Arial" w:hAnsi="Arial" w:eastAsia="Hiragino Sans GB" w:cstheme="minorBidi"/>
      <w:color w:val="5B6573"/>
      <w:sz w:val="19"/>
      <w:szCs w:val="22"/>
      <w:lang w:val="en-US" w:eastAsia="en-US" w:bidi="ar-SA"/>
    </w:rPr>
  </w:style>
  <w:style w:type="paragraph" w:customStyle="1" w:styleId="165">
    <w:name w:val="Table Text"/>
    <w:uiPriority w:val="0"/>
    <w:pPr>
      <w:spacing w:before="0" w:after="0" w:line="276" w:lineRule="auto"/>
    </w:pPr>
    <w:rPr>
      <w:rFonts w:ascii="Arial" w:hAnsi="Arial" w:eastAsia="Hiragino Sans GB" w:cstheme="minorBidi"/>
      <w:color w:val="111827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2013-12-24T11:15:00Z</dcterms:created>
  <dc:creator>Kratos Project Team</dc:creator>
  <dc:description>Generated as a team review draft.</dc:description>
  <cp:keywords>Kratos, Freight Exception, Product Requirements, P0, P1, P2</cp:keywords>
  <cp:lastModifiedBy>Hugo</cp:lastModifiedBy>
  <dcterms:modified xsi:type="dcterms:W3CDTF">2026-08-17T11:23:28Z</dcterms:modified>
  <dc:subject>P0/P1/P2 功能需求目录</dc:subject>
  <dc:title>Kratos 货运异常管理系统 - 功能需求与优先级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1033-12.1.25195.25195</vt:lpwstr>
  </property>
  <property fmtid="{D5CDD505-2E9C-101B-9397-08002B2CF9AE}" pid="3" name="ICV">
    <vt:lpwstr>06BD4823BEA6E81D7046826A6DBD0438_42</vt:lpwstr>
  </property>
</Properties>
</file>