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总体设计报告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——教室空闲可视化系统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第九组</w:t>
      </w:r>
    </w:p>
    <w:p>
      <w:pPr>
        <w:ind w:firstLine="2100" w:firstLineChars="7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组长：程章桃2016112089</w:t>
      </w:r>
    </w:p>
    <w:p>
      <w:pPr>
        <w:ind w:firstLine="2100" w:firstLineChars="7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组员：何玉琦2016112062</w:t>
      </w:r>
    </w:p>
    <w:p>
      <w:pPr>
        <w:ind w:firstLine="3000" w:firstLineChars="10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李东杰2016112066</w:t>
      </w:r>
    </w:p>
    <w:p>
      <w:pPr>
        <w:ind w:firstLine="3000" w:firstLineChars="10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曾莘桅2016112078</w:t>
      </w:r>
    </w:p>
    <w:p>
      <w:pPr>
        <w:ind w:firstLine="3000" w:firstLineChars="10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邱雪雪2016112065</w:t>
      </w:r>
    </w:p>
    <w:p>
      <w:pPr>
        <w:ind w:firstLine="3000" w:firstLineChars="100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firstLine="3000" w:firstLineChars="100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firstLine="3000" w:firstLineChars="100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0" w:leftChars="0" w:firstLine="0" w:firstLineChars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8"/>
        <w:tabs>
          <w:tab w:val="right" w:leader="dot" w:pos="8306"/>
        </w:tabs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TOC \o "1-3" \u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1 系统总体设计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_Toc20756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 各模块功能简述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_Toc19042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300" w:firstLineChars="1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2.1 系统登录模块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_Toc17032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2.1.1 用户登录部分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_Toc10770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2.1.2 用户激活部分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_Toc20209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2.1.3 主界面部分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_Toc11152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300" w:firstLineChars="1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2.2 查询模块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_Toc23276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2.2.1 空闲教室查询部分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_Toc18525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2.2.2 借用教室查询部分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_Toc27628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300" w:firstLineChars="1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2.3 借用模块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_Toc25163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2.3.1 学生，教师借用部分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_Toc11771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2.3.2 管理员申请处理部分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_Toc2228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300" w:firstLineChars="1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2.4 学生，教室维权模块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_Toc8349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2.4.1 学生，教室维权部分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_Toc31832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2.4.2 管理员处理维权部分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_Toc27571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 系统层次图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_Toc3885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 系统结构图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_Toc9360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 面向数据流的事物分析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_Toc10148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4</w:t>
      </w:r>
      <w:r>
        <w:rPr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 开发平台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_Toc19615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4</w:t>
      </w:r>
      <w:r>
        <w:rPr>
          <w:sz w:val="30"/>
          <w:szCs w:val="30"/>
        </w:rPr>
        <w:fldChar w:fldCharType="end"/>
      </w:r>
    </w:p>
    <w:p>
      <w:p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  <w:lang w:val="en-US" w:eastAsia="zh-CN"/>
        </w:rPr>
        <w:fldChar w:fldCharType="end"/>
      </w:r>
      <w:bookmarkStart w:id="19" w:name="_GoBack"/>
      <w:bookmarkEnd w:id="19"/>
    </w:p>
    <w:p>
      <w:pPr>
        <w:pStyle w:val="2"/>
        <w:rPr>
          <w:rFonts w:hint="eastAsia"/>
          <w:lang w:val="en-US" w:eastAsia="zh-CN"/>
        </w:rPr>
      </w:pPr>
      <w:bookmarkStart w:id="0" w:name="_Toc20756"/>
      <w:r>
        <w:rPr>
          <w:rFonts w:hint="eastAsia"/>
          <w:lang w:val="en-US" w:eastAsia="zh-CN"/>
        </w:rPr>
        <w:t>1 系统总体设计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本系统为用户提供一个能够登陆，查询空闲教室和借用空闲教室，提出意见等功能的平台。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该系统主要分为四个模块：系统登录模块、查询模块（包括学生和老师-空闲教室，管理员-借用教室）、借用模块和学生维权模块。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原先设想能提供查看空闲教室、借用空闲教室、学生维权、更改教室信息、留言、身份验证、密码管理和友情链接等功能，但由于开发人员能力有限，无法提供与数据库相关的功能，因此在设计时删减部分用户功能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bookmarkStart w:id="1" w:name="_Toc19042"/>
      <w:r>
        <w:rPr>
          <w:rFonts w:hint="eastAsia"/>
          <w:lang w:val="en-US" w:eastAsia="zh-CN"/>
        </w:rPr>
        <w:t>2 各模块功能简述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7032"/>
      <w:r>
        <w:rPr>
          <w:rFonts w:hint="eastAsia"/>
          <w:lang w:val="en-US" w:eastAsia="zh-CN"/>
        </w:rPr>
        <w:t>2.1 系统登录模块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10770"/>
      <w:r>
        <w:rPr>
          <w:rFonts w:hint="eastAsia"/>
          <w:lang w:val="en-US" w:eastAsia="zh-CN"/>
        </w:rPr>
        <w:t>2.1.1 用户登录部分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用户打开该软件（网页）后，将会有学生登录，教师登录，管理员登录，选择相应的入口，进入后输入用户名和密码（与学校教务网相同），系统将识别该用户的权限为管理员，学生或者教师。</w:t>
      </w:r>
    </w:p>
    <w:p>
      <w:pPr>
        <w:pStyle w:val="4"/>
        <w:rPr>
          <w:rFonts w:hint="eastAsia"/>
          <w:lang w:val="en-US" w:eastAsia="zh-CN"/>
        </w:rPr>
      </w:pPr>
      <w:bookmarkStart w:id="4" w:name="_Toc20209"/>
      <w:r>
        <w:rPr>
          <w:rFonts w:hint="eastAsia"/>
          <w:lang w:val="en-US" w:eastAsia="zh-CN"/>
        </w:rPr>
        <w:t>2.1.2 用户激活部分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用户进入登录页面后，若是第一次登录，则需要进入激活页面，输入相应的学工号，姓名，身份证号等即可完成激活，进入登录界面。</w:t>
      </w:r>
    </w:p>
    <w:p>
      <w:pPr>
        <w:pStyle w:val="4"/>
        <w:rPr>
          <w:rFonts w:hint="eastAsia"/>
          <w:lang w:val="en-US" w:eastAsia="zh-CN"/>
        </w:rPr>
      </w:pPr>
      <w:bookmarkStart w:id="5" w:name="_Toc11152"/>
      <w:r>
        <w:rPr>
          <w:rFonts w:hint="eastAsia"/>
          <w:lang w:val="en-US" w:eastAsia="zh-CN"/>
        </w:rPr>
        <w:t>2.1.3 主界面部分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陆后系统将跳转到相应的个人界面，其中显示着该用户所拥有的功能。</w:t>
      </w:r>
    </w:p>
    <w:p>
      <w:pPr>
        <w:pStyle w:val="3"/>
        <w:rPr>
          <w:rFonts w:hint="eastAsia"/>
          <w:lang w:val="en-US" w:eastAsia="zh-CN"/>
        </w:rPr>
      </w:pPr>
      <w:bookmarkStart w:id="6" w:name="_Toc23276"/>
      <w:r>
        <w:rPr>
          <w:rFonts w:hint="eastAsia"/>
          <w:lang w:val="en-US" w:eastAsia="zh-CN"/>
        </w:rPr>
        <w:t>2.2 查询模块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18525"/>
      <w:r>
        <w:rPr>
          <w:rFonts w:hint="eastAsia"/>
          <w:lang w:val="en-US" w:eastAsia="zh-CN"/>
        </w:rPr>
        <w:t>2.2.1 空闲教室查询部分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用户（教室，学生）也可通过菜单栏——教室查询，进入后选择对应的条件，日期，时间，查询满足条件的教室。</w:t>
      </w:r>
    </w:p>
    <w:p>
      <w:pPr>
        <w:pStyle w:val="4"/>
        <w:rPr>
          <w:rFonts w:hint="eastAsia"/>
          <w:lang w:val="en-US" w:eastAsia="zh-CN"/>
        </w:rPr>
      </w:pPr>
      <w:bookmarkStart w:id="8" w:name="_Toc27628"/>
      <w:r>
        <w:rPr>
          <w:rFonts w:hint="eastAsia"/>
          <w:lang w:val="en-US" w:eastAsia="zh-CN"/>
        </w:rPr>
        <w:t>2.2.2 借用教室查询部分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用户（管理员）也可通过菜单栏——借用情况，进入后选择对应的来源，时间，日期，查询满足条件的教室。</w:t>
      </w:r>
    </w:p>
    <w:p>
      <w:pPr>
        <w:pStyle w:val="3"/>
        <w:rPr>
          <w:rFonts w:hint="eastAsia"/>
          <w:lang w:val="en-US" w:eastAsia="zh-CN"/>
        </w:rPr>
      </w:pPr>
      <w:bookmarkStart w:id="9" w:name="_Toc25163"/>
      <w:r>
        <w:rPr>
          <w:rFonts w:hint="eastAsia"/>
          <w:lang w:val="en-US" w:eastAsia="zh-CN"/>
        </w:rPr>
        <w:t>2.3 借用模块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11771"/>
      <w:r>
        <w:rPr>
          <w:rFonts w:hint="eastAsia"/>
          <w:lang w:val="en-US" w:eastAsia="zh-CN"/>
        </w:rPr>
        <w:t>2.3.1 学生，教师借用部分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用户（教室，学生）也可通过菜单栏——借用申请，进入后填写姓名，学号，用途等后，即可提交申请。</w:t>
      </w:r>
    </w:p>
    <w:p>
      <w:pPr>
        <w:pStyle w:val="4"/>
        <w:rPr>
          <w:rFonts w:hint="eastAsia"/>
          <w:lang w:val="en-US" w:eastAsia="zh-CN"/>
        </w:rPr>
      </w:pPr>
      <w:bookmarkStart w:id="11" w:name="_Toc2228"/>
      <w:r>
        <w:rPr>
          <w:rFonts w:hint="eastAsia"/>
          <w:lang w:val="en-US" w:eastAsia="zh-CN"/>
        </w:rPr>
        <w:t>2.3.2 管理员申请处理部分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用户（管理员）也可通过菜单栏——申请处理，进入相应的申请，将看见该申请的申请人，申请教室，等信息，从而进行处理（同意，拒绝，闲置）。</w:t>
      </w:r>
    </w:p>
    <w:p>
      <w:pPr>
        <w:pStyle w:val="3"/>
        <w:rPr>
          <w:rFonts w:hint="eastAsia"/>
          <w:lang w:val="en-US" w:eastAsia="zh-CN"/>
        </w:rPr>
      </w:pPr>
      <w:bookmarkStart w:id="12" w:name="_Toc8349"/>
      <w:r>
        <w:rPr>
          <w:rFonts w:hint="eastAsia"/>
          <w:lang w:val="en-US" w:eastAsia="zh-CN"/>
        </w:rPr>
        <w:t>2.4 学生，教室维权模块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注：该模块主要针对学生</w:t>
      </w:r>
    </w:p>
    <w:p>
      <w:pPr>
        <w:pStyle w:val="4"/>
        <w:rPr>
          <w:rFonts w:hint="eastAsia"/>
          <w:lang w:val="en-US" w:eastAsia="zh-CN"/>
        </w:rPr>
      </w:pPr>
      <w:bookmarkStart w:id="13" w:name="_Toc31832"/>
      <w:r>
        <w:rPr>
          <w:rFonts w:hint="eastAsia"/>
          <w:lang w:val="en-US" w:eastAsia="zh-CN"/>
        </w:rPr>
        <w:t>2.4.1 学生，教室维权部分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用户（教室，学生）也可通过菜单栏——问题中心，进入后反馈意见，进行维权。</w:t>
      </w:r>
    </w:p>
    <w:p>
      <w:pPr>
        <w:pStyle w:val="4"/>
        <w:rPr>
          <w:rFonts w:hint="eastAsia"/>
          <w:lang w:val="en-US" w:eastAsia="zh-CN"/>
        </w:rPr>
      </w:pPr>
      <w:bookmarkStart w:id="14" w:name="_Toc27571"/>
      <w:r>
        <w:rPr>
          <w:rFonts w:hint="eastAsia"/>
          <w:lang w:val="en-US" w:eastAsia="zh-CN"/>
        </w:rPr>
        <w:t>2.4.2 管理员处理维权部分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用户（管理员）也可通过菜单栏——学生维权，进入后将看见学生反馈情况，从而进行处理。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3885"/>
      <w:r>
        <w:rPr>
          <w:rFonts w:hint="eastAsia"/>
          <w:lang w:val="en-US" w:eastAsia="zh-CN"/>
        </w:rPr>
        <w:t>3 系统层次图</w:t>
      </w:r>
      <w:bookmarkEnd w:id="15"/>
    </w:p>
    <w:p>
      <w:pPr>
        <w:ind w:left="0" w:leftChars="0" w:firstLine="0" w:firstLineChars="0"/>
      </w:pPr>
      <w:r>
        <w:drawing>
          <wp:inline distT="0" distB="0" distL="114300" distR="114300">
            <wp:extent cx="4530090" cy="3455035"/>
            <wp:effectExtent l="0" t="0" r="1143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345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6" w:name="_Toc9360"/>
      <w:r>
        <w:rPr>
          <w:rFonts w:hint="eastAsia"/>
          <w:lang w:val="en-US" w:eastAsia="zh-CN"/>
        </w:rPr>
        <w:t>4 系统结构图</w:t>
      </w:r>
      <w:bookmarkEnd w:id="16"/>
    </w:p>
    <w:p>
      <w:pPr>
        <w:ind w:left="0" w:leftChars="0" w:firstLine="0" w:firstLineChars="0"/>
      </w:pPr>
      <w:r>
        <w:drawing>
          <wp:inline distT="0" distB="0" distL="114300" distR="114300">
            <wp:extent cx="3209925" cy="3150870"/>
            <wp:effectExtent l="0" t="0" r="5715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7" w:name="_Toc10148"/>
      <w:r>
        <w:rPr>
          <w:rFonts w:hint="eastAsia"/>
          <w:lang w:val="en-US" w:eastAsia="zh-CN"/>
        </w:rPr>
        <w:t>5 面向数据流的事物分析</w:t>
      </w:r>
      <w:bookmarkEnd w:id="17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64915" cy="5464175"/>
            <wp:effectExtent l="0" t="0" r="14605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546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8" w:name="_Toc19615"/>
      <w:r>
        <w:rPr>
          <w:rFonts w:hint="eastAsia"/>
          <w:lang w:val="en-US" w:eastAsia="zh-CN"/>
        </w:rPr>
        <w:t>6 开发平台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MFC(MicrosoftFoundationClasses)是微软基础类库的简称，是微软公司实现的一个c++类库，主要封装了大部分的windows API函数，vc++是微软公司开发的c/c++的集成开发环境，所谓集成开发环境，就是说利用它可以编辑，编译，调试，而不是使用多种工具轮换操作，灵活性较大。vc也指它的内部编译器，集成开发环境必须有一个编译器内核。 MFC除了是一个类库以外，还是一个框架，在vc++里新建一个MFC的工程，开发环境会自动帮你产生许多文件，同时它使用了mfcxx.dll。xx是版本，它封装了mfc内核，所以你在你的代码看不到原本的SDK编程中的消息循环等等东西，因为MFC框架帮你封装好了，这样你就可以专心的考虑你程序的逻辑，而不是这些每次编程都要重复的东西，但是由于是通用框架，没有最好的针对性，当然也就丧失了一些灵活性和效率。但是MFC的封装很浅，所以效率上损失不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C2999"/>
    <w:rsid w:val="2992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ind w:firstLine="0" w:firstLineChars="0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firstLine="0" w:firstLineChars="0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2"/>
    </w:pPr>
    <w:rPr>
      <w:rFonts w:eastAsia="宋体"/>
      <w:sz w:val="28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愿天下有情人终成眷属</cp:lastModifiedBy>
  <dcterms:modified xsi:type="dcterms:W3CDTF">2018-11-18T14:10:36Z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