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2eefefa1a8d5dbb69c6c6115ed26e4b3163d59b"/>
    <w:p>
      <w:pPr>
        <w:pStyle w:val="Heading1"/>
        <w:spacing w:line="480" w:lineRule="auto"/>
      </w:pPr>
      <w:r>
        <w:rPr>
          <w:rFonts w:ascii="Times New Roman" w:hAnsi="Times New Roman"/>
          <w:b/>
          <w:color w:val="000000"/>
          <w:sz w:val="24"/>
        </w:rPr>
        <w:t xml:space="preserve">Distinct networks drive mirror perturbation of translation-related transcription in heart failure and hepatocellular carcinoma</w:t>
      </w:r>
    </w:p>
    <w:p>
      <w:pPr>
        <w:pStyle w:val="FirstParagraph"/>
        <w:spacing w:line="480" w:lineRule="auto"/>
      </w:pPr>
      <w:r>
        <w:rPr>
          <w:rFonts w:ascii="Times New Roman" w:hAnsi="Times New Roman"/>
          <w:b w:val="0"/>
          <w:color w:val="000000"/>
          <w:sz w:val="22"/>
        </w:rPr>
        <w:t xml:space="preserve">Yuhe Hong</w:t>
      </w: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(ORCID: 0009-0008-5028-0035), Yili Liu</w:t>
      </w:r>
      <w:r>
        <w:rPr>
          <w:rFonts w:ascii="Times New Roman" w:hAnsi="Times New Roman"/>
          <w:b w:val="0"/>
          <w:color w:val="000000"/>
          <w:sz w:val="22"/>
        </w:rPr>
        <w:t xml:space="preserve">1</w:t>
      </w:r>
      <w:r>
        <w:rPr>
          <w:rFonts w:ascii="Times New Roman" w:hAnsi="Times New Roman"/>
          <w:b w:val="0"/>
          <w:color w:val="000000"/>
          <w:sz w:val="22"/>
        </w:rPr>
        <w:t xml:space="preserve">, Xianqi Li</w:t>
      </w:r>
      <w:r>
        <w:rPr>
          <w:rFonts w:ascii="Times New Roman" w:hAnsi="Times New Roman"/>
          <w:b w:val="0"/>
          <w:color w:val="000000"/>
          <w:sz w:val="22"/>
        </w:rPr>
        <w:t xml:space="preserve">1</w:t>
      </w:r>
      <w:r>
        <w:rPr>
          <w:rFonts w:ascii="Times New Roman" w:hAnsi="Times New Roman"/>
          <w:b w:val="0"/>
          <w:color w:val="000000"/>
          <w:sz w:val="22"/>
        </w:rPr>
        <w:t xml:space="preserve">, Xin Wu</w:t>
      </w:r>
      <w:r>
        <w:rPr>
          <w:rFonts w:ascii="Times New Roman" w:hAnsi="Times New Roman"/>
          <w:b w:val="0"/>
          <w:color w:val="000000"/>
          <w:sz w:val="22"/>
        </w:rPr>
        <w:t xml:space="preserve">3</w:t>
      </w:r>
      <w:r>
        <w:rPr>
          <w:rFonts w:ascii="Times New Roman" w:hAnsi="Times New Roman"/>
          <w:b w:val="0"/>
          <w:i/>
          <w:iCs/>
          <w:color w:val="000000"/>
          <w:sz w:val="22"/>
        </w:rPr>
        <w:t xml:space="preserve">, Junhong Wang</w:t>
      </w:r>
      <w:r>
        <w:rPr>
          <w:rFonts w:ascii="Times New Roman" w:hAnsi="Times New Roman"/>
          <w:b w:val="0"/>
          <w:i/>
          <w:iCs/>
          <w:color w:val="000000"/>
          <w:sz w:val="22"/>
        </w:rPr>
        <w:t xml:space="preserve">1,2</w:t>
      </w:r>
      <w:r>
        <w:rPr>
          <w:rFonts w:ascii="Times New Roman" w:hAnsi="Times New Roman"/>
          <w:b w:val="0"/>
          <w:color w:val="000000"/>
          <w:sz w:val="22"/>
        </w:rPr>
        <w:t xml:space="preserve"> </w:t>
      </w:r>
      <w:r>
        <w:rPr>
          <w:rFonts w:ascii="Times New Roman" w:hAnsi="Times New Roman"/>
          <w:b w:val="0"/>
          <w:color w:val="000000"/>
          <w:sz w:val="22"/>
        </w:rPr>
        <w:t xml:space="preserve">(ORCID: 0000-0003-2314-1810)</w:t>
      </w:r>
    </w:p>
    <w:p>
      <w:pPr>
        <w:pStyle w:val="BodyText"/>
        <w:spacing w:line="480" w:lineRule="auto"/>
      </w:pPr>
      <w:r>
        <w:rPr>
          <w:rFonts w:ascii="Times New Roman" w:hAnsi="Times New Roman"/>
          <w:b w:val="0"/>
          <w:color w:val="000000"/>
          <w:sz w:val="22"/>
        </w:rPr>
        <w:t xml:space="preserve">1</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The First Affiliated Hospital of Nanjing Medical University, Nanjing, China</w:t>
      </w:r>
    </w:p>
    <w:p>
      <w:pPr>
        <w:pStyle w:val="BodyText"/>
        <w:spacing w:line="480" w:lineRule="auto"/>
      </w:pP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Department of Cardiology, Liyang People’s Hospital, Liyang, China</w:t>
      </w:r>
    </w:p>
    <w:p>
      <w:pPr>
        <w:pStyle w:val="BodyText"/>
        <w:spacing w:line="480" w:lineRule="auto"/>
      </w:pPr>
      <w:r>
        <w:rPr>
          <w:rFonts w:ascii="Times New Roman" w:hAnsi="Times New Roman"/>
          <w:b w:val="0"/>
          <w:color w:val="000000"/>
          <w:sz w:val="22"/>
        </w:rPr>
        <w:t xml:space="preserve">3</w:t>
      </w:r>
      <w:r>
        <w:rPr>
          <w:rFonts w:ascii="Times New Roman" w:hAnsi="Times New Roman"/>
          <w:b w:val="0"/>
          <w:color w:val="000000"/>
          <w:sz w:val="22"/>
        </w:rPr>
        <w:t xml:space="preserve"> </w:t>
      </w:r>
      <w:r>
        <w:rPr>
          <w:rFonts w:ascii="Times New Roman" w:hAnsi="Times New Roman"/>
          <w:b w:val="0"/>
          <w:color w:val="000000"/>
          <w:sz w:val="22"/>
        </w:rPr>
        <w:t xml:space="preserve">Department of Reproduction Medicine, The First Affiliated Hospital of Nanjing Medical University, Nanjing, China</w:t>
      </w:r>
    </w:p>
    <w:p>
      <w:pPr>
        <w:pStyle w:val="BodyText"/>
        <w:spacing w:line="480" w:lineRule="auto"/>
      </w:pP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color w:val="000000"/>
          <w:sz w:val="22"/>
        </w:rPr>
        <w:t xml:space="preserve">Co-corresponding authors. Email: wuxin0220@aliyun.com (X.W.); wangjunhong@jsph.org.cn (J.W.)</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bCs/>
          <w:color w:val="000000"/>
          <w:sz w:val="22"/>
        </w:rPr>
        <w:t xml:space="preserve">Heart failure (HF) and hepatocellular carcinoma (HCC) both exhibit dysregulation of translation-related gene expression, yet whether this reflects shared transcriptional organization or disease-specific remodeling remains unresolved. Here we show that translation-related transcriptional programs in HF and HCC are organized through disease-specific co-expression networks, yet converge on opposite-direction pathway perturbation. Weighted gene co-expression network analysis of HF (GSE57338,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313) and HCC (GSE141198,</w:t>
      </w:r>
      <w:r>
        <w:rPr>
          <w:rFonts w:ascii="Times New Roman" w:hAnsi="Times New Roman"/>
          <w:b w:val="0"/>
          <w:bCs/>
          <w:color w:val="000000"/>
          <w:sz w:val="22"/>
        </w:rPr>
        <w:t xml:space="preserve"> </w:t>
      </w:r>
      <w:r>
        <w:rPr>
          <w:rFonts w:ascii="Times New Roman" w:hAnsi="Times New Roman"/>
          <w:b w:val="0"/>
          <w:bCs/>
          <w:i/>
          <w:iCs/>
          <w:color w:val="000000"/>
          <w:sz w:val="22"/>
        </w:rPr>
        <w:t xml:space="preserve">n</w:t>
      </w:r>
      <w:r>
        <w:rPr>
          <w:rFonts w:ascii="Times New Roman" w:hAnsi="Times New Roman"/>
          <w:b w:val="0"/>
          <w:bCs/>
          <w:color w:val="000000"/>
          <w:sz w:val="22"/>
        </w:rPr>
        <w:t xml:space="preserve"> </w:t>
      </w:r>
      <w:r>
        <w:rPr>
          <w:rFonts w:ascii="Times New Roman" w:hAnsi="Times New Roman"/>
          <w:b w:val="0"/>
          <w:bCs/>
          <w:color w:val="000000"/>
          <w:sz w:val="22"/>
        </w:rPr>
        <w:t xml:space="preserve">= 148) transcriptomes identified translation-related modules with limited gene-level overlap (62/227 genes; Fisher’s OR = 1.7,</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0.039). Despite distinct network architecture, 24 of 33 translation-related pathways showed mirror perturbation between diseases (Spearman ρ = −0.598,</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This mirror pattern was absent in same-organ disease controls, including hypertrophic cardiomyopathy (ρ = −0.036) and cirrhosis (ρ = +0.402), supporting disease-context dependence rather than organ-specific confounding. ATF4 was the strongest individual transcription factor correlate with translational activity (ρ = +0.500, FDR &lt; 0.0001), while MYC target pathway activity showed the highest overall association (ρ = +0.753,</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&lt; 0.0001). These findings identify disease-context-dependent remodeling — shared functional themes emerging through distinct network configurations with opposite perturbation directions — as an organizing principle of translation-related transcriptional programs across diseases.</w:t>
      </w:r>
    </w:p>
    <w:p>
      <w:pPr>
        <w:pStyle w:val="BodyText"/>
        <w:spacing w:line="480" w:lineRule="auto"/>
      </w:pPr>
      <w:r>
        <w:rPr>
          <w:rFonts w:ascii="Times New Roman" w:hAnsi="Times New Roman"/>
          <w:b w:val="0"/>
          <w:bCs/>
          <w:color w:val="000000"/>
          <w:sz w:val="22"/>
        </w:rPr>
        <w:t xml:space="preserve">Keywords:</w:t>
      </w:r>
      <w:r>
        <w:rPr>
          <w:rFonts w:ascii="Times New Roman" w:hAnsi="Times New Roman"/>
          <w:b w:val="0"/>
          <w:color w:val="000000"/>
          <w:sz w:val="22"/>
        </w:rPr>
        <w:t xml:space="preserve"> </w:t>
      </w:r>
      <w:r>
        <w:rPr>
          <w:rFonts w:ascii="Times New Roman" w:hAnsi="Times New Roman"/>
          <w:b w:val="0"/>
          <w:color w:val="000000"/>
          <w:sz w:val="22"/>
        </w:rPr>
        <w:t xml:space="preserve">Translation · Heart failure · Hepatocellular carcinoma · WGCNA · ssGSEA · ATF4 · Integrated stress response · MYC</w:t>
      </w:r>
    </w:p>
    <w:p>
      <w:pPr>
        <w:spacing w:line="480" w:lineRule="auto"/>
      </w:pPr>
      <w:r>
        <w:rPr>
          <w:rFonts w:ascii="Times New Roman" w:hAnsi="Times New Roman"/>
          <w:b w:val="0"/>
          <w:color w:val="000000"/>
          <w:sz w:val="22"/>
        </w:rPr>
        <w:pict>
          <v:rect style="width:0;height:1.5pt" o:hralign="center" o:hrstd="t" o:hr="t"/>
        </w:pict>
      </w:r>
    </w:p>
    <w:p>
      <w:pPr>
        <w:pStyle w:val="FirstParagraph"/>
        <w:spacing w:line="480" w:lineRule="auto"/>
      </w:pPr>
      <w:r>
        <w:rPr>
          <w:rFonts w:ascii="Times New Roman" w:hAnsi="Times New Roman"/>
          <w:b w:val="0"/>
          <w:color w:val="000000"/>
          <w:sz w:val="22"/>
        </w:rPr>
        <w:t>Heart failure (HF) and hepatocellular carcinoma (HCC) appear clinically divergent: HF is a chronic degenerative condition of the myocardium, HCC an aggressive malignancy of the liver. Yet beneath this superficial distinction lies a shared molecular landscape. Both diseases undergo profound metabolic reprogramming — the failing heart faces chronic ATP deficit and substrate depletion</w:t>
      </w:r>
      <w:r>
        <w:rPr>
          <w:rFonts w:ascii="Times New Roman" w:hAnsi="Times New Roman"/>
          <w:b w:val="0"/>
          <w:color w:val="000000"/>
          <w:sz w:val="22"/>
          <w:vertAlign w:val="superscript"/>
        </w:rPr>
        <w:t xmlns:ns36="http://schemas.xmlsoap.org/soap/envelope/" ns36:space="preserve">[1,2]</w:t>
      </w:r>
      <w:r>
        <w:rPr>
          <w:rFonts w:ascii="Times New Roman" w:hAnsi="Times New Roman"/>
          <w:b w:val="0"/>
          <w:color w:val="000000"/>
          <w:sz w:val="22"/>
        </w:rPr>
        <w:t xmlns:ns39="http://schemas.xmlsoap.org/soap/envelope/" ns39:space="preserve">, while HCC cells rewire central carbon metabolism to sustain unrestrained proliferation</w:t>
      </w:r>
      <w:r>
        <w:rPr>
          <w:rFonts w:ascii="Times New Roman" w:hAnsi="Times New Roman"/>
          <w:b w:val="0"/>
          <w:color w:val="000000"/>
          <w:sz w:val="22"/>
          <w:vertAlign w:val="superscript"/>
        </w:rPr>
        <w:t xmlns:ns28="http://schemas.xmlsoap.org/soap/envelope/" ns28:space="preserve">[3,4]</w:t>
      </w:r>
      <w:r>
        <w:rPr>
          <w:rFonts w:ascii="Times New Roman" w:hAnsi="Times New Roman"/>
          <w:b w:val="0"/>
          <w:color w:val="000000"/>
          <w:sz w:val="22"/>
        </w:rPr>
        <w:t xmlns:ns31="http://schemas.xmlsoap.org/soap/envelope/" ns31:space="preserve">. Both exhibit disrupted protein homeostasis, the balance among protein synthesis, folding, and degradation that is essential for cellular function and survival</w:t>
      </w:r>
      <w:r>
        <w:rPr>
          <w:rFonts w:ascii="Times New Roman" w:hAnsi="Times New Roman"/>
          <w:b w:val="0"/>
          <w:color w:val="000000"/>
          <w:sz w:val="22"/>
          <w:vertAlign w:val="superscript"/>
        </w:rPr>
        <w:t xmlns:ns20="http://schemas.xmlsoap.org/soap/envelope/" ns20:space="preserve">[5,6]</w:t>
      </w:r>
      <w:r>
        <w:rPr>
          <w:rFonts w:ascii="Times New Roman" w:hAnsi="Times New Roman"/>
          <w:b w:val="0"/>
          <w:color w:val="000000"/>
          <w:sz w:val="22"/>
        </w:rPr>
        <w:t xmlns:ns23="http://schemas.xmlsoap.org/soap/envelope/" ns23:space="preserve">. Translational regulation lies at the intersection of these processes, coupling cellular energy status with protein synthesis capacity</w:t>
      </w:r>
      <w:r>
        <w:rPr>
          <w:rFonts w:ascii="Times New Roman" w:hAnsi="Times New Roman"/>
          <w:b w:val="0"/>
          <w:color w:val="000000"/>
          <w:sz w:val="22"/>
          <w:vertAlign w:val="superscript"/>
        </w:rPr>
        <w:t xmlns:ns12="http://schemas.xmlsoap.org/soap/envelope/" ns12:space="preserve">[7]</w:t>
      </w:r>
      <w:r>
        <w:rPr>
          <w:rFonts w:ascii="Times New Roman" w:hAnsi="Times New Roman"/>
          <w:b w:val="0"/>
          <w:color w:val="000000"/>
          <w:sz w:val="22"/>
        </w:rPr>
        <w:t xmlns:ns15="http://schemas.xmlsoap.org/soap/envelope/" ns15:space="preserve">. Accordingly, both diseases exhibit dysregulation of the translational apparatus — the ribosome, translation factors, and their upstream regulators — which collectively mediate the final and most energetically expensive step of gene expression</w:t>
      </w:r>
      <w:r>
        <w:rPr>
          <w:rFonts w:ascii="Times New Roman" w:hAnsi="Times New Roman"/>
          <w:b w:val="0"/>
          <w:color w:val="000000"/>
          <w:sz w:val="22"/>
          <w:vertAlign w:val="superscript"/>
        </w:rPr>
        <w:t xmlns:ns4="http://schemas.xmlsoap.org/soap/envelope/" ns4:space="preserve">[1,8,9]</w:t>
      </w:r>
      <w:r>
        <w:rPr>
          <w:rFonts w:ascii="Times New Roman" w:hAnsi="Times New Roman"/>
          <w:b w:val="0"/>
          <w:color w:val="000000"/>
          <w:sz w:val="22"/>
        </w:rPr>
        <w:t xmlns:ns7="http://schemas.xmlsoap.org/soap/envelope/" ns7:space="preserve">.</w:t>
      </w:r>
    </w:p>
    <w:p>
      <w:pPr>
        <w:pStyle w:val="BodyText"/>
        <w:spacing w:line="480" w:lineRule="auto"/>
      </w:pPr>
      <w:r>
        <w:rPr>
          <w:rFonts w:ascii="Times New Roman" w:hAnsi="Times New Roman"/>
          <w:b w:val="0"/>
          <w:color w:val="000000"/>
          <w:sz w:val="22"/>
        </w:rPr>
        <w:t>The nature of this translational dysregulation, however, operates in opposite directions. In HF, myocardial energy deficiency is associated with suppression of anabolic processes, including ribosome biogenesis and cap-dependent translation, as a response associated with energy conservation</w:t>
      </w:r>
      <w:r>
        <w:rPr>
          <w:rFonts w:ascii="Times New Roman" w:hAnsi="Times New Roman"/>
          <w:b w:val="0"/>
          <w:color w:val="000000"/>
          <w:sz w:val="22"/>
          <w:vertAlign w:val="superscript"/>
        </w:rPr>
        <w:t xmlns:ns60="http://schemas.xmlsoap.org/soap/envelope/" ns60:space="preserve">[2,6]</w:t>
      </w:r>
      <w:r>
        <w:rPr>
          <w:rFonts w:ascii="Times New Roman" w:hAnsi="Times New Roman"/>
          <w:b w:val="0"/>
          <w:color w:val="000000"/>
          <w:sz w:val="22"/>
        </w:rPr>
        <w:t xmlns:ns63="http://schemas.xmlsoap.org/soap/envelope/" ns63:space="preserve">. mTORC1 signaling is inhibited in the failing heart</w:t>
      </w:r>
      <w:r>
        <w:rPr>
          <w:rFonts w:ascii="Times New Roman" w:hAnsi="Times New Roman"/>
          <w:b w:val="0"/>
          <w:color w:val="000000"/>
          <w:sz w:val="22"/>
          <w:vertAlign w:val="superscript"/>
        </w:rPr>
        <w:t xmlns:ns52="http://schemas.xmlsoap.org/soap/envelope/" ns52:space="preserve">[6,10]</w:t>
      </w:r>
      <w:r>
        <w:rPr>
          <w:rFonts w:ascii="Times New Roman" w:hAnsi="Times New Roman"/>
          <w:b w:val="0"/>
          <w:color w:val="000000"/>
          <w:sz w:val="22"/>
        </w:rPr>
        <w:t xmlns:ns55="http://schemas.xmlsoap.org/soap/envelope/" ns55:space="preserve">. In HCC, by contrast, oncogenic pathways converge on the translational apparatus to upregulate ribosome biogenesis and protein synthesis, supporting uncontrolled proliferation</w:t>
      </w:r>
      <w:r>
        <w:rPr>
          <w:rFonts w:ascii="Times New Roman" w:hAnsi="Times New Roman"/>
          <w:b w:val="0"/>
          <w:color w:val="000000"/>
          <w:sz w:val="22"/>
          <w:vertAlign w:val="superscript"/>
        </w:rPr>
        <w:t xmlns:ns44="http://schemas.xmlsoap.org/soap/envelope/" ns44:space="preserve">[3,8,11,12]</w:t>
      </w:r>
      <w:r>
        <w:rPr>
          <w:rFonts w:ascii="Times New Roman" w:hAnsi="Times New Roman"/>
          <w:b w:val="0"/>
          <w:color w:val="000000"/>
          <w:sz w:val="22"/>
        </w:rPr>
        <w:t xmlns:ns47="http://schemas.xmlsoap.org/soap/envelope/" ns47:space="preserve">. These mirror-image pressures on the same molecular machinery raise a fundamental question: does the same translation-related transcriptional program operate in both diseases, with disease context determining only the direction of perturbation?</w:t>
      </w:r>
    </w:p>
    <w:p>
      <w:pPr>
        <w:pStyle w:val="BodyText"/>
        <w:spacing w:line="480" w:lineRule="auto"/>
      </w:pPr>
      <w:r>
        <w:rPr>
          <w:rFonts w:ascii="Times New Roman" w:hAnsi="Times New Roman"/>
          <w:b w:val="0"/>
          <w:color w:val="000000"/>
          <w:sz w:val="22"/>
        </w:rPr>
        <w:t>Answering this question requires moving beyond single-disease frameworks. Existing transcriptomic studies in HF and HCC have largely been confined to single-disease contexts, identifying differentially expressed genes, co-expression modules, or prognostic signatures within one disease at a time</w:t>
      </w:r>
      <w:r>
        <w:rPr>
          <w:rFonts w:ascii="Times New Roman" w:hAnsi="Times New Roman"/>
          <w:b w:val="0"/>
          <w:color w:val="000000"/>
          <w:sz w:val="22"/>
          <w:vertAlign w:val="superscript"/>
        </w:rPr>
        <w:t xmlns:ns68="http://schemas.xmlsoap.org/soap/envelope/" ns68:space="preserve">[5]</w:t>
      </w:r>
      <w:r>
        <w:rPr>
          <w:rFonts w:ascii="Times New Roman" w:hAnsi="Times New Roman"/>
          <w:b w:val="0"/>
          <w:color w:val="000000"/>
          <w:sz w:val="22"/>
        </w:rPr>
        <w:t xmlns:ns71="http://schemas.xmlsoap.org/soap/envelope/" ns71:space="preserve">. While these studies have generated valuable disease-specific insights, they cannot distinguish between features that are disease-specific and features that reflect general organizational principles of the translational system. Cross-disease comparative transcriptomics — the parallel analysis of independent datasets from distinct diseases using identical computational pipelines — provides a direct strategy for addressing this question. Whether translation-related transcriptional programs are organized through conserved network architectures or disease-specific remodeling remains unclear. If translation-related modules identified in each disease share gene composition and regulatory architecture, this would support conserved organizational principles. If instead they converge on similar functional themes through distinct network configurations, this would indicate disease-context-dependent remodeling.</w:t>
      </w:r>
    </w:p>
    <w:p>
      <w:pPr>
        <w:pStyle w:val="BodyText"/>
        <w:spacing w:line="480" w:lineRule="auto"/>
      </w:pPr>
      <w:r>
        <w:rPr>
          <w:rFonts w:ascii="Times New Roman" w:hAnsi="Times New Roman"/>
          <w:b w:val="0"/>
          <w:color w:val="000000"/>
          <w:sz w:val="22"/>
        </w:rPr>
        <w:t>HF and HCC provide an instructive comparison because they represent opposite extremes of translational demand. The failing heart is an energy-depleted environment where translational suppression is adaptive</w:t>
      </w:r>
      <w:r>
        <w:rPr>
          <w:rFonts w:ascii="Times New Roman" w:hAnsi="Times New Roman"/>
          <w:b w:val="0"/>
          <w:color w:val="000000"/>
          <w:sz w:val="22"/>
          <w:vertAlign w:val="superscript"/>
        </w:rPr>
        <w:t xmlns:ns84="http://schemas.xmlsoap.org/soap/envelope/" ns84:space="preserve">[1,2]</w:t>
      </w:r>
      <w:r>
        <w:rPr>
          <w:rFonts w:ascii="Times New Roman" w:hAnsi="Times New Roman"/>
          <w:b w:val="0"/>
          <w:color w:val="000000"/>
          <w:sz w:val="22"/>
        </w:rPr>
        <w:t xmlns:ns87="http://schemas.xmlsoap.org/soap/envelope/" ns87:space="preserve">; the HCC tumor microenvironment is a pro-growth environment where translational activation supports malignant fitness</w:t>
      </w:r>
      <w:r>
        <w:rPr>
          <w:rFonts w:ascii="Times New Roman" w:hAnsi="Times New Roman"/>
          <w:b w:val="0"/>
          <w:color w:val="000000"/>
          <w:sz w:val="22"/>
          <w:vertAlign w:val="superscript"/>
        </w:rPr>
        <w:t xmlns:ns76="http://schemas.xmlsoap.org/soap/envelope/" ns76:space="preserve">[3,8]</w:t>
      </w:r>
      <w:r>
        <w:rPr>
          <w:rFonts w:ascii="Times New Roman" w:hAnsi="Times New Roman"/>
          <w:b w:val="0"/>
          <w:color w:val="000000"/>
          <w:sz w:val="22"/>
        </w:rPr>
        <w:t xmlns:ns79="http://schemas.xmlsoap.org/soap/envelope/" ns79:space="preserve">. To investigate how disease context shapes translation-related transcriptional programs, we applied an integrative cross-disease framework with three objectives: (i) identify translation-related co-expression modules in HF and HCC through systematic weighted gene co-expression network analysis (WGCNA)-based module discovery; (ii) quantitatively compare pathway-level perturbation across diseases; and (iii) investigate transcriptional correlates of translation-related activity. Rather than assuming module conservation, we explicitly tested whether network organization is shared or disease-specific, and whether pathway-level perturbation patterns are consistent across independent cohorts.</w:t>
      </w:r>
    </w:p>
    <w:bookmarkStart w:id="29" w:name="results"/>
    <w:p>
      <w:pPr>
        <w:pStyle w:val="Heading2"/>
        <w:spacing w:line="480" w:lineRule="auto"/>
      </w:pPr>
      <w:r>
        <w:rPr>
          <w:rFonts w:ascii="Times New Roman" w:hAnsi="Times New Roman"/>
          <w:b/>
          <w:color w:val="000000"/>
          <w:sz w:val="22"/>
        </w:rPr>
        <w:t xml:space="preserve">Results</w:t>
      </w:r>
    </w:p>
    <w:bookmarkStart w:id="12" w:name="X29130612508969c7e43315de124d00ce5662986"/>
    <w:p>
      <w:pPr>
        <w:pStyle w:val="Heading3"/>
        <w:spacing w:line="480" w:lineRule="auto"/>
      </w:pPr>
      <w:r>
        <w:rPr>
          <w:rFonts w:ascii="Times New Roman" w:hAnsi="Times New Roman"/>
          <w:b/>
          <w:color w:val="000000"/>
          <w:sz w:val="22"/>
        </w:rPr>
        <w:t xml:space="preserve">Disease-specific network remodeling identifies translation-related transcriptional programs</w:t>
      </w:r>
    </w:p>
    <w:p>
      <w:pPr>
        <w:pStyle w:val="FirstParagraph"/>
        <w:spacing w:line="480" w:lineRule="auto"/>
      </w:pPr>
      <w:r>
        <w:rPr>
          <w:rFonts w:ascii="Times New Roman" w:hAnsi="Times New Roman"/>
          <w:b w:val="0"/>
          <w:color w:val="000000"/>
          <w:sz w:val="22"/>
        </w:rPr>
        <w:t xml:space="preserve">To identify translation-related co-expression modules without imposing predefined gene-selection criteria, we performed signed WGCNA on HF left ventricular myocardium (GSE57338,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dilated cardiomyopathy, ischemic cardiomyopathy, and non-failing controls) using an expanded gene set (top 6,000 genes by variance, retaining 177 of 214 ribosomal/translation-related genes in the full expression matrix; β = 17, signed scale-free R² = 0.865; Additional file 3: Figure S3b). Eleven co-expression modules were identified. Module functional annotation was performed via GO Biological Process enrichment (clusterProfiler), and the translation-related module was systematically identified by a composite translation-enrichment score integrating GO term count and significance (see Methods), rather than by manual designation.</w:t>
      </w:r>
    </w:p>
    <w:p>
      <w:pPr>
        <w:pStyle w:val="BodyText"/>
        <w:spacing w:line="480" w:lineRule="auto"/>
      </w:pPr>
      <w:r>
        <w:rPr>
          <w:rFonts w:ascii="Times New Roman" w:hAnsi="Times New Roman"/>
          <w:b w:val="0"/>
          <w:color w:val="000000"/>
          <w:sz w:val="22"/>
        </w:rPr>
        <w:t xml:space="preserve">The</w:t>
      </w:r>
      <w:r>
        <w:rPr>
          <w:rFonts w:ascii="Times New Roman" w:hAnsi="Times New Roman"/>
          <w:b w:val="0"/>
          <w:color w:val="000000"/>
          <w:sz w:val="22"/>
        </w:rPr>
        <w:t xml:space="preserve"> </w:t>
      </w:r>
      <w:r>
        <w:rPr>
          <w:rFonts w:ascii="Times New Roman" w:hAnsi="Times New Roman"/>
          <w:b w:val="0"/>
          <w:bCs/>
          <w:color w:val="000000"/>
          <w:sz w:val="22"/>
        </w:rPr>
        <w:t xml:space="preserve">green module</w:t>
      </w:r>
      <w:r>
        <w:rPr>
          <w:rFonts w:ascii="Times New Roman" w:hAnsi="Times New Roman"/>
          <w:b w:val="0"/>
          <w:color w:val="000000"/>
          <w:sz w:val="22"/>
        </w:rPr>
        <w:t xml:space="preserve"> </w:t>
      </w:r>
      <w:r>
        <w:rPr>
          <w:rFonts w:ascii="Times New Roman" w:hAnsi="Times New Roman"/>
          <w:b w:val="0"/>
          <w:color w:val="000000"/>
          <w:sz w:val="22"/>
        </w:rPr>
        <w:t xml:space="preserve">(227 genes) was identified as a module enriched for translation-associated biological processes (translation-enrichment score = 695.1). GO enrichment confirmed highly significant association with ribosome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2.3 × 10⁻¹³; fold enrichment = 9.6), ribosomal small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4.5 × 10⁻⁸; fold enrichment = 11.7), rRNA processing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10⁻⁶), rRNA metabolic process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4.8 × 10⁻⁶), and ribosomal large subunit biogenesis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2.2 × 10⁻⁴; fold enrichment = 11.2) (Additional file 9: Table S5). The green module eigengene showed a significant negative correlation with HF status (</w:t>
      </w:r>
      <w:r>
        <w:rPr>
          <w:rFonts w:ascii="Times New Roman" w:hAnsi="Times New Roman"/>
          <w:b w:val="0"/>
          <w:bCs/>
          <w:color w:val="000000"/>
          <w:sz w:val="22"/>
        </w:rPr>
        <w:t xml:space="preserve">r = −0.521,</w:t>
      </w:r>
      <w:r>
        <w:rPr>
          <w:rFonts w:ascii="Times New Roman" w:hAnsi="Times New Roman"/>
          <w:b w:val="0"/>
          <w:bCs/>
          <w:color w:val="000000"/>
          <w:sz w:val="22"/>
        </w:rPr>
        <w:t xml:space="preserve">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3.6 × 10⁻²³</w:t>
      </w:r>
      <w:r>
        <w:rPr>
          <w:rFonts w:ascii="Times New Roman" w:hAnsi="Times New Roman"/>
          <w:b w:val="0"/>
          <w:color w:val="000000"/>
          <w:sz w:val="22"/>
        </w:rPr>
        <w:t xml:space="preserve">), indicating that this translation-related transcriptional program is associated with reduced expression in the failing myocardium. Among the 11 modules identified, the strongest correlation with HF was observed in the grey module (r = −0.755, 1,336 unassigned genes), followed by yellow (r = +0.682, 306 genes) and green (r = −0.521). The ribosomal/translation-related genes were distributed across multiple modules (turquoise: 21, green: 17, grey: 9, black: 5, blue: 2, magenta: 1, pink: 1 of 56 retained), indicating that translational machinery genes participate in several distinct co-expression contexts rather than concentrating in a single module.</w:t>
      </w:r>
    </w:p>
    <w:p>
      <w:pPr>
        <w:pStyle w:val="BodyText"/>
        <w:spacing w:line="480" w:lineRule="auto"/>
      </w:pPr>
      <w:r>
        <w:rPr>
          <w:rFonts w:ascii="Times New Roman" w:hAnsi="Times New Roman"/>
          <w:b w:val="0"/>
          <w:color w:val="000000"/>
          <w:sz w:val="22"/>
        </w:rPr>
        <w:t xml:space="preserve">Hub genes were defined post hoc using dual criteria of |Gene Significance| &gt; 0.2 and |Module Membership| &gt; 0.8 within the green module (Additional file 1: Figure S1). The top ten hub genes ranked by the product of |GS| × |MM| are listed in Additional file 5: Table S1. These hub genes are positioned within the translation-related transcriptional network rather than representing canonical components of the ribosome machinery; they include transcriptional regulators and RNA-processing factors that may participate in coordinating ribosome biogenesis gene expression. None of the seven previously reported canonical hub genes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met the dual criteria for hub designation in the green module: four (</w:t>
      </w:r>
      <w:r>
        <w:rPr>
          <w:rFonts w:ascii="Times New Roman" w:hAnsi="Times New Roman"/>
          <w:b w:val="0"/>
          <w:i/>
          <w:iCs/>
          <w:color w:val="000000"/>
          <w:sz w:val="22"/>
        </w:rPr>
        <w:t xml:space="preserve">FAU</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RPL39</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RPL32</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RPS28</w:t>
      </w:r>
      <w:r>
        <w:rPr>
          <w:rFonts w:ascii="Times New Roman" w:hAnsi="Times New Roman"/>
          <w:b w:val="0"/>
          <w:color w:val="000000"/>
          <w:sz w:val="22"/>
        </w:rPr>
        <w:t xml:space="preserve">) were assigned to the black module, one (</w:t>
      </w:r>
      <w:r>
        <w:rPr>
          <w:rFonts w:ascii="Times New Roman" w:hAnsi="Times New Roman"/>
          <w:b w:val="0"/>
          <w:i/>
          <w:iCs/>
          <w:color w:val="000000"/>
          <w:sz w:val="22"/>
        </w:rPr>
        <w:t xml:space="preserve">RPL3</w:t>
      </w:r>
      <w:r>
        <w:rPr>
          <w:rFonts w:ascii="Times New Roman" w:hAnsi="Times New Roman"/>
          <w:b w:val="0"/>
          <w:color w:val="000000"/>
          <w:sz w:val="22"/>
        </w:rPr>
        <w:t xml:space="preserve">) to blue, and two (</w:t>
      </w:r>
      <w:r>
        <w:rPr>
          <w:rFonts w:ascii="Times New Roman" w:hAnsi="Times New Roman"/>
          <w:b w:val="0"/>
          <w:i/>
          <w:iCs/>
          <w:color w:val="000000"/>
          <w:sz w:val="22"/>
        </w:rPr>
        <w:t xml:space="preserve">EEF1A1</w:t>
      </w:r>
      <w:r>
        <w:rPr>
          <w:rFonts w:ascii="Times New Roman" w:hAnsi="Times New Roman"/>
          <w:b w:val="0"/>
          <w:color w:val="000000"/>
          <w:sz w:val="22"/>
        </w:rPr>
        <w:t xml:space="preserve">,</w:t>
      </w:r>
      <w:r>
        <w:rPr>
          <w:rFonts w:ascii="Times New Roman" w:hAnsi="Times New Roman"/>
          <w:b w:val="0"/>
          <w:color w:val="000000"/>
          <w:sz w:val="22"/>
        </w:rPr>
        <w:t xml:space="preserve"> </w:t>
      </w:r>
      <w:r>
        <w:rPr>
          <w:rFonts w:ascii="Times New Roman" w:hAnsi="Times New Roman"/>
          <w:b w:val="0"/>
          <w:i/>
          <w:iCs/>
          <w:color w:val="000000"/>
          <w:sz w:val="22"/>
        </w:rPr>
        <w:t xml:space="preserve">RPL41</w:t>
      </w:r>
      <w:r>
        <w:rPr>
          <w:rFonts w:ascii="Times New Roman" w:hAnsi="Times New Roman"/>
          <w:b w:val="0"/>
          <w:color w:val="000000"/>
          <w:sz w:val="22"/>
        </w:rPr>
        <w:t xml:space="preserve">) were not present in the top-6,000 input gene set. The previously identified hub gene set therefore does not represent the hub structure of the translation-related co-expression module identified through systematic annotation-based analysis.</w:t>
      </w:r>
    </w:p>
    <w:p>
      <w:pPr>
        <w:pStyle w:val="BodyText"/>
        <w:spacing w:line="480" w:lineRule="auto"/>
      </w:pPr>
      <w:r>
        <w:rPr>
          <w:rFonts w:ascii="Times New Roman" w:hAnsi="Times New Roman"/>
          <w:b w:val="0"/>
          <w:color w:val="000000"/>
          <w:sz w:val="22"/>
        </w:rPr>
        <w:t xml:space="preserve">To determine whether a translation-related module also exists in HCC, we examined the independently constructed HCC WGCNA (GSE141198,</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β = 4, R² = 0.84). The GSE141198 blue module (1,315 genes) showed</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as the most significantly enriched GO term (adjusted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consistent with the presence of a translation-related transcriptional program in HCC. However, the network topology differed substantially: the HF translation-related program was concentrated in a compact module (green, 227 genes, enriched for ribosome biogenesis), whereas the corresponding HCC program was distributed across a larger module (blue, 1,315 genes, enriched for cytoplasmic translation). Cross-disease gene-level overlap was limited: 62 of 227 HF green module genes were present in the HCC WGCNA input (the top-variability-filtered matrix used for network construction), and their distribution across HCC modules (turquoise: 28, blue: 23, grey: 11) showed only modest enrichment for the HCC blue module (Fisher’s exact test,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Importantly, the translation-associated transcriptional score (TATS; see Methods) was calculated from the complete unfiltered normalized expression matrix, not the WGCNA input matrix; all green module genes detected in the full expression matrix contributed to the score, regardless of whether they met the variability threshold for network construction. This limited gene-level overlap suggests that translation-related programs may involve disease-context-dependent network configurations at the gene-module level rather than a universally conserved co-expression module.</w:t>
      </w:r>
    </w:p>
    <w:p>
      <w:pPr>
        <w:pStyle w:val="BodyText"/>
        <w:spacing w:line="480" w:lineRule="auto"/>
      </w:pPr>
      <w:r>
        <w:rPr>
          <w:rFonts w:ascii="Times New Roman" w:hAnsi="Times New Roman"/>
          <w:b w:val="0"/>
          <w:color w:val="000000"/>
          <w:sz w:val="22"/>
        </w:rPr>
        <w:t xml:space="preserve">Taken together, both HF and HCC contain translation-related transcriptional programs identifiable through systematic WGCNA-based module discovery, but their gene-module organization patterns — including module size, gene composition, and hub gene identity — differed under dataset-specific network construction settings. These findings are consistent with a model of disease-context-dependent network organization (Fig. 1), rather than cross-disease conservation of a single translational co-expression module. Differences in module size and topology should therefore not be interpreted as direct quantitative comparisons of network complexity, but rather as context-dependent representations of disease-associated co-expression organization. Module internal robustness analysis confirmed that the green module represents a genuine co-expression structure (intra-modular TOM</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jackknife CV = 1.6%; Additional file 4: Figure S4), rather than an artifact of the β = 17 soft-threshold parameter. We next examined whether this disease-context-dependent network organization is accompanied by oppositely directed pathway-level changes.</w:t>
      </w:r>
    </w:p>
    <w:p>
      <w:pPr>
        <w:pStyle w:val="CaptionedFigure"/>
        <w:spacing w:line="480" w:lineRule="auto"/>
      </w:pPr>
      <w:r>
        <w:rPr>
          <w:rFonts w:ascii="Times New Roman" w:hAnsi="Times New Roman"/>
          <w:b w:val="0"/>
          <w:color w:val="000000"/>
          <w:sz w:val="22"/>
        </w:rPr>
        <w:drawing>
          <wp:inline>
            <wp:extent cx="5334000" cy="4000499"/>
            <wp:effectExtent b="0" l="0" r="0" t="0"/>
            <wp:docPr descr="Figure 1" title="" id="10" name="Picture"/>
            <a:graphic>
              <a:graphicData uri="http://schemas.openxmlformats.org/drawingml/2006/picture">
                <pic:pic>
                  <pic:nvPicPr>
                    <pic:cNvPr descr="figures/Figure2_Translation_Module_Identification.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1</w:t>
      </w:r>
    </w:p>
    <w:p>
      <w:pPr>
        <w:pStyle w:val="BodyText"/>
        <w:spacing w:line="480" w:lineRule="auto"/>
        <w:jc w:val="left"/>
      </w:pPr>
      <w:r>
        <w:rPr>
          <w:rFonts w:ascii="Times New Roman" w:hAnsi="Times New Roman"/>
          <w:b/>
          <w:bCs/>
          <w:color w:val="000000"/>
          <w:sz w:val="18"/>
        </w:rPr>
        <w:t xml:space="preserve">Fig. 1 | Identification of disease-context-dependent translation-related modules in HF and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Gene dendrogram and module assignment from signed WGCNA of GSE57338 (HF,</w:t>
      </w:r>
      <w:r>
        <w:rPr>
          <w:rFonts w:ascii="Times New Roman" w:hAnsi="Times New Roman"/>
          <w:b/>
          <w:color w:val="000000"/>
          <w:sz w:val="18"/>
        </w:rPr>
        <w:t xml:space="preserve">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313). The green module (227 genes) was identified as the translation-related module via GO-based scoring.</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Module–trait (HF vs. non-failing) correlation coefficients. Green module: r = −0.521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3.6 × 10⁻²³).</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GO Biological Process enrichment of the green module. Top terms include ribosome biogenesis (adjusted</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2.3 × 10⁻¹³) and rRNA processing.</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Cross-disease module gene overlap: distribution of HF green module genes across HCC WGCNA modules (GSE141198). Limited gene-level overlap (62 of 227 genes found; Fisher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suggesting disease-context-dependent network organization rather than module conservation.</w:t>
      </w:r>
    </w:p>
    <w:bookmarkEnd w:id="12"/>
    <w:bookmarkStart w:id="16" w:name="X0bb7cd2088651e3c7dc8f36f72b41334090cbe7"/>
    <w:p>
      <w:pPr>
        <w:pStyle w:val="Heading3"/>
        <w:spacing w:line="480" w:lineRule="auto"/>
      </w:pPr>
      <w:r>
        <w:rPr>
          <w:rFonts w:ascii="Times New Roman" w:hAnsi="Times New Roman"/>
          <w:b/>
          <w:color w:val="000000"/>
          <w:sz w:val="22"/>
        </w:rPr>
        <w:t xml:space="preserve">Opposite pathway-level perturbation of translation-related programs between HF and HCC</w:t>
      </w:r>
    </w:p>
    <w:p>
      <w:pPr>
        <w:pStyle w:val="FirstParagraph"/>
        <w:spacing w:line="480" w:lineRule="auto"/>
      </w:pPr>
      <w:r>
        <w:rPr>
          <w:rFonts w:ascii="Times New Roman" w:hAnsi="Times New Roman"/>
          <w:b w:val="0"/>
          <w:color w:val="000000"/>
          <w:sz w:val="22"/>
        </w:rPr>
        <w:t xml:space="preserve">The network analysis revealed that HF and HCC each contain translation-related transcriptional programs, but organized through disease-specific co-expression architectures with limited gene-level overlap. We next asked whether, despite this network-level divergence, the two diseases exhibit convergent changes at the pathway level. To address this, we performed ssGSEA pathway enrichment scoring in parallel across 81 pathways (48 Hallmark + 1 KEGG ribosome + 32 Reactome translation-related pathways) in TCGA-LIHC (371 tumor vs. 50 normal) and GSE57338 (HF vs. non-failing), and computed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for each pathway.</w:t>
      </w:r>
    </w:p>
    <w:p>
      <w:pPr>
        <w:pStyle w:val="BodyText"/>
        <w:spacing w:line="480" w:lineRule="auto"/>
      </w:pPr>
      <w:r>
        <w:rPr>
          <w:rFonts w:ascii="Times New Roman" w:hAnsi="Times New Roman"/>
          <w:b w:val="0"/>
          <w:color w:val="000000"/>
          <w:sz w:val="22"/>
        </w:rPr>
        <w:t xml:space="preserve">The Spearman correlation of effect sizes across all 81 pathways between the two diseases was ρ = −0.290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0.0089), reflecting an overall weak negative association. However, when the analysis was restricted to the 33 translation/ribosome-related pathways, the negative correlation in effect sizes increased to</w:t>
      </w:r>
      <w:r>
        <w:rPr>
          <w:rFonts w:ascii="Times New Roman" w:hAnsi="Times New Roman"/>
          <w:b w:val="0"/>
          <w:color w:val="000000"/>
          <w:sz w:val="22"/>
        </w:rPr>
        <w:t xml:space="preserve"> </w:t>
      </w:r>
      <w:r>
        <w:rPr>
          <w:rFonts w:ascii="Times New Roman" w:hAnsi="Times New Roman"/>
          <w:b w:val="0"/>
          <w:bCs/>
          <w:color w:val="000000"/>
          <w:sz w:val="22"/>
        </w:rPr>
        <w:t xml:space="preserve">ρ = −0.598 (</w:t>
      </w:r>
      <w:r>
        <w:rPr>
          <w:rFonts w:ascii="Times New Roman" w:hAnsi="Times New Roman"/>
          <w:b w:val="0"/>
          <w:bCs/>
          <w:i/>
          <w:iCs/>
          <w:color w:val="000000"/>
          <w:sz w:val="22"/>
        </w:rPr>
        <w:t xml:space="preserve">P</w:t>
      </w:r>
      <w:r>
        <w:rPr>
          <w:rFonts w:ascii="Times New Roman" w:hAnsi="Times New Roman"/>
          <w:b w:val="0"/>
          <w:bCs/>
          <w:color w:val="000000"/>
          <w:sz w:val="22"/>
        </w:rPr>
        <w:t xml:space="preserve"> </w:t>
      </w:r>
      <w:r>
        <w:rPr>
          <w:rFonts w:ascii="Times New Roman" w:hAnsi="Times New Roman"/>
          <w:b w:val="0"/>
          <w:bCs/>
          <w:color w:val="000000"/>
          <w:sz w:val="22"/>
        </w:rPr>
        <w:t xml:space="preserve">= 0.0003; bootstrap 95% CI [−0.756, −0.340])</w:t>
      </w:r>
      <w:r>
        <w:rPr>
          <w:rFonts w:ascii="Times New Roman" w:hAnsi="Times New Roman"/>
          <w:b w:val="0"/>
          <w:color w:val="000000"/>
          <w:sz w:val="22"/>
        </w:rPr>
        <w:t xml:space="preserve">. A 10,000-iteration permutation test supported this result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Fig. 2). The specific composition of the 33 translation-related pathways and complete effect size data for all 81 pathways are provided in Additional file 6: Table S2.</w:t>
      </w:r>
    </w:p>
    <w:p>
      <w:pPr>
        <w:pStyle w:val="BodyText"/>
        <w:spacing w:line="480" w:lineRule="auto"/>
      </w:pPr>
      <w:r>
        <w:rPr>
          <w:rFonts w:ascii="Times New Roman" w:hAnsi="Times New Roman"/>
          <w:b w:val="0"/>
          <w:color w:val="000000"/>
          <w:sz w:val="22"/>
        </w:rPr>
        <w:t xml:space="preserve">Detailed examination of translation pathway effect sizes showed a consistent pattern: all 33 translation-related pathways showed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&gt; 0, higher expression in tumor vs. normal tissue), whereas the vast majority showed negative effect sizes in HF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&lt; 0, lower expression in failing vs. non-failing myocardium). Among the 33 translation-related pathways, 24 exhibited an HCC-positive/HF-negative paired pattern, representing a predominant mirror-direction pattern (binomial test</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Additional file 8: Table S4). The remaining nine pathways were enriched for mitochondrial translation or miRNA-mediated translational regulation rather than canonical cytoplasmic translation pathways (Additional file 6: Table S2). Proliferation-associated pathways (E2F Targets, G2M Checkpoint, and MYC Targets V1) exhibited the largest positive effect sizes in HCC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+1.83 to +2.35). The most upregulated pathways in HF were Bile Acid Metabolism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+0.79) and Interferon Alpha Response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 +0.67); their absolute effect sizes were considerably smaller than those of proliferation pathways in HCC.</w:t>
      </w:r>
    </w:p>
    <w:p>
      <w:pPr>
        <w:pStyle w:val="BodyText"/>
        <w:spacing w:line="480" w:lineRule="auto"/>
      </w:pPr>
      <w:r>
        <w:rPr>
          <w:rFonts w:ascii="Times New Roman" w:hAnsi="Times New Roman"/>
          <w:b w:val="0"/>
          <w:color w:val="000000"/>
          <w:sz w:val="22"/>
        </w:rPr>
        <w:t xml:space="preserve">This pathway-level mirror perturbation — with 24 of 33 translation pathways showing opposite-direction changes in HCC and HF — represents the strongest quantitative signal in this study (ρ = −0.598,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0.0079). Importantly, this signal emerges at the pathway level despite the substantial network-level divergence between the two diseases’ translation-related modules. The contrast between distinct network organization and convergent pathway-level alterations illustrates a key analytical principle: co-expression network topology captures disease-specific regulatory configurations, whereas aggregated pathway activity identifies shared functional themes that transcend these configurational differences. This distinction — network-level differences with pathway-level convergence — is a central finding of this study and informs the interpretation of all subsequent analyses.</w:t>
      </w:r>
    </w:p>
    <w:p>
      <w:pPr>
        <w:pStyle w:val="CaptionedFigure"/>
        <w:spacing w:line="480" w:lineRule="auto"/>
      </w:pPr>
      <w:r>
        <w:rPr>
          <w:rFonts w:ascii="Times New Roman" w:hAnsi="Times New Roman"/>
          <w:b w:val="0"/>
          <w:color w:val="000000"/>
          <w:sz w:val="22"/>
        </w:rPr>
        <w:drawing>
          <wp:inline>
            <wp:extent cx="5334000" cy="4267200"/>
            <wp:effectExtent b="0" l="0" r="0" t="0"/>
            <wp:docPr descr="Figure 2" title="" id="14" name="Picture"/>
            <a:graphic>
              <a:graphicData uri="http://schemas.openxmlformats.org/drawingml/2006/picture">
                <pic:pic>
                  <pic:nvPicPr>
                    <pic:cNvPr descr="figures/Figure_ssGSEA_cross_disease.png" id="15" name="Picture"/>
                    <pic:cNvPicPr>
                      <a:picLocks noChangeArrowheads="1" noChangeAspect="1"/>
                    </pic:cNvPicPr>
                  </pic:nvPicPr>
                  <pic:blipFill>
                    <a:blip r:embed="rId13"/>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2</w:t>
      </w:r>
    </w:p>
    <w:p>
      <w:pPr>
        <w:pStyle w:val="BodyText"/>
        <w:spacing w:line="480" w:lineRule="auto"/>
        <w:jc w:val="left"/>
      </w:pPr>
      <w:r>
        <w:rPr>
          <w:rFonts w:ascii="Times New Roman" w:hAnsi="Times New Roman"/>
          <w:b/>
          <w:bCs/>
          <w:color w:val="000000"/>
          <w:sz w:val="18"/>
        </w:rPr>
        <w:t xml:space="preserve">Fig. 2 | Cross-disease pathway-level mirror perturbation between HF and HCC.</w:t>
      </w:r>
      <w:r>
        <w:rPr>
          <w:rFonts w:ascii="Times New Roman" w:hAnsi="Times New Roman"/>
          <w:b/>
          <w:color w:val="000000"/>
          <w:sz w:val="18"/>
        </w:rPr>
        <w:t xml:space="preserve"> </w:t>
      </w:r>
      <w:r>
        <w:rPr>
          <w:rFonts w:ascii="Times New Roman" w:hAnsi="Times New Roman"/>
          <w:b/>
          <w:color w:val="000000"/>
          <w:sz w:val="18"/>
        </w:rPr>
        <w:t xml:space="preserve">Scatter plot of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for 81 pathways in HCC (TCGA-LIHC, tumor vs. normal, x-axis) versus HF (GSE57338, failing vs. non-failing, y-axis). Translation/ribosome-related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33) are shown as red points; non-translation pathways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48) as gray points. For translation pathways, Spearman ρ = −0.598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0.0003; permutation test with 10,000 iterations,</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0.0079). Dashed lines mark</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 0; the dotted diagonal (y = −x) represents perfect mirror symmetry. Twenty-four of 33 translation pathways fall in Quadrant IV (HCC↑ HF↓), representing the predominant mirror-direction pattern (binomial test</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This pathway-level convergence occurs despite distinct co-expression network organization (Fig. 1), indicating that shared functional themes can emerge from disease-specific regulatory architectures.</w:t>
      </w:r>
    </w:p>
    <w:bookmarkEnd w:id="16"/>
    <w:bookmarkStart w:id="20" w:name="X1e10413deeb6a2eb59b6a363e72c13b0cd5b8b4"/>
    <w:p>
      <w:pPr>
        <w:pStyle w:val="Heading3"/>
        <w:spacing w:line="480" w:lineRule="auto"/>
      </w:pPr>
      <w:r>
        <w:rPr>
          <w:rFonts w:ascii="Times New Roman" w:hAnsi="Times New Roman"/>
          <w:b/>
          <w:color w:val="000000"/>
          <w:sz w:val="22"/>
        </w:rPr>
        <w:t xml:space="preserve">Disease and cohort context influence the magnitude of translation-related remodeling</w:t>
      </w:r>
    </w:p>
    <w:p>
      <w:pPr>
        <w:pStyle w:val="FirstParagraph"/>
        <w:spacing w:line="480" w:lineRule="auto"/>
      </w:pPr>
      <w:r>
        <w:rPr>
          <w:rFonts w:ascii="Times New Roman" w:hAnsi="Times New Roman"/>
          <w:b w:val="0"/>
          <w:color w:val="000000"/>
          <w:sz w:val="22"/>
        </w:rPr>
        <w:t xml:space="preserve">The mirror perturbation observed in the GSE57338–TCGA-LIHC comparison (24/33 mirror pathways, ρ = −0.598) raises the question of whether this pattern is reproducible across independent cohorts — and, if not, what the sources of variability reveal about the underlying biology. To assess cross-cohort generalizability, the identical ssGSEA pipeline was applied to an independent HF cohort (GSE116250; 14 NF, 37 DCM, 13 ICM; RNA-seq).</w:t>
      </w:r>
    </w:p>
    <w:p>
      <w:pPr>
        <w:pStyle w:val="BodyText"/>
        <w:spacing w:line="480" w:lineRule="auto"/>
      </w:pPr>
      <w:r>
        <w:rPr>
          <w:rFonts w:ascii="Times New Roman" w:hAnsi="Times New Roman"/>
          <w:b w:val="0"/>
          <w:color w:val="000000"/>
          <w:sz w:val="22"/>
        </w:rPr>
        <w:t xml:space="preserve">The all-pathway Spearman correlation between GSE116250 HF effect sizes and TCGA-LIHC HCC effect sizes remained negative (ρ = −0.283,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0.011), preserving the overall cross-disease trend. However, the translation-pathway subset did not reproduce the magnitude of mirror perturbation observed in GSE57338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0.162; 14/33 mirror pathways vs. 24/33 in GSE57338). This discrepancy may reflect several contributing factors: (i)</w:t>
      </w:r>
      <w:r>
        <w:rPr>
          <w:rFonts w:ascii="Times New Roman" w:hAnsi="Times New Roman"/>
          <w:b w:val="0"/>
          <w:color w:val="000000"/>
          <w:sz w:val="22"/>
        </w:rPr>
        <w:t xml:space="preserve"> </w:t>
      </w:r>
      <w:r>
        <w:rPr>
          <w:rFonts w:ascii="Times New Roman" w:hAnsi="Times New Roman"/>
          <w:b w:val="0"/>
          <w:bCs/>
          <w:color w:val="000000"/>
          <w:sz w:val="22"/>
        </w:rPr>
        <w:t xml:space="preserve">disease etiology and severity</w:t>
      </w:r>
      <w:r>
        <w:rPr>
          <w:rFonts w:ascii="Times New Roman" w:hAnsi="Times New Roman"/>
          <w:b w:val="0"/>
          <w:color w:val="000000"/>
          <w:sz w:val="22"/>
        </w:rPr>
        <w:t xml:space="preserve"> </w:t>
      </w:r>
      <w:r>
        <w:rPr>
          <w:rFonts w:ascii="Times New Roman" w:hAnsi="Times New Roman"/>
          <w:b w:val="0"/>
          <w:color w:val="000000"/>
          <w:sz w:val="22"/>
        </w:rPr>
        <w:t xml:space="preserve">— GSE57338 comprises advanced HF patients requiring transplantation (DCM/ICM) with severe energetic failure, whereas GSE116250 includes a broader disease spectrum with differing severity distribution; transplant-stage HF may produce a more pronounced reduction in translation-related transcriptional activity; (ii)</w:t>
      </w:r>
      <w:r>
        <w:rPr>
          <w:rFonts w:ascii="Times New Roman" w:hAnsi="Times New Roman"/>
          <w:b w:val="0"/>
          <w:color w:val="000000"/>
          <w:sz w:val="22"/>
        </w:rPr>
        <w:t xml:space="preserve"> </w:t>
      </w:r>
      <w:r>
        <w:rPr>
          <w:rFonts w:ascii="Times New Roman" w:hAnsi="Times New Roman"/>
          <w:b w:val="0"/>
          <w:bCs/>
          <w:color w:val="000000"/>
          <w:sz w:val="22"/>
        </w:rPr>
        <w:t xml:space="preserve">platform</w:t>
      </w:r>
      <w:r>
        <w:rPr>
          <w:rFonts w:ascii="Times New Roman" w:hAnsi="Times New Roman"/>
          <w:b w:val="0"/>
          <w:color w:val="000000"/>
          <w:sz w:val="22"/>
        </w:rPr>
        <w:t xml:space="preserve"> </w:t>
      </w:r>
      <w:r>
        <w:rPr>
          <w:rFonts w:ascii="Times New Roman" w:hAnsi="Times New Roman"/>
          <w:b w:val="0"/>
          <w:color w:val="000000"/>
          <w:sz w:val="22"/>
        </w:rPr>
        <w:t xml:space="preserve">— microarray (GSE57338) vs. RNA-seq RPKM (GSE116250) may differentially affect pathway-level signal resolution; and (iii)</w:t>
      </w:r>
      <w:r>
        <w:rPr>
          <w:rFonts w:ascii="Times New Roman" w:hAnsi="Times New Roman"/>
          <w:b w:val="0"/>
          <w:color w:val="000000"/>
          <w:sz w:val="22"/>
        </w:rPr>
        <w:t xml:space="preserve"> </w:t>
      </w:r>
      <w:r>
        <w:rPr>
          <w:rFonts w:ascii="Times New Roman" w:hAnsi="Times New Roman"/>
          <w:b w:val="0"/>
          <w:bCs/>
          <w:color w:val="000000"/>
          <w:sz w:val="22"/>
        </w:rPr>
        <w:t xml:space="preserve">statistical power</w:t>
      </w:r>
      <w:r>
        <w:rPr>
          <w:rFonts w:ascii="Times New Roman" w:hAnsi="Times New Roman"/>
          <w:b w:val="0"/>
          <w:color w:val="000000"/>
          <w:sz w:val="22"/>
        </w:rPr>
        <w:t xml:space="preserve"> </w:t>
      </w:r>
      <w:r>
        <w:rPr>
          <w:rFonts w:ascii="Times New Roman" w:hAnsi="Times New Roman"/>
          <w:b w:val="0"/>
          <w:color w:val="000000"/>
          <w:sz w:val="22"/>
        </w:rPr>
        <w:t xml:space="preserve">— the smaller sample size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vs.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reduces precision for translation-subset comparisons. These factors collectively suggest that the mirror perturbation may represent a disease-state-associated transition whose magnitude varies with cohort characteristics, rather than a binary (present/absent) feature uniformly detectable across all HF populations. This context-dependent variability in the strength of translation-related remodeling is consistent with the disease-context-dependent framework.</w:t>
      </w:r>
    </w:p>
    <w:p>
      <w:pPr>
        <w:pStyle w:val="BodyText"/>
        <w:spacing w:line="480" w:lineRule="auto"/>
      </w:pPr>
      <w:r>
        <w:rPr>
          <w:rFonts w:ascii="Times New Roman" w:hAnsi="Times New Roman"/>
          <w:b w:val="0"/>
          <w:color w:val="000000"/>
          <w:sz w:val="22"/>
        </w:rPr>
        <w:t xml:space="preserve">The observed cross-cohort heterogeneity raised the question of whether the mirror perturbation could instead reflect constitutive transcriptional differences between cardiac and hepatic tissue, independent of the specific disease context. To distinguish disease-specific mirror perturbation from tissue-specific baseline characteristics, two same-organ disease comparisons were performed (Fig. 3). In the cardiac same-organ comparison (GSE141910; HCM vs. non-failing myocardium), translation pathway effect sizes showed no correlation with HCC (ρ = −0.036,</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0.840; 14/33 mirror pathways), consistent with a null distribution. The absence of mirror perturbation in hypertrophic cardiomyopathy argues against a generic cardiac disease effect, indicating that the cross-disease HF–HCC mirror perturbation is unlikely to be explained by baseline cardiac tissue-related expression differences alone. In the liver same-organ comparison (GSE89377; cirrhosis vs. normal liver), translation pathway effect sizes were positively correlated with HCC (ρ = +0.402,</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0.021; 9/33 mirror pathways), consistent with progressive activation of translation-related transcriptional programs during hepatocarcinogenesis. Together, these same-organ disease controls indicate that the mirror perturbation emerges within specific disease contexts rather than reflecting organ-level baseline differences. Collectively, these analyses indicate that the observed mirror perturbation is context-dependent, reproducible at the level of global pathway organization, and absent in same-organ disease comparisons.</w:t>
      </w:r>
    </w:p>
    <w:p>
      <w:pPr>
        <w:pStyle w:val="CaptionedFigure"/>
        <w:spacing w:line="480" w:lineRule="auto"/>
      </w:pPr>
      <w:r>
        <w:rPr>
          <w:rFonts w:ascii="Times New Roman" w:hAnsi="Times New Roman"/>
          <w:b w:val="0"/>
          <w:color w:val="000000"/>
          <w:sz w:val="22"/>
        </w:rPr>
        <w:drawing>
          <wp:inline>
            <wp:extent cx="5334000" cy="4572000"/>
            <wp:effectExtent b="0" l="0" r="0" t="0"/>
            <wp:docPr descr="Figure 3" title="" id="18" name="Picture"/>
            <a:graphic>
              <a:graphicData uri="http://schemas.openxmlformats.org/drawingml/2006/picture">
                <pic:pic>
                  <pic:nvPicPr>
                    <pic:cNvPr descr="figures/Figure_S5_Validation_SameOrgan_Controls.png" id="19" name="Picture"/>
                    <pic:cNvPicPr>
                      <a:picLocks noChangeArrowheads="1" noChangeAspect="1"/>
                    </pic:cNvPicPr>
                  </pic:nvPicPr>
                  <pic:blipFill>
                    <a:blip r:embed="rId17"/>
                    <a:stretch>
                      <a:fillRect/>
                    </a:stretch>
                  </pic:blipFill>
                  <pic:spPr bwMode="auto">
                    <a:xfrm>
                      <a:off x="0" y="0"/>
                      <a:ext cx="5334000" cy="4572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3</w:t>
      </w:r>
    </w:p>
    <w:p>
      <w:pPr>
        <w:pStyle w:val="BodyText"/>
        <w:spacing w:line="480" w:lineRule="auto"/>
        <w:jc w:val="left"/>
      </w:pPr>
      <w:r>
        <w:rPr>
          <w:rFonts w:ascii="Times New Roman" w:hAnsi="Times New Roman"/>
          <w:b/>
          <w:bCs/>
          <w:color w:val="000000"/>
          <w:sz w:val="18"/>
        </w:rPr>
        <w:t xml:space="preserve">Fig. 3 | Cohort dependency and disease-context analyses of cross-disease mirror perturbation.</w:t>
      </w:r>
      <w:r>
        <w:rPr>
          <w:rFonts w:ascii="Times New Roman" w:hAnsi="Times New Roman"/>
          <w:b/>
          <w:color w:val="000000"/>
          <w:sz w:val="18"/>
        </w:rPr>
        <w:t xml:space="preserve"> </w:t>
      </w:r>
      <w:r>
        <w:rPr>
          <w:rFonts w:ascii="Times New Roman" w:hAnsi="Times New Roman"/>
          <w:b/>
          <w:color w:val="000000"/>
          <w:sz w:val="18"/>
        </w:rPr>
        <w:t xml:space="preserve">Cross-disease Spearman correlation of pathway-level Cohen’s</w:t>
      </w:r>
      <w:r>
        <w:rPr>
          <w:rFonts w:ascii="Times New Roman" w:hAnsi="Times New Roman"/>
          <w:b/>
          <w:color w:val="000000"/>
          <w:sz w:val="18"/>
        </w:rPr>
        <w:t xml:space="preserve"> </w:t>
      </w:r>
      <w:r>
        <w:rPr>
          <w:rFonts w:ascii="Times New Roman" w:hAnsi="Times New Roman"/>
          <w:b/>
          <w:i/>
          <w:iCs/>
          <w:color w:val="000000"/>
          <w:sz w:val="18"/>
        </w:rPr>
        <w:t xml:space="preserve">d</w:t>
      </w:r>
      <w:r>
        <w:rPr>
          <w:rFonts w:ascii="Times New Roman" w:hAnsi="Times New Roman"/>
          <w:b/>
          <w:color w:val="000000"/>
          <w:sz w:val="18"/>
        </w:rPr>
        <w:t xml:space="preserve"> </w:t>
      </w:r>
      <w:r>
        <w:rPr>
          <w:rFonts w:ascii="Times New Roman" w:hAnsi="Times New Roman"/>
          <w:b/>
          <w:color w:val="000000"/>
          <w:sz w:val="18"/>
        </w:rPr>
        <w:t xml:space="preserve">effect sizes (x-axis: HCC, TCGA-LIHC) for 33 translation-related pathways (red) and 48 other pathways (gray).</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HF discovery cohort (GSE57338): ρ = −0.598, 24/33 mirror.</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Cardiac same-organ control (GSE141910, HCM vs. NF): ρ = −0.036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0.84) — no mirror perturbation, excluding a generic cardiac disease effect.</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Liver same-organ control (GSE89377, cirrhosis vs. normal): ρ = +0.402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0.021) — translation pathways positively correlated with HCC, consistent with progressive remodeling of translation-related programs during hepatocarcinogenesis.</w:t>
      </w:r>
      <w:r>
        <w:rPr>
          <w:rFonts w:ascii="Times New Roman" w:hAnsi="Times New Roman"/>
          <w:b/>
          <w:color w:val="000000"/>
          <w:sz w:val="18"/>
        </w:rPr>
        <w:t xml:space="preserve"> </w:t>
      </w:r>
      <w:r>
        <w:rPr>
          <w:rFonts w:ascii="Times New Roman" w:hAnsi="Times New Roman"/>
          <w:b/>
          <w:bCs/>
          <w:color w:val="000000"/>
          <w:sz w:val="18"/>
        </w:rPr>
        <w:t xml:space="preserve">d</w:t>
      </w:r>
      <w:r>
        <w:rPr>
          <w:rFonts w:ascii="Times New Roman" w:hAnsi="Times New Roman"/>
          <w:b/>
          <w:color w:val="000000"/>
          <w:sz w:val="18"/>
        </w:rPr>
        <w:t xml:space="preserve">, Independent HF cohort (GSE116250): overall cross-disease trend retained (all-pathway ρ = −0.283,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0.011); translation-subset shows cohort-dependent heterogeneity (ρ = +0.249, 14/33 mirror), indicating that the magnitude of mirror perturbation varies with disease etiology, severity, and platform. Mirror perturbation was absent in both same-organ comparisons, supporting disease-context dependence.</w:t>
      </w:r>
    </w:p>
    <w:bookmarkEnd w:id="20"/>
    <w:bookmarkStart w:id="24" w:name="X02ce305d1f65b16a947188421433840c43c55eb"/>
    <w:p>
      <w:pPr>
        <w:pStyle w:val="Heading3"/>
        <w:spacing w:line="480" w:lineRule="auto"/>
      </w:pPr>
      <w:r>
        <w:rPr>
          <w:rFonts w:ascii="Times New Roman" w:hAnsi="Times New Roman"/>
          <w:b/>
          <w:color w:val="000000"/>
          <w:sz w:val="22"/>
        </w:rPr>
        <w:t xml:space="preserve">Exploratory assessment of TATS clinical associations</w:t>
      </w:r>
    </w:p>
    <w:p>
      <w:pPr>
        <w:pStyle w:val="FirstParagraph"/>
        <w:spacing w:line="480" w:lineRule="auto"/>
      </w:pPr>
      <w:r>
        <w:rPr>
          <w:rFonts w:ascii="Times New Roman" w:hAnsi="Times New Roman"/>
          <w:b w:val="0"/>
          <w:color w:val="000000"/>
          <w:sz w:val="22"/>
        </w:rPr>
        <w:t xml:space="preserve">Given that translation-related programs may reflect biological states rather than prognostic determinants specific to individual diseases, we explored whether a translation-associated transcriptional score (TATS) — defined as the mean z-score normalized expression of the 227 green module genes — showed clinical outcome associations in independent HCC cohorts as an exploratory analysis. TATS was evaluated in HCC rather than HF because available HCC cohorts provide standardized survival annotation, whereas GSE57338 represents a cross-sectional transplant population without comparable long-term outcome data.</w:t>
      </w:r>
    </w:p>
    <w:p>
      <w:pPr>
        <w:pStyle w:val="BodyText"/>
        <w:spacing w:line="480" w:lineRule="auto"/>
      </w:pPr>
      <w:r>
        <w:rPr>
          <w:rFonts w:ascii="Times New Roman" w:hAnsi="Times New Roman"/>
          <w:b w:val="0"/>
          <w:color w:val="000000"/>
          <w:sz w:val="22"/>
        </w:rPr>
        <w:t xml:space="preserve">TATS was not significantly associated with overall survival in GSE141198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94 events;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Fig. 4a). When analyzed as a continuous variable, TATS was also non-significant in Cox regression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Stratification by etiology (HBV, HCV, NBNC) revealed no significant association between TATS and survival in any subgroup. Across all three independent HCC cohorts — GSE141198, 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 TATS showed no significant survival association. The limited survival association of TATS indicates that translation-related module activity, as measured by aggregate gene expression, was not associated with overall survival in the examined HCC cohorts. This finding is consistent with the disease-context-dependent interpretation: the transcriptional organization of translation-related genes may differ between HF and HCC, and their aggregate expression level in tumor tissue may not capture the clinical dimension most relevant to HCC outcome.</w:t>
      </w:r>
    </w:p>
    <w:p>
      <w:pPr>
        <w:pStyle w:val="CaptionedFigure"/>
        <w:spacing w:line="480" w:lineRule="auto"/>
      </w:pPr>
      <w:r>
        <w:rPr>
          <w:rFonts w:ascii="Times New Roman" w:hAnsi="Times New Roman"/>
          <w:b w:val="0"/>
          <w:color w:val="000000"/>
          <w:sz w:val="22"/>
        </w:rPr>
        <w:drawing>
          <wp:inline>
            <wp:extent cx="5334000" cy="2667000"/>
            <wp:effectExtent b="0" l="0" r="0" t="0"/>
            <wp:docPr descr="Figure 4" title="" id="22" name="Picture"/>
            <a:graphic>
              <a:graphicData uri="http://schemas.openxmlformats.org/drawingml/2006/picture">
                <pic:pic>
                  <pic:nvPicPr>
                    <pic:cNvPr descr="figures/Figure4_TATS_Validation.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4</w:t>
      </w:r>
    </w:p>
    <w:p>
      <w:pPr>
        <w:pStyle w:val="BodyText"/>
        <w:spacing w:line="480" w:lineRule="auto"/>
        <w:jc w:val="left"/>
      </w:pPr>
      <w:r>
        <w:rPr>
          <w:rFonts w:ascii="Times New Roman" w:hAnsi="Times New Roman"/>
          <w:b/>
          <w:bCs/>
          <w:color w:val="000000"/>
          <w:sz w:val="18"/>
        </w:rPr>
        <w:t xml:space="preserve">Fig. 4 | TATS exploratory clinical association and hub gene significance.</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Kaplan–Meier overall survival curves for TATS (median split) in the GSE141198 HCC cohort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94 events). Log-rank</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0.303; Cox HR = 1.68, 95% CI [0.67, 4.21],</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0.265. TATS was not significantly associated with overall survival.</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Gene Significance (Pearson correlation with HF status) for the top ten green module hub genes in GSE57338. All hub genes show negative Gene Significance, consistent with reduced expression of translation-associated hub genes in HF.</w:t>
      </w:r>
    </w:p>
    <w:bookmarkEnd w:id="24"/>
    <w:bookmarkStart w:id="28" w:name="Xf77b5fd22659b51cc58db1acf92e254d9aa3f77"/>
    <w:p>
      <w:pPr>
        <w:pStyle w:val="Heading3"/>
        <w:spacing w:line="480" w:lineRule="auto"/>
      </w:pPr>
      <w:r>
        <w:rPr>
          <w:rFonts w:ascii="Times New Roman" w:hAnsi="Times New Roman"/>
          <w:b/>
          <w:color w:val="000000"/>
          <w:sz w:val="22"/>
        </w:rPr>
        <w:t xml:space="preserve">Regulatory associations with translation-related transcriptional programs</w:t>
      </w:r>
    </w:p>
    <w:p>
      <w:pPr>
        <w:pStyle w:val="FirstParagraph"/>
        <w:spacing w:line="480" w:lineRule="auto"/>
      </w:pPr>
      <w:r>
        <w:rPr>
          <w:rFonts w:ascii="Times New Roman" w:hAnsi="Times New Roman"/>
          <w:b w:val="0"/>
          <w:color w:val="000000"/>
          <w:sz w:val="22"/>
        </w:rPr>
        <w:t xml:space="preserve">Given that translation-related programs exhibit disease-specific network organization and pathway-level mirror perturbation but limited clinical prognostic value, we next investigated which transcriptional programs are associated with translation-related transcriptional program activity. To address this, we performed systematic transcription factor (TF)–TATS correlation analysis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Nineteen candidate TFs were selected, encompassing stress response-related TFs (ATF4, DDIT3, XBP1, HIF1A, NFE2L2, TP53), cell-cycle regulators (E2F family, E2F1–E2F8), and growth/proliferation regulators (MYC, MYCN, MYCL, MTOR, RPTOR).</w:t>
      </w:r>
    </w:p>
    <w:p>
      <w:pPr>
        <w:pStyle w:val="BodyText"/>
        <w:spacing w:line="480" w:lineRule="auto"/>
      </w:pPr>
      <w:r>
        <w:rPr>
          <w:rFonts w:ascii="Times New Roman" w:hAnsi="Times New Roman"/>
          <w:b w:val="0"/>
          <w:color w:val="000000"/>
          <w:sz w:val="22"/>
        </w:rPr>
        <w:t xml:space="preserve">At the pathway activity level,</w:t>
      </w:r>
      <w:r>
        <w:rPr>
          <w:rFonts w:ascii="Times New Roman" w:hAnsi="Times New Roman"/>
          <w:b w:val="0"/>
          <w:color w:val="000000"/>
          <w:sz w:val="22"/>
        </w:rPr>
        <w:t xml:space="preserve"> </w:t>
      </w:r>
      <w:r>
        <w:rPr>
          <w:rFonts w:ascii="Times New Roman" w:hAnsi="Times New Roman"/>
          <w:b w:val="0"/>
          <w:bCs/>
          <w:color w:val="000000"/>
          <w:sz w:val="22"/>
        </w:rPr>
        <w:t xml:space="preserve">MYC target pathway activity showed the strongest overall correlation with TATS</w:t>
      </w:r>
      <w:r>
        <w:rPr>
          <w:rFonts w:ascii="Times New Roman" w:hAnsi="Times New Roman"/>
          <w:b w:val="0"/>
          <w:color w:val="000000"/>
          <w:sz w:val="22"/>
        </w:rPr>
        <w:t xml:space="preserve"> </w:t>
      </w:r>
      <w:r>
        <w:rPr>
          <w:rFonts w:ascii="Times New Roman" w:hAnsi="Times New Roman"/>
          <w:b w:val="0"/>
          <w:color w:val="000000"/>
          <w:sz w:val="22"/>
        </w:rPr>
        <w:t xml:space="preserve">(MYC Targets V2: ρ = +0.753,</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MYC Targets V1: ρ = +0.459,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Fig. 5b), showing a substantially stronger correlation than MYC mRNA level alone (ρ = +0.255). This discrepancy between TF mRNA level and target pathway activity may reflect regulation of MYC pathway activity beyond transcript abundance and the statistical benefit of aggregating multiple target genes into a pathway score. To evaluate whether the MYC Targets V2–TATS association was driven by shared gene representation rather than pathway-level concordance, we quantified the gene overlap between the TATS constituent genes (227 green module genes) and each Hallmark pathway gene set (Additional file 11: Table S7). MYC Targets V2 showed 9 overlapping genes (4.0% of TATS; Jaccard index = 0.033), MYC Targets V1 showed 12 (5.3%), and E2F Targets showed 4 (1.8%). De-overlap sensitivity analysis — removing the nine shared genes from TATS and recomputing all TF–TATS correlations — indicated that the correlation pattern remained similar: ATF4–TATS ρ = 0.499 (vs. 0.500 original), MYC mRNA–TATS ρ = 0.223 (vs. 0.255) (Additional file 11: Table S7). Of the nine overlapping genes between TATS and MYC Targets V2, eight were present in the GSE141198 expression matrix (one gene was absent due to platform annotation filtering). TATS-side de-overlap — removing these eight genes from the TATS gene set, while the ssGSEA-based MYC Targets V2 pathway score (which aggregates over the full Hallmark gene set via the GSVA algorithm) was unchanged — indicated that the MYC Targets V2–TATS association remained robust (de-overlap ρ = 0.714, bootstrap 95% CI [0.620, 0.786]; original ρ = 0.753, bootstrap 95% CI [0.666, 0.817]), consistent with reduced likelihood that the pathway-level association is solely explained by shared genes. E2F Targets (ρ = +0.409,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and MTORC1 Signaling (ρ = +0.335,</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 pathway activities were also positively associated with TATS, consistent with the proliferative association of translation-related transcriptional remodeling.</w:t>
      </w:r>
    </w:p>
    <w:p>
      <w:pPr>
        <w:pStyle w:val="BodyText"/>
        <w:spacing w:line="480" w:lineRule="auto"/>
      </w:pPr>
      <w:r>
        <w:rPr>
          <w:rFonts w:ascii="Times New Roman" w:hAnsi="Times New Roman"/>
          <w:b w:val="0"/>
          <w:color w:val="000000"/>
          <w:sz w:val="22"/>
        </w:rPr>
        <w:t xml:space="preserve">At the individual TF expression level, eleven of nineteen TFs were significantly correlated with TATS at FDR &lt; 0.05. Among these,</w:t>
      </w:r>
      <w:r>
        <w:rPr>
          <w:rFonts w:ascii="Times New Roman" w:hAnsi="Times New Roman"/>
          <w:b w:val="0"/>
          <w:color w:val="000000"/>
          <w:sz w:val="22"/>
        </w:rPr>
        <w:t xml:space="preserve"> </w:t>
      </w:r>
      <w:r>
        <w:rPr>
          <w:rFonts w:ascii="Times New Roman" w:hAnsi="Times New Roman"/>
          <w:b w:val="0"/>
          <w:bCs/>
          <w:color w:val="000000"/>
          <w:sz w:val="22"/>
        </w:rPr>
        <w:t xml:space="preserve">ATF4 showed the strongest association among individual TF transcripts</w:t>
      </w:r>
      <w:r>
        <w:rPr>
          <w:rFonts w:ascii="Times New Roman" w:hAnsi="Times New Roman"/>
          <w:b w:val="0"/>
          <w:color w:val="000000"/>
          <w:sz w:val="22"/>
        </w:rPr>
        <w:t xml:space="preserve"> </w:t>
      </w:r>
      <w:r>
        <w:rPr>
          <w:rFonts w:ascii="Times New Roman" w:hAnsi="Times New Roman"/>
          <w:b w:val="0"/>
          <w:color w:val="000000"/>
          <w:sz w:val="22"/>
        </w:rPr>
        <w:t xml:space="preserve">(ρ = +0.500, FDR &lt; 0.0001; bootstrap 95% CI [0.359, 0.621]; Fig. 5a). ATF4 is a central transcription factor of the integrated stress response (ISR), a conserved signaling cascade associated with stress-responsive transcriptional regulation. Additional ISR and unfolded protein response (UPR)-related TFs were also significantly associated with TATS: DDIT3 (CHOP; ρ = +0.338, FDR &lt; 0.0001; bootstrap 95% CI [0.192, 0.475]) and XBP1 (ρ = +0.180, FDR = 0.050), indicating co-association of ISR-related transcriptional programs rather than isolated ATF4 upregulation. Among the E2F family, multiple members showed positive correlations: E2F1 (ρ = +0.352, FDR &lt; 0.0001), E2F2 (ρ = +0.291, FDR = 0.001), E2F3 (ρ = +0.270, FDR = 0.003), E2F4 (ρ = +0.202, FDR = 0.029), and E2F6 (ρ = +0.191, FDR = 0.038). NFE2L2 was negatively correlated with TATS (ρ = −0.280, FDR = 0.002), while MYCL showed the strongest negative association (ρ = −0.388, FDR &lt; 0.0001). Among the remaining TFs, MYC mRNA showed a significant but modest individual correlation (ρ = +0.255, FDR = 0.004; see also pathway-level MYC activity above), while E2F5 (ρ = +0.101, FDR = 0.318), E2F7 (ρ = −0.001, FDR = 0.988), E2F8 (ρ = +0.098, FDR = 0.318), MYCN (ρ = +0.001, FDR = 0.989), and RPTOR (ρ = +0.166, FDR = 0.069) showed weak or non-significant individual associations. HIF1A (ρ = −0.039, FDR = 0.756), MTOR (ρ = +0.021, FDR = 0.895), and TP53 (ρ = +0.041, FDR = 0.756) showed no significant correlation with TATS in this cohort. Complete TF–TATS correlation statistics for all 19 candidate TFs are provided in Additional file 10: Table S6.</w:t>
      </w:r>
    </w:p>
    <w:p>
      <w:pPr>
        <w:pStyle w:val="BodyText"/>
        <w:spacing w:line="480" w:lineRule="auto"/>
      </w:pPr>
      <w:r>
        <w:rPr>
          <w:rFonts w:ascii="Times New Roman" w:hAnsi="Times New Roman"/>
          <w:b w:val="0"/>
          <w:color w:val="000000"/>
          <w:sz w:val="22"/>
        </w:rPr>
        <w:t xml:space="preserve">These results identify two associated transcriptional dimensions linked to translation-related transcriptional programs in HCC: (i)</w:t>
      </w:r>
      <w:r>
        <w:rPr>
          <w:rFonts w:ascii="Times New Roman" w:hAnsi="Times New Roman"/>
          <w:b w:val="0"/>
          <w:color w:val="000000"/>
          <w:sz w:val="22"/>
        </w:rPr>
        <w:t xml:space="preserve"> </w:t>
      </w:r>
      <w:r>
        <w:rPr>
          <w:rFonts w:ascii="Times New Roman" w:hAnsi="Times New Roman"/>
          <w:b w:val="0"/>
          <w:bCs/>
          <w:color w:val="000000"/>
          <w:sz w:val="22"/>
        </w:rPr>
        <w:t xml:space="preserve">proliferative demand</w:t>
      </w:r>
      <w:r>
        <w:rPr>
          <w:rFonts w:ascii="Times New Roman" w:hAnsi="Times New Roman"/>
          <w:b w:val="0"/>
          <w:color w:val="000000"/>
          <w:sz w:val="22"/>
        </w:rPr>
        <w:t xml:space="preserve"> </w:t>
      </w:r>
      <w:r>
        <w:rPr>
          <w:rFonts w:ascii="Times New Roman" w:hAnsi="Times New Roman"/>
          <w:b w:val="0"/>
          <w:color w:val="000000"/>
          <w:sz w:val="22"/>
        </w:rPr>
        <w:t xml:space="preserve">— MYC target pathway activity (ρ = +0.753), reflecting the association between proliferative signaling and translation-related transcriptional programs; and (ii)</w:t>
      </w:r>
      <w:r>
        <w:rPr>
          <w:rFonts w:ascii="Times New Roman" w:hAnsi="Times New Roman"/>
          <w:b w:val="0"/>
          <w:color w:val="000000"/>
          <w:sz w:val="22"/>
        </w:rPr>
        <w:t xml:space="preserve"> </w:t>
      </w:r>
      <w:r>
        <w:rPr>
          <w:rFonts w:ascii="Times New Roman" w:hAnsi="Times New Roman"/>
          <w:b w:val="0"/>
          <w:bCs/>
          <w:color w:val="000000"/>
          <w:sz w:val="22"/>
        </w:rPr>
        <w:t xml:space="preserve">stress-responsive signaling</w:t>
      </w:r>
      <w:r>
        <w:rPr>
          <w:rFonts w:ascii="Times New Roman" w:hAnsi="Times New Roman"/>
          <w:b w:val="0"/>
          <w:color w:val="000000"/>
          <w:sz w:val="22"/>
        </w:rPr>
        <w:t xml:space="preserve"> </w:t>
      </w:r>
      <w:r>
        <w:rPr>
          <w:rFonts w:ascii="Times New Roman" w:hAnsi="Times New Roman"/>
          <w:b w:val="0"/>
          <w:color w:val="000000"/>
          <w:sz w:val="22"/>
        </w:rPr>
        <w:t xml:space="preserve">— ATF4/ISR (ρ = +0.500), co-associated with DDIT3 and XBP1, linking cellular stress adaptation to translation-related transcriptional changes. These dimensions are complementary rather than competing: MYC pathway activity (ρ = +0.753) and ATF4 expression (ρ = +0.500) represent distinct regulatory layers — proliferative pathway output and stress-responsive transcriptional control, respectively — that may co-occur with translation-related remodeling in HCC. These associations are correlational and require experimental validation to establish causality.</w:t>
      </w:r>
    </w:p>
    <w:p>
      <w:pPr>
        <w:pStyle w:val="CaptionedFigure"/>
        <w:spacing w:line="480" w:lineRule="auto"/>
      </w:pPr>
      <w:r>
        <w:rPr>
          <w:rFonts w:ascii="Times New Roman" w:hAnsi="Times New Roman"/>
          <w:b w:val="0"/>
          <w:color w:val="000000"/>
          <w:sz w:val="22"/>
        </w:rPr>
        <w:drawing>
          <wp:inline>
            <wp:extent cx="5334000" cy="5067299"/>
            <wp:effectExtent b="0" l="0" r="0" t="0"/>
            <wp:docPr descr="Figure 5" title="" id="26" name="Picture"/>
            <a:graphic>
              <a:graphicData uri="http://schemas.openxmlformats.org/drawingml/2006/picture">
                <pic:pic>
                  <pic:nvPicPr>
                    <pic:cNvPr descr="figures/Figure5_Combined.png" id="27" name="Picture"/>
                    <pic:cNvPicPr>
                      <a:picLocks noChangeArrowheads="1" noChangeAspect="1"/>
                    </pic:cNvPicPr>
                  </pic:nvPicPr>
                  <pic:blipFill>
                    <a:blip r:embed="rId25"/>
                    <a:stretch>
                      <a:fillRect/>
                    </a:stretch>
                  </pic:blipFill>
                  <pic:spPr bwMode="auto">
                    <a:xfrm>
                      <a:off x="0" y="0"/>
                      <a:ext cx="5334000" cy="5067299"/>
                    </a:xfrm>
                    <a:prstGeom prst="rect">
                      <a:avLst/>
                    </a:prstGeom>
                    <a:noFill/>
                    <a:ln w="9525">
                      <a:noFill/>
                      <a:headEnd/>
                      <a:tailEnd/>
                    </a:ln>
                  </pic:spPr>
                </pic:pic>
              </a:graphicData>
            </a:graphic>
          </wp:inline>
        </w:drawing>
      </w:r>
    </w:p>
    <w:p>
      <w:pPr>
        <w:pStyle w:val="ImageCaption"/>
        <w:spacing w:line="480" w:lineRule="auto"/>
      </w:pPr>
      <w:r>
        <w:rPr>
          <w:rFonts w:ascii="Times New Roman" w:hAnsi="Times New Roman"/>
          <w:b w:val="0"/>
          <w:color w:val="000000"/>
          <w:sz w:val="22"/>
        </w:rPr>
        <w:t xml:space="preserve">Figure 5</w:t>
      </w:r>
    </w:p>
    <w:p>
      <w:pPr>
        <w:pStyle w:val="BodyText"/>
        <w:spacing w:line="480" w:lineRule="auto"/>
        <w:jc w:val="left"/>
      </w:pPr>
      <w:r>
        <w:rPr>
          <w:rFonts w:ascii="Times New Roman" w:hAnsi="Times New Roman"/>
          <w:b/>
          <w:bCs/>
          <w:color w:val="000000"/>
          <w:sz w:val="18"/>
        </w:rPr>
        <w:t xml:space="preserve">Fig. 5 | Transcription factor associations, pathway activity, and conceptual model of translation-related transcriptional remodeling in HCC.</w:t>
      </w:r>
      <w:r>
        <w:rPr>
          <w:rFonts w:ascii="Times New Roman" w:hAnsi="Times New Roman"/>
          <w:b/>
          <w:color w:val="000000"/>
          <w:sz w:val="18"/>
        </w:rPr>
        <w:t xml:space="preserve"> </w:t>
      </w:r>
      <w:r>
        <w:rPr>
          <w:rFonts w:ascii="Times New Roman" w:hAnsi="Times New Roman"/>
          <w:b/>
          <w:bCs/>
          <w:color w:val="000000"/>
          <w:sz w:val="18"/>
        </w:rPr>
        <w:t xml:space="preserve">a</w:t>
      </w:r>
      <w:r>
        <w:rPr>
          <w:rFonts w:ascii="Times New Roman" w:hAnsi="Times New Roman"/>
          <w:b/>
          <w:color w:val="000000"/>
          <w:sz w:val="18"/>
        </w:rPr>
        <w:t xml:space="preserve">, Spearman correlation of 19 candidate transcription factors with TATS in GSE141198 tumor samples (</w:t>
      </w:r>
      <w:r>
        <w:rPr>
          <w:rFonts w:ascii="Times New Roman" w:hAnsi="Times New Roman"/>
          <w:b/>
          <w:i/>
          <w:iCs/>
          <w:color w:val="000000"/>
          <w:sz w:val="18"/>
        </w:rPr>
        <w:t xml:space="preserve">n</w:t>
      </w:r>
      <w:r>
        <w:rPr>
          <w:rFonts w:ascii="Times New Roman" w:hAnsi="Times New Roman"/>
          <w:b/>
          <w:color w:val="000000"/>
          <w:sz w:val="18"/>
        </w:rPr>
        <w:t xml:space="preserve"> </w:t>
      </w:r>
      <w:r>
        <w:rPr>
          <w:rFonts w:ascii="Times New Roman" w:hAnsi="Times New Roman"/>
          <w:b/>
          <w:color w:val="000000"/>
          <w:sz w:val="18"/>
        </w:rPr>
        <w:t xml:space="preserve">= 148). Red bars: positive correlation (FDR &lt; 0.05); blue bars: negative correlation (FDR &lt; 0.05); gray: not significant. ATF4 is the strongest individual TF correlate (ρ = +0.500, FDR &lt; 0.0001).</w:t>
      </w:r>
      <w:r>
        <w:rPr>
          <w:rFonts w:ascii="Times New Roman" w:hAnsi="Times New Roman"/>
          <w:b/>
          <w:color w:val="000000"/>
          <w:sz w:val="18"/>
        </w:rPr>
        <w:t xml:space="preserve"> </w:t>
      </w:r>
      <w:r>
        <w:rPr>
          <w:rFonts w:ascii="Times New Roman" w:hAnsi="Times New Roman"/>
          <w:b/>
          <w:bCs/>
          <w:color w:val="000000"/>
          <w:sz w:val="18"/>
        </w:rPr>
        <w:t xml:space="preserve">b</w:t>
      </w:r>
      <w:r>
        <w:rPr>
          <w:rFonts w:ascii="Times New Roman" w:hAnsi="Times New Roman"/>
          <w:b/>
          <w:color w:val="000000"/>
          <w:sz w:val="18"/>
        </w:rPr>
        <w:t xml:space="preserve">, Spearman correlation of Hallmark pathway ssGSEA scores with TATS. MYC Targets V2 pathway activity shows the strongest overall association (ρ = +0.753,</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&lt; 0.0001), exceeding MYC mRNA level alone (ρ = +0.255). ATF4/ISR (stress-responsive) and MYC (proliferative) represent complementary transcriptional dimensions associated with translation-related transcriptional remodeling.</w:t>
      </w:r>
      <w:r>
        <w:rPr>
          <w:rFonts w:ascii="Times New Roman" w:hAnsi="Times New Roman"/>
          <w:b/>
          <w:color w:val="000000"/>
          <w:sz w:val="18"/>
        </w:rPr>
        <w:t xml:space="preserve"> </w:t>
      </w:r>
      <w:r>
        <w:rPr>
          <w:rFonts w:ascii="Times New Roman" w:hAnsi="Times New Roman"/>
          <w:b/>
          <w:bCs/>
          <w:color w:val="000000"/>
          <w:sz w:val="18"/>
        </w:rPr>
        <w:t xml:space="preserve">c</w:t>
      </w:r>
      <w:r>
        <w:rPr>
          <w:rFonts w:ascii="Times New Roman" w:hAnsi="Times New Roman"/>
          <w:b/>
          <w:color w:val="000000"/>
          <w:sz w:val="18"/>
        </w:rPr>
        <w:t xml:space="preserve">, Conceptual model of disease-context-dependent remodeling. (Top) HF and HCC exhibit distinct co-expression network organization (green module, 227 genes, ribosome biogenesis vs. blue module, 1,315 genes, cytoplasmic translation) with limited gene-level overlap (Fisher’s exact test, OR = 1.7,</w:t>
      </w:r>
      <w:r>
        <w:rPr>
          <w:rFonts w:ascii="Times New Roman" w:hAnsi="Times New Roman"/>
          <w:b/>
          <w:color w:val="000000"/>
          <w:sz w:val="18"/>
        </w:rPr>
        <w:t xml:space="preserve"> </w:t>
      </w:r>
      <w:r>
        <w:rPr>
          <w:rFonts w:ascii="Times New Roman" w:hAnsi="Times New Roman"/>
          <w:b/>
          <w:i/>
          <w:iCs/>
          <w:color w:val="000000"/>
          <w:sz w:val="18"/>
        </w:rPr>
        <w:t xml:space="preserve">P</w:t>
      </w:r>
      <w:r>
        <w:rPr>
          <w:rFonts w:ascii="Times New Roman" w:hAnsi="Times New Roman"/>
          <w:b/>
          <w:color w:val="000000"/>
          <w:sz w:val="18"/>
        </w:rPr>
        <w:t xml:space="preserve"> </w:t>
      </w:r>
      <w:r>
        <w:rPr>
          <w:rFonts w:ascii="Times New Roman" w:hAnsi="Times New Roman"/>
          <w:b/>
          <w:color w:val="000000"/>
          <w:sz w:val="18"/>
        </w:rPr>
        <w:t xml:space="preserve">= 0.039), yet converge on opposite-direction pathway perturbation (24/33 mirror pathways, ρ = −0.598). (Middle) Same-organ disease controls confirm disease-context dependence: HCM vs. NF shows no mirror perturbation (ρ = −0.036), excluding a broad cardiac disease-related explanation; cirrhosis vs. normal shows positive correlation (ρ = +0.402), consistent with progressive remodeling of translation-related programs during hepatocarcinogenesis; an independent HF cohort (GSE116250) shows partial replication (14/33 mirror pathways), indicating severity/etiology-dependent variability. (Bottom) Two complementary candidate regulatory dimensions associated with TATS in HCC: stress-responsive (ATF4/ISR, ρ = +0.500) and proliferative (MYC pathway, ρ = +0.753).</w:t>
      </w:r>
    </w:p>
    <w:bookmarkEnd w:id="28"/>
    <w:bookmarkEnd w:id="29"/>
    <w:bookmarkStart w:id="30" w:name="discussion"/>
    <w:p>
      <w:pPr>
        <w:pStyle w:val="Heading2"/>
        <w:spacing w:line="480" w:lineRule="auto"/>
      </w:pPr>
      <w:r>
        <w:rPr>
          <w:rFonts w:ascii="Times New Roman" w:hAnsi="Times New Roman"/>
          <w:b/>
          <w:color w:val="000000"/>
          <w:sz w:val="22"/>
        </w:rPr>
        <w:t xml:space="preserve">Discussion</w:t>
      </w:r>
    </w:p>
    <w:p>
      <w:pPr>
        <w:pStyle w:val="FirstParagraph"/>
        <w:spacing w:line="480" w:lineRule="auto"/>
      </w:pPr>
      <w:r>
        <w:rPr>
          <w:rFonts w:ascii="Times New Roman" w:hAnsi="Times New Roman"/>
          <w:b w:val="0"/>
          <w:color w:val="000000"/>
          <w:sz w:val="22"/>
        </w:rPr>
        <w:t xml:space="preserve">This study investigated whether translation-related transcriptional programs are organized through conserved network architectures or disease-specific remodeling across heart failure and hepatocellular carcinoma — two diseases with fundamentally opposing translational demands. Three principal findings emerge. First, systematic WGCNA-based module discovery identified translation-related co-expression modules in both diseases (HF green module, 227 genes, ribosome biogenesis; HCC blue module, 1,315 genes, cytoplasmic translation), but their network organization — module size, gene composition, and hub gene identity — differed substantially, with limited gene-level overlap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Second, despite this network-level divergence, translation pathways exhibited convergent mirror perturbation at the pathway level: 24 of 33 translation-related pathways showed opposite-direction changes in HCC and HF (Spearman ρ = −0.598,</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0.0003), representing the strongest quantitative signal in this study. Third, this mirror perturbation was absent in same-organ disease controls (HCM vs. NF, ρ = −0.036; cirrhosis vs. normal, ρ = +0.402), supporting disease-context dependence rather than organ-specific baseline confounding, and showed cohort-dependent variability in an independent HF cohort (GSE116250, 14/33 mirror pathways). Collectively, these findings identify a pattern of disease-context-dependent remodeling: translation-related transcriptional programs are independently identifiable across diseases but organized through distinct network organization, with shared functional themes emerging at the pathway level and perturbation direction shaped by disease context.</w:t>
      </w:r>
    </w:p>
    <w:p>
      <w:pPr>
        <w:pStyle w:val="BodyText"/>
        <w:spacing w:line="480" w:lineRule="auto"/>
      </w:pPr>
      <w:r>
        <w:rPr>
          <w:rFonts w:ascii="Times New Roman" w:hAnsi="Times New Roman"/>
          <w:b w:val="0"/>
          <w:color w:val="000000"/>
          <w:sz w:val="22"/>
        </w:rPr>
        <w:t xml:space="preserve">The contrast between distinct network organization and convergent pathway-level alterations is the central conceptual finding of this study. Previous cross-disease transcriptomic studies have typically sought either conserved modules or differentially expressed genes; our analysis at multiple resolutions — co-expression network topology, module composition, and aggregated pathway activity — indicates that conservation and divergence coexist at different levels of biological organization. The HF green module (227 genes, ribosome biogenesis) and the HCC blue module (1,315 genes, cytoplasmic translation) share translation-related functional themes at the GO enrichment level, yet their gene composition, hub gene identity, and regulatory architecture are disease-specific. This suggests that distinct regulatory networks may independently converge on similar biological processes under different disease contexts, rather than involving an identical conserved module altered in opposite directions. The mirror perturbation observed at the pathway level (ρ = −0.598) therefore reflects convergence of functional output — translation-related transcriptional suppression in the energy-depleted failing myocardium and activation of translation-related transcriptional programs in the proliferative HCC microenvironment — observed across disease-specific network configurations. We refer to this descriptive pattern as disease-context-dependent remodeling: shared functional themes, disease-specific network organization, and opposite perturbation directions. This framework differs fundamentally from the</w:t>
      </w:r>
      <w:r>
        <w:rPr>
          <w:rFonts w:ascii="Times New Roman" w:hAnsi="Times New Roman"/>
          <w:b w:val="0"/>
          <w:color w:val="000000"/>
          <w:sz w:val="22"/>
        </w:rPr>
        <w:t xml:space="preserve"> </w:t>
      </w:r>
      <w:r>
        <w:rPr>
          <w:rFonts w:ascii="Times New Roman" w:hAnsi="Times New Roman"/>
          <w:b w:val="0"/>
          <w:color w:val="000000"/>
          <w:sz w:val="22"/>
        </w:rPr>
        <w:t xml:space="preserve">“conserved module”</w:t>
      </w:r>
      <w:r>
        <w:rPr>
          <w:rFonts w:ascii="Times New Roman" w:hAnsi="Times New Roman"/>
          <w:b w:val="0"/>
          <w:color w:val="000000"/>
          <w:sz w:val="22"/>
        </w:rPr>
        <w:t xml:space="preserve"> </w:t>
      </w:r>
      <w:r>
        <w:rPr>
          <w:rFonts w:ascii="Times New Roman" w:hAnsi="Times New Roman"/>
          <w:b w:val="0"/>
          <w:color w:val="000000"/>
          <w:sz w:val="22"/>
        </w:rPr>
        <w:t xml:space="preserve">model and provides a more nuanced lens for cross-disease transcriptomic comparisons.</w:t>
      </w:r>
    </w:p>
    <w:p>
      <w:pPr>
        <w:pStyle w:val="BodyText"/>
        <w:spacing w:line="480" w:lineRule="auto"/>
      </w:pPr>
      <w:r>
        <w:rPr>
          <w:rFonts w:ascii="Times New Roman" w:hAnsi="Times New Roman"/>
          <w:b w:val="0"/>
          <w:color w:val="000000"/>
          <w:sz w:val="22"/>
        </w:rPr>
        <w:t xml:space="preserve">The same-organ disease controls provide critical context for this interpretation. The absence of mirror perturbation in hypertrophic cardiomyopathy (GSE141910; ρ = −0.036) argues against a generic cardiac disease effect, while the positive correlation in cirrhosis (GSE89377; ρ = +0.402) is consistent with progressive remodeling of translation-related transcriptional programs across hepatocarcinogenesis-associated conditions. These controls indicate that the HF–HCC mirror perturbation reflects disease-context-dependent remodeling rather than constitutive tissue-specific transcriptional programs — a distinction that single-disease analyses cannot resolve.</w:t>
      </w:r>
    </w:p>
    <w:p>
      <w:pPr>
        <w:pStyle w:val="BodyText"/>
        <w:spacing w:line="480" w:lineRule="auto"/>
      </w:pPr>
      <w:r>
        <w:rPr>
          <w:rFonts w:ascii="Times New Roman" w:hAnsi="Times New Roman"/>
          <w:b w:val="0"/>
          <w:color w:val="000000"/>
          <w:sz w:val="22"/>
        </w:rPr>
        <w:t xml:space="preserve">The translation-focused pathway subset exhibited cohort-dependent heterogeneity: the mirror perturbation was prominent in the discovery cohort (GSE57338, 24/33 mirror pathways, ρ = −0.598) but did not reproduce the same magnitude in an independent HF cohort (GSE116250, 14/33 mirror pathways; translation-subset ρ = +0.249,</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0.162). This cohort-dependent heterogeneity suggests that the magnitude of translation-related remodeling varies with disease severity, etiology composition, and cohort characteristics. Therefore, the cross-disease mirror pattern should be interpreted as a context-dependent observation rather than a universal feature of HF. Transplant-stage HF (GSE57338) may exhibit a more pronounced reduction in translation-related transcriptional activity than cohorts spanning a broader disease spectrum (GSE116250). This interpretation is consistent with an energy-constrained state in which reduced translation-related transcriptional activity may accompany increased energetic stress</w:t>
      </w:r>
      <w:r>
        <w:rPr>
          <w:rFonts w:ascii="Times New Roman" w:hAnsi="Times New Roman"/>
          <w:b w:val="0"/>
          <w:color w:val="000000"/>
          <w:sz w:val="22"/>
          <w:vertAlign w:val="superscript"/>
        </w:rPr>
        <w:t xmlns:ns92="http://schemas.xmlsoap.org/soap/envelope/" ns92:space="preserve">[19,20,21]</w:t>
      </w:r>
      <w:r>
        <w:rPr>
          <w:rFonts w:ascii="Times New Roman" w:hAnsi="Times New Roman"/>
          <w:b w:val="0"/>
          <w:color w:val="000000"/>
          <w:sz w:val="22"/>
        </w:rPr>
        <w:t xmlns:ns95="http://schemas.xmlsoap.org/soap/envelope/" ns95:space="preserve">. The smaller effect sizes in HF compared with HCC further suggest that reduced translation-associated activity in the failing heart reflects gradual, incomplete compensation rather than the robust oncogene-driven transcriptional reprogramming characteristic of cancer.</w:t>
      </w:r>
    </w:p>
    <w:p>
      <w:pPr>
        <w:pStyle w:val="BodyText"/>
        <w:spacing w:line="480" w:lineRule="auto"/>
      </w:pPr>
      <w:r>
        <w:rPr>
          <w:rFonts w:ascii="Times New Roman" w:hAnsi="Times New Roman"/>
          <w:b w:val="0"/>
          <w:color w:val="000000"/>
          <w:sz w:val="22"/>
        </w:rPr>
        <w:t>Among the transcription factors and pathways examined, MYC target pathway activity showed the highest overall correlation with the translation-associated transcriptional score (ρ = +0.753), while ATF4 showed the strongest association among individual transcription factors (ρ = +0.500, FDR &lt; 0.0001). MYC target pathway activity (particularly MYC Targets V2, which is enriched for ribosome biogenesis and translation-related genes) likely reflects the association of proliferative signaling with cellular programs linked to ribosome biogenesis</w:t>
      </w:r>
      <w:r>
        <w:rPr>
          <w:rFonts w:ascii="Times New Roman" w:hAnsi="Times New Roman"/>
          <w:b w:val="0"/>
          <w:color w:val="000000"/>
          <w:sz w:val="22"/>
          <w:vertAlign w:val="superscript"/>
        </w:rPr>
        <w:t xmlns:ns108="http://schemas.xmlsoap.org/soap/envelope/" ns108:space="preserve">[8,12,22]</w:t>
      </w:r>
      <w:r>
        <w:rPr>
          <w:rFonts w:ascii="Times New Roman" w:hAnsi="Times New Roman"/>
          <w:b w:val="0"/>
          <w:color w:val="000000"/>
          <w:sz w:val="22"/>
        </w:rPr>
        <w:t xmlns:ns111="http://schemas.xmlsoap.org/soap/envelope/" ns111:space="preserve">. The strong MYC–TATS association should be interpreted as pathway-level concordance rather than direct evidence of upstream regulation, as both TATS and MYC target gene sets share representation of translation-related genes. ATF4, a central transcription factor of the integrated stress response (ISR), has been implicated in coupling cellular stress sensing with translational regulation</w:t>
      </w:r>
      <w:r>
        <w:rPr>
          <w:rFonts w:ascii="Times New Roman" w:hAnsi="Times New Roman"/>
          <w:b w:val="0"/>
          <w:color w:val="000000"/>
          <w:sz w:val="22"/>
          <w:vertAlign w:val="superscript"/>
        </w:rPr>
        <w:t xmlns:ns100="http://schemas.xmlsoap.org/soap/envelope/" ns100:space="preserve">[23,24,25]</w:t>
      </w:r>
      <w:r>
        <w:rPr>
          <w:rFonts w:ascii="Times New Roman" w:hAnsi="Times New Roman"/>
          <w:b w:val="0"/>
          <w:color w:val="000000"/>
          <w:sz w:val="22"/>
        </w:rPr>
        <w:t xmlns:ns103="http://schemas.xmlsoap.org/soap/envelope/" ns103:space="preserve">; its co-association with DDIT3 (CHOP) and XBP1 — ISR and UPR signaling components — suggests pathway-level engagement rather than isolated ATF4 upregulation. These represent distinct regulatory dimensions — proliferative (MYC) and stress-responsive (ATF4/ISR) — neither subordinate to the other, both associated with translation-related transcriptional remodeling in HCC. In this cohort, HIF1A and MTOR transcript levels were not significantly correlated with TATS, suggesting that their regulatory relationship with translation-related programs may be indirect or context-dependent rather than reflected at steady-state mRNA levels. These correlational findings nominate MYC and ATF4/ISR as candidate regulatory signals associated with translation-related transcriptional remodeling in HCC; causal validation through ChIP-seq and functional perturbation experiments is required.</w:t>
      </w:r>
    </w:p>
    <w:p>
      <w:pPr>
        <w:pStyle w:val="BodyText"/>
        <w:spacing w:line="480" w:lineRule="auto"/>
      </w:pPr>
      <w:r>
        <w:rPr>
          <w:rFonts w:ascii="Times New Roman" w:hAnsi="Times New Roman"/>
          <w:b w:val="0"/>
          <w:color w:val="000000"/>
          <w:sz w:val="22"/>
        </w:rPr>
        <w:t xml:space="preserve">The translation-associated transcriptional score (TATS) was not intended as a disease-specific biomarker but as a cross-disease transcriptional representation of a translation-associated program shared at the pathway level. TATS, defined as the mean normalized expression of the 227 green module genes, showed no significant prognostic value in GSE141198 (log-rank</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0.303; Cox HR = 1.68, 95% CI [0.67, 4.21],</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0.265) or in etiology-stratified subgroups. This is consistent across three independent HCC cohorts. The lack of prognostic association indicates that translation-related module activity, measured as aggregate transcript abundance, was not associated with overall survival in the examined HCC cohorts. This result is informative: it indicates that shared functional themes do not imply equivalent clinical utility, and that the relationship between translation-related transcription and clinical outcome is context-dependent. The absence of prognostic association also suggests that pathway-level transcriptional remodeling does not necessarily translate into patient-level outcome prediction, underscoring the distinction between molecular pathway activity and clinical prognostic utility. More broadly, the absence of prognostic association further suggests that shared translation-related programs represent context-dependent biological states rather than universal predictors of malignant progression.</w:t>
      </w:r>
    </w:p>
    <w:p>
      <w:pPr>
        <w:pStyle w:val="BodyText"/>
        <w:spacing w:line="480" w:lineRule="auto"/>
      </w:pPr>
      <w:r>
        <w:rPr>
          <w:rFonts w:ascii="Times New Roman" w:hAnsi="Times New Roman"/>
          <w:b w:val="0"/>
          <w:color w:val="000000"/>
          <w:sz w:val="22"/>
        </w:rPr>
        <w:t>Several limitations should be considered. Because this study is based on transcriptomic datasets, the identified translation-related programs represent transcriptional organization of translation-associated genes rather than direct measurements of translational efficiency or protein synthesis rates; ribosome footprint profiling (Ribo-seq) would substantially strengthen the evidence for altered translational activity</w:t>
      </w:r>
      <w:r>
        <w:rPr>
          <w:rFonts w:ascii="Times New Roman" w:hAnsi="Times New Roman"/>
          <w:b w:val="0"/>
          <w:color w:val="000000"/>
          <w:sz w:val="22"/>
          <w:vertAlign w:val="superscript"/>
        </w:rPr>
        <w:t xmlns:ns116="http://schemas.xmlsoap.org/soap/envelope/" ns116:space="preserve">[26]</w:t>
      </w:r>
      <w:r>
        <w:rPr>
          <w:rFonts w:ascii="Times New Roman" w:hAnsi="Times New Roman"/>
          <w:b w:val="0"/>
          <w:color w:val="000000"/>
          <w:sz w:val="22"/>
        </w:rPr>
        <w:t xmlns:ns119="http://schemas.xmlsoap.org/soap/envelope/" ns119:space="preserve">. These findings represent disease-associated transcriptional organization inferred from bulk expression data and should not be interpreted as direct evidence of causal network rewiring or dynamic remodeling. Bulk transcriptomes cannot fully separate transcriptional remodeling from changes in cellular composition (e.g., cardiomyocyte loss and fibroblast proliferation in HF, tumor purity variation and stromal infiltration in HCC); cell-type deconvolution was beyond the scope of this analysis and represents an important direction for future studies. The ATF4/ISR regulatory hypothesis is derived from correlational analysis and requires causal validation. Moreover, although mirror perturbation was observed at the pathway level in both HF and HCC discovery datasets, the extent of pathway-level concordance may vary with cohort characteristics including disease subtype composition, severity distribution, and transcriptomic platform differences, as suggested by partial replication in an independent HF cohort (GSE116250). Platform differences between microarray (GSE57338) and RNA-seq (TCGA-LIHC, GSE141198) datasets, while mitigated by within-dataset effect size computation, may introduce systematic bias. Network construction parameters were independently optimized within each dataset according to WGCNA best practices (scale-free topology criterion, R² ≥ 0.8); cross-dataset comparisons of network topology should therefore be interpreted as reflecting both biological differences and dataset-specific optimization, rather than as comparisons between identically parameterized networks. Formal module preservation analysis (e.g., WGCNA modulePreservation) was not performed owing to well-documented cross-platform interpretability challenges in</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summary</w:t>
      </w:r>
      <w:r>
        <w:rPr>
          <w:rFonts w:ascii="Times New Roman" w:hAnsi="Times New Roman"/>
          <w:b w:val="0"/>
          <w:color w:val="000000"/>
          <w:sz w:val="22"/>
        </w:rPr>
        <w:t xml:space="preserve"> </w:t>
      </w:r>
      <w:r>
        <w:rPr>
          <w:rFonts w:ascii="Times New Roman" w:hAnsi="Times New Roman"/>
          <w:b w:val="0"/>
          <w:color w:val="000000"/>
          <w:sz w:val="22"/>
        </w:rPr>
        <w:t xml:space="preserve">threshold calibration; the gene-level overlap quantification reported here (Fisher OR = 1.7,</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0.039) provides an empirical assessment of limited module gene sharing. While WGCNA provides a well-established framework for co-expression network discovery, alternative network inference methods may identify additional regulatory relationships. HCC cohorts are composed predominantly of individuals of Asian ancestry, and cross-population generalizability requires further evaluation. The cross-disease comparison, while internally controlled through within-dataset effect sizes, remains observational; prospective multi-omics studies with paired ribosome profiling would be required to establish causal relationships between transcriptional remodeling and translational output.</w:t>
      </w:r>
    </w:p>
    <w:bookmarkEnd w:id="30"/>
    <w:bookmarkStart w:id="31" w:name="conclusion"/>
    <w:p>
      <w:pPr>
        <w:pStyle w:val="Heading2"/>
        <w:spacing w:line="480" w:lineRule="auto"/>
      </w:pPr>
      <w:r>
        <w:rPr>
          <w:rFonts w:ascii="Times New Roman" w:hAnsi="Times New Roman"/>
          <w:b/>
          <w:color w:val="000000"/>
          <w:sz w:val="22"/>
        </w:rPr>
        <w:t xml:space="preserve">Conclusion</w:t>
      </w:r>
    </w:p>
    <w:p>
      <w:pPr>
        <w:pStyle w:val="FirstParagraph"/>
        <w:spacing w:line="480" w:lineRule="auto"/>
      </w:pPr>
      <w:r>
        <w:rPr>
          <w:rFonts w:ascii="Times New Roman" w:hAnsi="Times New Roman"/>
          <w:b w:val="0"/>
          <w:color w:val="000000"/>
          <w:sz w:val="22"/>
        </w:rPr>
        <w:t xml:space="preserve">These findings indicate that translation-related transcriptional programs are independently identifiable in HF and HCC but organized through disease-specific network organization, with convergent functional themes emerging at the pathway level and perturbation direction shaped by disease context. The contrast between network-level divergence and pathway-level convergence — rather than module conservation — characterizes one aspect of the relationship between these two diseases. From a cardiovascular perspective, this cross-disease framework illuminates fundamental principles of translation-related remodeling that are obscured in heart-failure-only analyses: the identification of ATF4/ISR as a stress-responsive correlate suggests that the failing heart engages conserved stress-adaptive transcriptional programs that are also co-opted during hepatocarcinogenesis, and the mirror perturbation absent in HCM but present in advanced HF suggests that progressive translational suppression may represent a disease-stage-specific vulnerability rather than a generic cardiac feature. This disease-context-dependent remodeling framework (Fig. 5) provides a foundation for future mechanistic studies investigating how distinct pathological environments reshape translation-related transcriptional programs, and illustrates the value of multi-resolution cross-disease comparative frameworks for identifying regulatory principles — and potentially therapeutic entry points — difficult to resolve through single-disease analyses.</w:t>
      </w:r>
    </w:p>
    <w:bookmarkEnd w:id="31"/>
    <w:bookmarkStart w:id="42" w:name="methods"/>
    <w:p>
      <w:pPr>
        <w:pStyle w:val="Heading2"/>
        <w:spacing w:line="480" w:lineRule="auto"/>
      </w:pPr>
      <w:r>
        <w:rPr>
          <w:rFonts w:ascii="Times New Roman" w:hAnsi="Times New Roman"/>
          <w:b/>
          <w:color w:val="000000"/>
          <w:sz w:val="22"/>
        </w:rPr>
        <w:t xml:space="preserve">Methods</w:t>
      </w:r>
    </w:p>
    <w:bookmarkStart w:id="32" w:name="data-acquisition-and-preprocessing"/>
    <w:p>
      <w:pPr>
        <w:pStyle w:val="Heading3"/>
        <w:spacing w:line="480" w:lineRule="auto"/>
      </w:pPr>
      <w:r>
        <w:rPr>
          <w:rFonts w:ascii="Times New Roman" w:hAnsi="Times New Roman"/>
          <w:b/>
          <w:color w:val="000000"/>
          <w:sz w:val="22"/>
        </w:rPr>
        <w:t xml:space="preserve">Data acquisition and preprocessing</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p>
      <w:pPr>
        <w:pStyle w:val="BodyText"/>
        <w:spacing w:line="480" w:lineRule="auto"/>
      </w:pPr>
      <w:r>
        <w:rPr>
          <w:rFonts w:ascii="Times New Roman" w:hAnsi="Times New Roman"/>
          <w:b w:val="0"/>
          <w:color w:val="000000"/>
          <w:sz w:val="22"/>
        </w:rPr>
        <w:t xml:space="preserve">Datasets were selected based on the following criteria: (i) availability of both disease and non-disease control samples within the same study; (ii) sample size ≥ 100; and (iii) raw or normalized expression matrices publicly available.</w:t>
      </w:r>
    </w:p>
    <w:p>
      <w:pPr>
        <w:pStyle w:val="BodyText"/>
        <w:spacing w:line="480" w:lineRule="auto"/>
      </w:pPr>
      <w:r>
        <w:rPr>
          <w:rFonts w:ascii="Times New Roman" w:hAnsi="Times New Roman"/>
          <w:b w:val="0"/>
          <w:bCs/>
          <w:color w:val="000000"/>
          <w:sz w:val="22"/>
        </w:rPr>
        <w:t xml:space="preserve">GSE57338 (HF).</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313 left ventricular samples (including dilated cardiomyopathy, ischemic cardiomyopathy, and non-failing controls), platform GPL11532 (Affymetrix HuGene 1.1 ST Array). Probes were first filtered to retain those with expression above a predefined background threshold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intensity ≥ 4) in at least 20% of samples, and the remaining probes were then mapped to gene symbols via the hugene11sttranscriptcluster.db annotation package, with multiple probes averaged per gene.</w:t>
      </w:r>
    </w:p>
    <w:p>
      <w:pPr>
        <w:pStyle w:val="BodyText"/>
        <w:spacing w:line="480" w:lineRule="auto"/>
      </w:pPr>
      <w:r>
        <w:rPr>
          <w:rFonts w:ascii="Times New Roman" w:hAnsi="Times New Roman"/>
          <w:b w:val="0"/>
          <w:bCs/>
          <w:color w:val="000000"/>
          <w:sz w:val="22"/>
        </w:rPr>
        <w:t xml:space="preserve">TCGA-LIHC (HCC discovery set).</w:t>
      </w:r>
      <w:r>
        <w:rPr>
          <w:rFonts w:ascii="Times New Roman" w:hAnsi="Times New Roman"/>
          <w:b w:val="0"/>
          <w:color w:val="000000"/>
          <w:sz w:val="22"/>
        </w:rPr>
        <w:t xml:space="preserve"> </w:t>
      </w:r>
      <w:r>
        <w:rPr>
          <w:rFonts w:ascii="Times New Roman" w:hAnsi="Times New Roman"/>
          <w:b w:val="0"/>
          <w:color w:val="000000"/>
          <w:sz w:val="22"/>
        </w:rPr>
        <w:t xml:space="preserve">Downloaded from the TCGA GDC portal,</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424 samples (initially 371 tumor + 50 normal + 3 recurrent tumor), RNA-seq (Illumina), using</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assay(se, "unstranded")</w:t>
      </w:r>
      <w:r>
        <w:rPr>
          <w:rFonts w:ascii="Times New Roman" w:hAnsi="Times New Roman"/>
          <w:b w:val="0"/>
          <w:color w:val="000000"/>
          <w:sz w:val="22"/>
        </w:rPr>
        <w:t xml:space="preserve"> </w:t>
      </w:r>
      <w:r>
        <w:rPr>
          <w:rFonts w:ascii="Times New Roman" w:hAnsi="Times New Roman"/>
          <w:b w:val="0"/>
          <w:color w:val="000000"/>
          <w:sz w:val="22"/>
        </w:rPr>
        <w:t xml:space="preserve">for counts. Three recurrent tumor samples were excluded from differential expression and pathway analyses because they were not classified as primary tumor or normal liver tissue; all downstream analyses therefore used</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421 (371 tumor vs. 50 normal). DESeq2 variance stabilizing transformation (VST) normalization was applied using the vst function</w:t>
      </w:r>
      <w:r>
        <w:rPr>
          <w:rFonts w:ascii="Times New Roman" w:hAnsi="Times New Roman"/>
          <w:b w:val="0"/>
          <w:color w:val="000000"/>
          <w:sz w:val="22"/>
          <w:vertAlign w:val="superscript"/>
        </w:rPr>
        <w:t xmlns:ns124="http://schemas.xmlsoap.org/soap/envelope/" ns124:space="preserve">[13]</w:t>
      </w:r>
      <w:r>
        <w:rPr>
          <w:rFonts w:ascii="Times New Roman" w:hAnsi="Times New Roman"/>
          <w:b w:val="0"/>
          <w:color w:val="000000"/>
          <w:sz w:val="22"/>
        </w:rPr>
        <w:t xmlns:ns127="http://schemas.xmlsoap.org/soap/envelope/" ns127:space="preserve"> with</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blind = TRUE</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Style w:val="VerbatimChar"/>
          <w:rFonts w:ascii="Times New Roman" w:hAnsi="Times New Roman"/>
          <w:b w:val="0"/>
          <w:color w:val="000000"/>
          <w:sz w:val="22"/>
        </w:rPr>
        <w:t xml:space="preserve">nsub = 1000</w:t>
      </w:r>
      <w:r>
        <w:rPr>
          <w:rFonts w:ascii="Times New Roman" w:hAnsi="Times New Roman"/>
          <w:b w:val="0"/>
          <w:color w:val="000000"/>
          <w:sz w:val="22"/>
        </w:rPr>
        <w:t xml:space="preserve"> </w:t>
      </w:r>
      <w:r>
        <w:rPr>
          <w:rFonts w:ascii="Times New Roman" w:hAnsi="Times New Roman"/>
          <w:b w:val="0"/>
          <w:color w:val="000000"/>
          <w:sz w:val="22"/>
        </w:rPr>
        <w:t xml:space="preserve">parameters (design = ~ 1), following filtering for genes with counts ≥ 10 in at least 20% of samples. Ensembl IDs were converted to gene symbols via org.Hs.eg.db.</w:t>
      </w:r>
    </w:p>
    <w:p>
      <w:pPr>
        <w:pStyle w:val="BodyText"/>
        <w:spacing w:line="480" w:lineRule="auto"/>
      </w:pPr>
      <w:r>
        <w:rPr>
          <w:rFonts w:ascii="Times New Roman" w:hAnsi="Times New Roman"/>
          <w:b w:val="0"/>
          <w:bCs/>
          <w:color w:val="000000"/>
          <w:sz w:val="22"/>
        </w:rPr>
        <w:t xml:space="preserve">GSE141198 (HCC validation set).</w:t>
      </w:r>
      <w:r>
        <w:rPr>
          <w:rFonts w:ascii="Times New Roman" w:hAnsi="Times New Roman"/>
          <w:b w:val="0"/>
          <w:color w:val="000000"/>
          <w:sz w:val="22"/>
        </w:rPr>
        <w:t xml:space="preserve"> </w:t>
      </w:r>
      <w:r>
        <w:rPr>
          <w:rFonts w:ascii="Times New Roman" w:hAnsi="Times New Roman"/>
          <w:b w:val="0"/>
          <w:color w:val="000000"/>
          <w:sz w:val="22"/>
        </w:rPr>
        <w:t xml:space="preserve">Downloaded from GEO,</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HCC tumors (RNA-seq), 94 OS events. Processing pipeline identical to TCGA-LIHC.</w:t>
      </w:r>
    </w:p>
    <w:p>
      <w:pPr>
        <w:pStyle w:val="BodyText"/>
        <w:spacing w:line="480" w:lineRule="auto"/>
      </w:pPr>
      <w:r>
        <w:rPr>
          <w:rFonts w:ascii="Times New Roman" w:hAnsi="Times New Roman"/>
          <w:b w:val="0"/>
          <w:bCs/>
          <w:color w:val="000000"/>
          <w:sz w:val="22"/>
        </w:rPr>
        <w:t xml:space="preserve">GSE14520 and GSE76427 (external validation).</w:t>
      </w:r>
      <w:r>
        <w:rPr>
          <w:rFonts w:ascii="Times New Roman" w:hAnsi="Times New Roman"/>
          <w:b w:val="0"/>
          <w:color w:val="000000"/>
          <w:sz w:val="22"/>
        </w:rPr>
        <w:t xml:space="preserve"> </w:t>
      </w:r>
      <w:r>
        <w:rPr>
          <w:rFonts w:ascii="Times New Roman" w:hAnsi="Times New Roman"/>
          <w:b w:val="0"/>
          <w:color w:val="000000"/>
          <w:sz w:val="22"/>
        </w:rPr>
        <w:t xml:space="preserve">GSE14520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221 HCC tumors, GPL3921 Affymetrix HT Human Genome U133A Array) and GSE76427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115 HCC tumors, GPL10558 Illumina HumanHT-12 V4.0) were downloaded from GEO for external TATS validation. Processing and TATS calculation were performed identically across all validation cohorts.</w:t>
      </w:r>
    </w:p>
    <w:bookmarkEnd w:id="32"/>
    <w:bookmarkStart w:id="33" w:name="wgcna-co-expression-network-analysis"/>
    <w:p>
      <w:pPr>
        <w:pStyle w:val="Heading3"/>
        <w:spacing w:line="480" w:lineRule="auto"/>
      </w:pPr>
      <w:r>
        <w:rPr>
          <w:rFonts w:ascii="Times New Roman" w:hAnsi="Times New Roman"/>
          <w:b/>
          <w:color w:val="000000"/>
          <w:sz w:val="22"/>
        </w:rPr>
        <w:t xml:space="preserve">WGCNA co-expression network analysis</w:t>
      </w:r>
    </w:p>
    <w:p>
      <w:pPr>
        <w:pStyle w:val="FirstParagraph"/>
        <w:spacing w:line="480" w:lineRule="auto"/>
      </w:pPr>
      <w:r>
        <w:rPr>
          <w:rFonts w:ascii="Times New Roman" w:hAnsi="Times New Roman"/>
          <w:b w:val="0"/>
          <w:color w:val="000000"/>
          <w:sz w:val="22"/>
        </w:rPr>
        <w:t>WGCNA input data consisted of gene expression matrices filtered and normalized as described above. For GSE57338 (microarray data), the bottom 20% of genes by variance were removed, and the top 6,000 most variable genes were retained for network construction (retaining 177 of 214 ribosomal/translation-related genes in the full expression matrix). For GSE141198 (RNA-seq data), all expressed genes passing the above filters (5,003 genes) were used. Signed network analysis was performed using the WGCNA package</w:t>
      </w:r>
      <w:r>
        <w:rPr>
          <w:rFonts w:ascii="Times New Roman" w:hAnsi="Times New Roman"/>
          <w:b w:val="0"/>
          <w:color w:val="000000"/>
          <w:sz w:val="22"/>
          <w:vertAlign w:val="superscript"/>
        </w:rPr>
        <w:t xmlns:ns132="http://schemas.xmlsoap.org/soap/envelope/" ns132:space="preserve">[14,15]</w:t>
      </w:r>
      <w:r>
        <w:rPr>
          <w:rFonts w:ascii="Times New Roman" w:hAnsi="Times New Roman"/>
          <w:b w:val="0"/>
          <w:color w:val="000000"/>
          <w:sz w:val="22"/>
        </w:rPr>
        <w:t xmlns:ns135="http://schemas.xmlsoap.org/soap/envelope/" ns135:space="preserve">. The soft threshold β was selected to best approximate the scale-free topology criterion (targeting R² ≈ 0.85; GSE57338: β = 17, signed R² = 0.865; GSE141198: β = 4, R² = 0.84; Additional file 3: Figure S3). Network construction parameters — including soft-threshold power, gene filtering strategy, and module detection method — were independently optimized for each dataset according to platform-specific data characteristics, rather than artificially constrained to identical settings across diseases.</w:t>
      </w:r>
    </w:p>
    <w:p>
      <w:pPr>
        <w:pStyle w:val="BodyText"/>
        <w:spacing w:line="480" w:lineRule="auto"/>
      </w:pPr>
      <w:r>
        <w:rPr>
          <w:rFonts w:ascii="Times New Roman" w:hAnsi="Times New Roman"/>
          <w:b w:val="0"/>
          <w:color w:val="000000"/>
          <w:sz w:val="22"/>
        </w:rPr>
        <w:t xml:space="preserve">For GSE57338, a manual stepwise procedure was used: Pearson correlation (stats::cor) → signed adjacency matrix [(0.5 × (1 + cor))^β] → TOM similarity (WGCNA::TOMsimilarity,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 hierarchical clustering (hclust, method =</w:t>
      </w:r>
      <w:r>
        <w:rPr>
          <w:rFonts w:ascii="Times New Roman" w:hAnsi="Times New Roman"/>
          <w:b w:val="0"/>
          <w:color w:val="000000"/>
          <w:sz w:val="22"/>
        </w:rPr>
        <w:t xml:space="preserve"> </w:t>
      </w:r>
      <w:r>
        <w:rPr>
          <w:rFonts w:ascii="Times New Roman" w:hAnsi="Times New Roman"/>
          <w:b w:val="0"/>
          <w:color w:val="000000"/>
          <w:sz w:val="22"/>
        </w:rPr>
        <w:t xml:space="preserve">“average”</w:t>
      </w:r>
      <w:r>
        <w:rPr>
          <w:rFonts w:ascii="Times New Roman" w:hAnsi="Times New Roman"/>
          <w:b w:val="0"/>
          <w:color w:val="000000"/>
          <w:sz w:val="22"/>
        </w:rPr>
        <w:t xml:space="preserve">) → dynamic tree cutting (dynamicTreeCut::cutreeDynamic, deepSplit = 2, minClusterSize = 30). This manual procedure was adopted to ensure platform compatibility across R versions. For GSE141198, the WGCNA blockwiseModules one-step function was used for network construction (networkType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minModuleSize = 30, mergeCutHeight = 0.25, TOMType =</w:t>
      </w:r>
      <w:r>
        <w:rPr>
          <w:rFonts w:ascii="Times New Roman" w:hAnsi="Times New Roman"/>
          <w:b w:val="0"/>
          <w:color w:val="000000"/>
          <w:sz w:val="22"/>
        </w:rPr>
        <w:t xml:space="preserve"> </w:t>
      </w:r>
      <w:r>
        <w:rPr>
          <w:rFonts w:ascii="Times New Roman" w:hAnsi="Times New Roman"/>
          <w:b w:val="0"/>
          <w:color w:val="000000"/>
          <w:sz w:val="22"/>
        </w:rPr>
        <w:t xml:space="preserve">“signed”</w:t>
      </w:r>
      <w:r>
        <w:rPr>
          <w:rFonts w:ascii="Times New Roman" w:hAnsi="Times New Roman"/>
          <w:b w:val="0"/>
          <w:color w:val="000000"/>
          <w:sz w:val="22"/>
        </w:rPr>
        <w:t xml:space="preserve">, pamRespectsDendro = FALSE, maxBlockSize = 6,000, randomSeed = 42).</w:t>
      </w:r>
    </w:p>
    <w:p>
      <w:pPr>
        <w:pStyle w:val="BodyText"/>
        <w:spacing w:line="480" w:lineRule="auto"/>
      </w:pPr>
      <w:r>
        <w:rPr>
          <w:rFonts w:ascii="Times New Roman" w:hAnsi="Times New Roman"/>
          <w:b w:val="0"/>
          <w:bCs/>
          <w:color w:val="000000"/>
          <w:sz w:val="22"/>
        </w:rPr>
        <w:t xml:space="preserve">Translation-related module identification.</w:t>
      </w:r>
      <w:r>
        <w:rPr>
          <w:rFonts w:ascii="Times New Roman" w:hAnsi="Times New Roman"/>
          <w:b w:val="0"/>
          <w:color w:val="000000"/>
          <w:sz w:val="22"/>
        </w:rPr>
        <w:t xml:space="preserve"> </w:t>
      </w:r>
      <w:r>
        <w:rPr>
          <w:rFonts w:ascii="Times New Roman" w:hAnsi="Times New Roman"/>
          <w:b w:val="0"/>
          <w:color w:val="000000"/>
          <w:sz w:val="22"/>
        </w:rPr>
        <w:t>Rather than designating a translation-related module by manual inspection or prior assumption, an objective translation-enrichment scoring procedure was applied. For each module, GO Biological Process enrichment was performed using clusterProfiler</w:t>
      </w:r>
      <w:r>
        <w:rPr>
          <w:rFonts w:ascii="Times New Roman" w:hAnsi="Times New Roman"/>
          <w:b w:val="0"/>
          <w:color w:val="000000"/>
          <w:sz w:val="22"/>
          <w:vertAlign w:val="superscript"/>
        </w:rPr>
        <w:t xmlns:ns140="http://schemas.xmlsoap.org/soap/envelope/" ns140:space="preserve">[16]</w:t>
      </w:r>
      <w:r>
        <w:rPr>
          <w:rFonts w:ascii="Times New Roman" w:hAnsi="Times New Roman"/>
          <w:b w:val="0"/>
          <w:color w:val="000000"/>
          <w:sz w:val="22"/>
        </w:rPr>
        <w:t xmlns:ns143="http://schemas.xmlsoap.org/soap/envelope/" ns143:space="preserve"> (enrichGO, ont =</w:t>
      </w:r>
      <w:r>
        <w:rPr>
          <w:rFonts w:ascii="Times New Roman" w:hAnsi="Times New Roman"/>
          <w:b w:val="0"/>
          <w:color w:val="000000"/>
          <w:sz w:val="22"/>
        </w:rPr>
        <w:t xml:space="preserve"> </w:t>
      </w:r>
      <w:r>
        <w:rPr>
          <w:rFonts w:ascii="Times New Roman" w:hAnsi="Times New Roman"/>
          <w:b w:val="0"/>
          <w:color w:val="000000"/>
          <w:sz w:val="22"/>
        </w:rPr>
        <w:t xml:space="preserve">“BP”</w:t>
      </w:r>
      <w:r>
        <w:rPr>
          <w:rFonts w:ascii="Times New Roman" w:hAnsi="Times New Roman"/>
          <w:b w:val="0"/>
          <w:color w:val="000000"/>
          <w:sz w:val="22"/>
        </w:rPr>
        <w:t xml:space="preserve">, pAdjustMethod =</w:t>
      </w:r>
      <w:r>
        <w:rPr>
          <w:rFonts w:ascii="Times New Roman" w:hAnsi="Times New Roman"/>
          <w:b w:val="0"/>
          <w:color w:val="000000"/>
          <w:sz w:val="22"/>
        </w:rPr>
        <w:t xml:space="preserve"> </w:t>
      </w:r>
      <w:r>
        <w:rPr>
          <w:rFonts w:ascii="Times New Roman" w:hAnsi="Times New Roman"/>
          <w:b w:val="0"/>
          <w:color w:val="000000"/>
          <w:sz w:val="22"/>
        </w:rPr>
        <w:t xml:space="preserve">“BH”</w:t>
      </w:r>
      <w:r>
        <w:rPr>
          <w:rFonts w:ascii="Times New Roman" w:hAnsi="Times New Roman"/>
          <w:b w:val="0"/>
          <w:color w:val="000000"/>
          <w:sz w:val="22"/>
        </w:rPr>
        <w:t xml:space="preserve">, qvalueCutoff = 0.1). A module-level translation enrichment score was computed as: (number of significantly enriched GO terms matching translation-related keywords [</w:t>
      </w:r>
      <w:r>
        <w:rPr>
          <w:rFonts w:ascii="Times New Roman" w:hAnsi="Times New Roman"/>
          <w:b w:val="0"/>
          <w:color w:val="000000"/>
          <w:sz w:val="22"/>
        </w:rPr>
        <w:t xml:space="preserve">“translation|ribosom|peptide|ribonucleoprotein|rRNA|translational”</w:t>
      </w:r>
      <w:r>
        <w:rPr>
          <w:rFonts w:ascii="Times New Roman" w:hAnsi="Times New Roman"/>
          <w:b w:val="0"/>
          <w:color w:val="000000"/>
          <w:sz w:val="22"/>
        </w:rPr>
        <w:t xml:space="preserve">]) × (−log</w:t>
      </w:r>
      <w:r>
        <w:rPr>
          <w:rFonts w:ascii="Times New Roman" w:hAnsi="Times New Roman"/>
          <w:b w:val="0"/>
          <w:color w:val="000000"/>
          <w:sz w:val="22"/>
        </w:rPr>
        <w:t xml:space="preserve">10</w:t>
      </w:r>
      <w:r>
        <w:rPr>
          <w:rFonts w:ascii="Times New Roman" w:hAnsi="Times New Roman"/>
          <w:b w:val="0"/>
          <w:color w:val="000000"/>
          <w:sz w:val="22"/>
        </w:rPr>
        <w:t xml:space="preserve"> </w:t>
      </w:r>
      <w:r>
        <w:rPr>
          <w:rFonts w:ascii="Times New Roman" w:hAnsi="Times New Roman"/>
          <w:b w:val="0"/>
          <w:color w:val="000000"/>
          <w:sz w:val="22"/>
        </w:rPr>
        <w:t xml:space="preserve">of the best p.adjust among those terms). The module with the highest translation-enrichment score was designated the translation-related module. In this study,</w:t>
      </w:r>
      <w:r>
        <w:rPr>
          <w:rFonts w:ascii="Times New Roman" w:hAnsi="Times New Roman"/>
          <w:b w:val="0"/>
          <w:color w:val="000000"/>
          <w:sz w:val="22"/>
        </w:rPr>
        <w:t xml:space="preserve"> </w:t>
      </w:r>
      <w:r>
        <w:rPr>
          <w:rFonts w:ascii="Times New Roman" w:hAnsi="Times New Roman"/>
          <w:b w:val="0"/>
          <w:color w:val="000000"/>
          <w:sz w:val="22"/>
        </w:rPr>
        <w:t xml:space="preserve">“translation-related transcriptional programs”</w:t>
      </w:r>
      <w:r>
        <w:rPr>
          <w:rFonts w:ascii="Times New Roman" w:hAnsi="Times New Roman"/>
          <w:b w:val="0"/>
          <w:color w:val="000000"/>
          <w:sz w:val="22"/>
        </w:rPr>
        <w:t xml:space="preserve"> </w:t>
      </w:r>
      <w:r>
        <w:rPr>
          <w:rFonts w:ascii="Times New Roman" w:hAnsi="Times New Roman"/>
          <w:b w:val="0"/>
          <w:color w:val="000000"/>
          <w:sz w:val="22"/>
        </w:rPr>
        <w:t xml:space="preserve">refer to coordinated expression patterns of genes involved in ribosome biogenesis, translation machinery, and associated regulatory processes, rather than direct measurements of protein synthesis activity. For GSE141198, the blue module (1,315 genes,</w:t>
      </w:r>
      <w:r>
        <w:rPr>
          <w:rFonts w:ascii="Times New Roman" w:hAnsi="Times New Roman"/>
          <w:b w:val="0"/>
          <w:color w:val="000000"/>
          <w:sz w:val="22"/>
        </w:rPr>
        <w:t xml:space="preserve"> </w:t>
      </w:r>
      <w:r>
        <w:rPr>
          <w:rFonts w:ascii="Times New Roman" w:hAnsi="Times New Roman"/>
          <w:b w:val="0"/>
          <w:color w:val="000000"/>
          <w:sz w:val="22"/>
        </w:rPr>
        <w:t xml:space="preserve">“cytoplasmic translation”</w:t>
      </w:r>
      <w:r>
        <w:rPr>
          <w:rFonts w:ascii="Times New Roman" w:hAnsi="Times New Roman"/>
          <w:b w:val="0"/>
          <w:color w:val="000000"/>
          <w:sz w:val="22"/>
        </w:rPr>
        <w:t xml:space="preserve"> </w:t>
      </w:r>
      <w:r>
        <w:rPr>
          <w:rFonts w:ascii="Times New Roman" w:hAnsi="Times New Roman"/>
          <w:b w:val="0"/>
          <w:color w:val="000000"/>
          <w:sz w:val="22"/>
        </w:rPr>
        <w:t xml:space="preserve">adjusted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 6.3 × 10⁻¹²) was identified as the translation-related module using the same keyword-based functional annotation approach.</w:t>
      </w:r>
    </w:p>
    <w:p>
      <w:pPr>
        <w:pStyle w:val="BodyText"/>
        <w:spacing w:line="480" w:lineRule="auto"/>
      </w:pPr>
      <w:r>
        <w:rPr>
          <w:rFonts w:ascii="Times New Roman" w:hAnsi="Times New Roman"/>
          <w:b w:val="0"/>
          <w:bCs/>
          <w:color w:val="000000"/>
          <w:sz w:val="22"/>
        </w:rPr>
        <w:t xml:space="preserve">Hub gene identification.</w:t>
      </w:r>
      <w:r>
        <w:rPr>
          <w:rFonts w:ascii="Times New Roman" w:hAnsi="Times New Roman"/>
          <w:b w:val="0"/>
          <w:color w:val="000000"/>
          <w:sz w:val="22"/>
        </w:rPr>
        <w:t xml:space="preserve"> </w:t>
      </w:r>
      <w:r>
        <w:rPr>
          <w:rFonts w:ascii="Times New Roman" w:hAnsi="Times New Roman"/>
          <w:b w:val="0"/>
          <w:color w:val="000000"/>
          <w:sz w:val="22"/>
        </w:rPr>
        <w:t xml:space="preserve">Hub genes within the translation-related module were identified post hoc using the dual criteria of intramodular connectivity (|Module Membership| &gt; 0.80) and gene significance for the disease phenotype (|Gene Significance| &gt; 0.20). Hub genes were ranked by the product |GS| × |MM|. No genes were pre-specified or excluded based on biological expectations.</w:t>
      </w:r>
    </w:p>
    <w:p>
      <w:pPr>
        <w:pStyle w:val="BodyText"/>
        <w:spacing w:line="480" w:lineRule="auto"/>
      </w:pPr>
      <w:r>
        <w:rPr>
          <w:rFonts w:ascii="Times New Roman" w:hAnsi="Times New Roman"/>
          <w:b w:val="0"/>
          <w:bCs/>
          <w:color w:val="000000"/>
          <w:sz w:val="22"/>
        </w:rPr>
        <w:t xml:space="preserve">Module internal robustness assessment.</w:t>
      </w:r>
      <w:r>
        <w:rPr>
          <w:rFonts w:ascii="Times New Roman" w:hAnsi="Times New Roman"/>
          <w:b w:val="0"/>
          <w:color w:val="000000"/>
          <w:sz w:val="22"/>
        </w:rPr>
        <w:t xml:space="preserve"> </w:t>
      </w:r>
      <w:r>
        <w:rPr>
          <w:rFonts w:ascii="Times New Roman" w:hAnsi="Times New Roman"/>
          <w:b w:val="0"/>
          <w:color w:val="000000"/>
          <w:sz w:val="22"/>
        </w:rPr>
        <w:t xml:space="preserve">To verify that the green module represents a genuine internally robust co-expression structure rather than an artifact of the β = 17 soft-threshold parameter or top-6,000 gene filtering, intra-modular connectivity was assessed via the topological overlap matrix (TOM). Mean intra-modular TOM for the green module (227 genes) was compared against a null distribution generated from 10,000 random gene sets of equal size, yielding a</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-score and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Module stability was further evaluated by gene-level jackknife resampling (90% retention per iteration, 100 iterations) to assess the coefficient of variation (CV) of intra-modular connectivity. Cross-disease coherence was assessed by computing the mean absolute pairwise Pearson correlation of green module genes in the independent GSE141198 expression matrix and comparing this against 1,000 random gene sets of equal size.</w:t>
      </w:r>
    </w:p>
    <w:bookmarkEnd w:id="33"/>
    <w:bookmarkStart w:id="34" w:name="ssgsea-pathway-activity-analysis"/>
    <w:p>
      <w:pPr>
        <w:pStyle w:val="Heading3"/>
        <w:spacing w:line="480" w:lineRule="auto"/>
      </w:pPr>
      <w:r>
        <w:rPr>
          <w:rFonts w:ascii="Times New Roman" w:hAnsi="Times New Roman"/>
          <w:b/>
          <w:color w:val="000000"/>
          <w:sz w:val="22"/>
        </w:rPr>
        <w:t xml:space="preserve">ssGSEA pathway activity analysis</w:t>
      </w:r>
    </w:p>
    <w:p>
      <w:pPr>
        <w:pStyle w:val="FirstParagraph"/>
        <w:spacing w:line="480" w:lineRule="auto"/>
      </w:pPr>
      <w:r>
        <w:rPr>
          <w:rFonts w:ascii="Times New Roman" w:hAnsi="Times New Roman"/>
          <w:b w:val="0"/>
          <w:color w:val="000000"/>
          <w:sz w:val="22"/>
        </w:rPr>
        <w:t xml:space="preserve">Gene set sources: msigdbr package (v26.1.0), including all 50 Hallmark gene sets (collection =</w:t>
      </w:r>
      <w:r>
        <w:rPr>
          <w:rFonts w:ascii="Times New Roman" w:hAnsi="Times New Roman"/>
          <w:b w:val="0"/>
          <w:color w:val="000000"/>
          <w:sz w:val="22"/>
        </w:rPr>
        <w:t xml:space="preserve"> </w:t>
      </w:r>
      <w:r>
        <w:rPr>
          <w:rFonts w:ascii="Times New Roman" w:hAnsi="Times New Roman"/>
          <w:b w:val="0"/>
          <w:color w:val="000000"/>
          <w:sz w:val="22"/>
        </w:rPr>
        <w:t xml:space="preserve">“H”</w:t>
      </w:r>
      <w:r>
        <w:rPr>
          <w:rFonts w:ascii="Times New Roman" w:hAnsi="Times New Roman"/>
          <w:b w:val="0"/>
          <w:color w:val="000000"/>
          <w:sz w:val="22"/>
        </w:rPr>
        <w:t xml:space="preserve">), KEGG ribosome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“CP:KEGG_MEDICUS”</w:t>
      </w:r>
      <w:r>
        <w:rPr>
          <w:rFonts w:ascii="Times New Roman" w:hAnsi="Times New Roman"/>
          <w:b w:val="0"/>
          <w:color w:val="000000"/>
          <w:sz w:val="22"/>
        </w:rPr>
        <w:t xml:space="preserve">, 1 set), and Reactome translation-related pathways (collection =</w:t>
      </w:r>
      <w:r>
        <w:rPr>
          <w:rFonts w:ascii="Times New Roman" w:hAnsi="Times New Roman"/>
          <w:b w:val="0"/>
          <w:color w:val="000000"/>
          <w:sz w:val="22"/>
        </w:rPr>
        <w:t xml:space="preserve"> </w:t>
      </w:r>
      <w:r>
        <w:rPr>
          <w:rFonts w:ascii="Times New Roman" w:hAnsi="Times New Roman"/>
          <w:b w:val="0"/>
          <w:color w:val="000000"/>
          <w:sz w:val="22"/>
        </w:rPr>
        <w:t xml:space="preserve">“C2”</w:t>
      </w:r>
      <w:r>
        <w:rPr>
          <w:rFonts w:ascii="Times New Roman" w:hAnsi="Times New Roman"/>
          <w:b w:val="0"/>
          <w:color w:val="000000"/>
          <w:sz w:val="22"/>
        </w:rPr>
        <w:t xml:space="preserve">, subcollection =</w:t>
      </w:r>
      <w:r>
        <w:rPr>
          <w:rFonts w:ascii="Times New Roman" w:hAnsi="Times New Roman"/>
          <w:b w:val="0"/>
          <w:color w:val="000000"/>
          <w:sz w:val="22"/>
        </w:rPr>
        <w:t xml:space="preserve"> </w:t>
      </w:r>
      <w:r>
        <w:rPr>
          <w:rFonts w:ascii="Times New Roman" w:hAnsi="Times New Roman"/>
          <w:b w:val="0"/>
          <w:color w:val="000000"/>
          <w:sz w:val="22"/>
        </w:rPr>
        <w:t xml:space="preserve">“CP:REACTOME”</w:t>
      </w:r>
      <w:r>
        <w:rPr>
          <w:rFonts w:ascii="Times New Roman" w:hAnsi="Times New Roman"/>
          <w:b w:val="0"/>
          <w:color w:val="000000"/>
          <w:sz w:val="22"/>
        </w:rPr>
        <w:t xml:space="preserve">, keyword-filtered: TRANSLATION|PEPTIDE_CHAIN_ELONGATION|EUKARYOTIC_TRANSLATION|RIBOSOME|NONSENSE_MEDIATED|TRNA_AMINOACYLATION|RRNA_PROCESSING, 32 sets), yielding 83 input gene sets. During ssGSEA scoring, the minSize = 5 parameter (requiring ≥ 5 genes from a given gene set to be present in the expression matrix) filtered two Hallmark sets with insufficient gene coverage, resulting in 81 pathways retained for cross-disease comparison.</w:t>
      </w:r>
    </w:p>
    <w:p>
      <w:pPr>
        <w:pStyle w:val="BodyText"/>
        <w:spacing w:line="480" w:lineRule="auto"/>
      </w:pPr>
      <w:r>
        <w:rPr>
          <w:rFonts w:ascii="Times New Roman" w:hAnsi="Times New Roman"/>
          <w:b w:val="0"/>
          <w:color w:val="000000"/>
          <w:sz w:val="22"/>
        </w:rPr>
        <w:t>ssGSEA scoring was performed using the GSVA package (v2.6.2): parameter objects were constructed via ssgseaParam (minSize = 5, maxSize = 500), and single-sample pathway activity scores were computed using the gsva function from the GSVA package</w:t>
      </w:r>
      <w:r>
        <w:rPr>
          <w:rFonts w:ascii="Times New Roman" w:hAnsi="Times New Roman"/>
          <w:b w:val="0"/>
          <w:color w:val="000000"/>
          <w:sz w:val="22"/>
          <w:vertAlign w:val="superscript"/>
        </w:rPr>
        <w:t xmlns:ns156="http://schemas.xmlsoap.org/soap/envelope/" ns156:space="preserve">[17]</w:t>
      </w:r>
      <w:r>
        <w:rPr>
          <w:rFonts w:ascii="Times New Roman" w:hAnsi="Times New Roman"/>
          <w:b w:val="0"/>
          <w:color w:val="000000"/>
          <w:sz w:val="22"/>
        </w:rPr>
        <w:t xmlns:ns159="http://schemas.xmlsoap.org/soap/envelope/" ns159:space="preserve">, which implements the ssGSEA algorithm originally described by Barbie et al.</w:t>
      </w:r>
      <w:r>
        <w:rPr>
          <w:rFonts w:ascii="Times New Roman" w:hAnsi="Times New Roman"/>
          <w:b w:val="0"/>
          <w:color w:val="000000"/>
          <w:sz w:val="22"/>
          <w:vertAlign w:val="superscript"/>
        </w:rPr>
        <w:t xmlns:ns148="http://schemas.xmlsoap.org/soap/envelope/" ns148:space="preserve">[18]</w:t>
      </w:r>
      <w:r>
        <w:rPr>
          <w:rFonts w:ascii="Times New Roman" w:hAnsi="Times New Roman"/>
          <w:b w:val="0"/>
          <w:color w:val="000000"/>
          <w:sz w:val="22"/>
        </w:rPr>
        <w:t xmlns:ns151="http://schemas.xmlsoap.org/soap/envelope/" ns151:space="preserve"> Disease-associated effect size for each pathway was calculated as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Cross-disease Spearman correlation of pathway effect sizes was evaluated. Statistical significance of the cross-disease correlation was assessed by a 10,000-iteration permutation test (random seed = 42), where the vector of HF pathway effect sizes was randomly shuffled in each iteration.</w:t>
      </w:r>
    </w:p>
    <w:bookmarkEnd w:id="34"/>
    <w:bookmarkStart w:id="35" w:name="X15bfed6e2e4f310076a23810346badac46b91f2"/>
    <w:p>
      <w:pPr>
        <w:pStyle w:val="Heading3"/>
        <w:spacing w:line="480" w:lineRule="auto"/>
      </w:pPr>
      <w:r>
        <w:rPr>
          <w:rFonts w:ascii="Times New Roman" w:hAnsi="Times New Roman"/>
          <w:b/>
          <w:color w:val="000000"/>
          <w:sz w:val="22"/>
        </w:rPr>
        <w:t xml:space="preserve">Translation-associated transcriptional score (TATS) and survival analysis</w:t>
      </w:r>
    </w:p>
    <w:p>
      <w:pPr>
        <w:pStyle w:val="FirstParagraph"/>
        <w:spacing w:line="480" w:lineRule="auto"/>
      </w:pPr>
      <w:r>
        <w:rPr>
          <w:rFonts w:ascii="Times New Roman" w:hAnsi="Times New Roman"/>
          <w:b w:val="0"/>
          <w:color w:val="000000"/>
          <w:sz w:val="22"/>
        </w:rPr>
        <w:t xml:space="preserve">The translation-associated transcriptional score (TATS) was defined as the mean of z-scores of VST-normalized expression values for the green module genes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227) identified in the HF WGCNA. TATS was evaluated as an exploratory measure of translation-related transcriptional activity rather than as a validated prognostic signature. For GSE141198, OS time and status were obtained from the</w:t>
      </w:r>
      <w:r>
        <w:rPr>
          <w:rFonts w:ascii="Times New Roman" w:hAnsi="Times New Roman"/>
          <w:b w:val="0"/>
          <w:color w:val="000000"/>
          <w:sz w:val="22"/>
        </w:rPr>
        <w:t xml:space="preserve"> </w:t>
      </w:r>
      <w:r>
        <w:rPr>
          <w:rFonts w:ascii="Times New Roman" w:hAnsi="Times New Roman"/>
          <w:b w:val="0"/>
          <w:color w:val="000000"/>
          <w:sz w:val="22"/>
        </w:rPr>
        <w:t xml:space="preserve">“os days:ch1”</w:t>
      </w:r>
      <w:r>
        <w:rPr>
          <w:rFonts w:ascii="Times New Roman" w:hAnsi="Times New Roman"/>
          <w:b w:val="0"/>
          <w:color w:val="000000"/>
          <w:sz w:val="22"/>
        </w:rPr>
        <w:t xml:space="preserve"> </w:t>
      </w:r>
      <w:r>
        <w:rPr>
          <w:rFonts w:ascii="Times New Roman" w:hAnsi="Times New Roman"/>
          <w:b w:val="0"/>
          <w:color w:val="000000"/>
          <w:sz w:val="22"/>
        </w:rPr>
        <w:t xml:space="preserve">and</w:t>
      </w:r>
      <w:r>
        <w:rPr>
          <w:rFonts w:ascii="Times New Roman" w:hAnsi="Times New Roman"/>
          <w:b w:val="0"/>
          <w:color w:val="000000"/>
          <w:sz w:val="22"/>
        </w:rPr>
        <w:t xml:space="preserve"> </w:t>
      </w:r>
      <w:r>
        <w:rPr>
          <w:rFonts w:ascii="Times New Roman" w:hAnsi="Times New Roman"/>
          <w:b w:val="0"/>
          <w:color w:val="000000"/>
          <w:sz w:val="22"/>
        </w:rPr>
        <w:t xml:space="preserve">“os status:ch1”</w:t>
      </w:r>
      <w:r>
        <w:rPr>
          <w:rFonts w:ascii="Times New Roman" w:hAnsi="Times New Roman"/>
          <w:b w:val="0"/>
          <w:color w:val="000000"/>
          <w:sz w:val="22"/>
        </w:rPr>
        <w:t xml:space="preserve"> </w:t>
      </w:r>
      <w:r>
        <w:rPr>
          <w:rFonts w:ascii="Times New Roman" w:hAnsi="Times New Roman"/>
          <w:b w:val="0"/>
          <w:color w:val="000000"/>
          <w:sz w:val="22"/>
        </w:rPr>
        <w:t xml:space="preserve">fields, respectively. For GSE14520 and GSE76427, OS definitions followed the respective GEO record annotations. Patients were dichotomized into high/low TATS groups by median TATS. Kaplan–Meier survival curves were compared using the log-rank test. Cox proportional hazards regression was performed using the survival package, with TATS modeled as both a continuous variable (per-IQR increase) and a binary variable (median split). Multivariate Cox models were adjusted for etiology (HBV, HCV, NBNC) in cohort-specific subgroup analyses where etiology data were available. The proportional hazards assumption was assessed using Schoenfeld residual tests.</w:t>
      </w:r>
    </w:p>
    <w:bookmarkEnd w:id="35"/>
    <w:bookmarkStart w:id="36" w:name="upstream-transcription-factor-analysis"/>
    <w:p>
      <w:pPr>
        <w:pStyle w:val="Heading3"/>
        <w:spacing w:line="480" w:lineRule="auto"/>
      </w:pPr>
      <w:r>
        <w:rPr>
          <w:rFonts w:ascii="Times New Roman" w:hAnsi="Times New Roman"/>
          <w:b/>
          <w:color w:val="000000"/>
          <w:sz w:val="22"/>
        </w:rPr>
        <w:t xml:space="preserve">Upstream transcription factor analysis</w:t>
      </w:r>
    </w:p>
    <w:p>
      <w:pPr>
        <w:pStyle w:val="FirstParagraph"/>
        <w:spacing w:line="480" w:lineRule="auto"/>
      </w:pPr>
      <w:r>
        <w:rPr>
          <w:rFonts w:ascii="Times New Roman" w:hAnsi="Times New Roman"/>
          <w:b w:val="0"/>
          <w:color w:val="000000"/>
          <w:sz w:val="22"/>
        </w:rPr>
        <w:t xml:space="preserve">Nineteen candidate TFs were selected based on literature and MSigDB: ATF4, DDIT3, E2F1, E2F2, E2F3, E2F4, E2F5, E2F6, E2F7, E2F8, HIF1A, MTOR, MYC, MYCL, MYCN, NFE2L2, RPTOR, TP53, XBP1. This list encompasses the MYC family (MYC, MYCN, MYCL), the E2F family (E2F1–E2F8), mTOR pathway components, and stress-responsive TFs (ATF4, DDIT3, XBP1, HIF1A, NFE2L2, TP53).</w:t>
      </w:r>
    </w:p>
    <w:p>
      <w:pPr>
        <w:pStyle w:val="BodyText"/>
        <w:spacing w:line="480" w:lineRule="auto"/>
      </w:pPr>
      <w:r>
        <w:rPr>
          <w:rFonts w:ascii="Times New Roman" w:hAnsi="Times New Roman"/>
          <w:b w:val="0"/>
          <w:color w:val="000000"/>
          <w:sz w:val="22"/>
        </w:rPr>
        <w:t xml:space="preserve">Spearman correlation coefficients were computed between VST-normalized expression values of each TF and TATS across GSE141198 tumor samples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148). Benjamini–Hochberg (BH) false discovery rate (FDR) correction was applied across all 19 tests.</w:t>
      </w:r>
    </w:p>
    <w:bookmarkEnd w:id="36"/>
    <w:bookmarkStart w:id="37" w:name="direction-consistency-testing"/>
    <w:p>
      <w:pPr>
        <w:pStyle w:val="Heading3"/>
        <w:spacing w:line="480" w:lineRule="auto"/>
      </w:pPr>
      <w:r>
        <w:rPr>
          <w:rFonts w:ascii="Times New Roman" w:hAnsi="Times New Roman"/>
          <w:b/>
          <w:color w:val="000000"/>
          <w:sz w:val="22"/>
        </w:rPr>
        <w:t xml:space="preserve">Direction consistency testing</w:t>
      </w:r>
    </w:p>
    <w:p>
      <w:pPr>
        <w:pStyle w:val="FirstParagraph"/>
        <w:spacing w:line="480" w:lineRule="auto"/>
      </w:pP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 </w:t>
      </w:r>
      <w:r>
        <w:rPr>
          <w:rFonts w:ascii="Times New Roman" w:hAnsi="Times New Roman"/>
          <w:b w:val="0"/>
          <w:color w:val="000000"/>
          <w:sz w:val="22"/>
        </w:rPr>
        <w:t xml:space="preserve">fold-change (log</w:t>
      </w:r>
      <w:r>
        <w:rPr>
          <w:rFonts w:ascii="Times New Roman" w:hAnsi="Times New Roman"/>
          <w:b w:val="0"/>
          <w:color w:val="000000"/>
          <w:sz w:val="22"/>
        </w:rPr>
        <w:t xml:space="preserve">2</w:t>
      </w:r>
      <w:r>
        <w:rPr>
          <w:rFonts w:ascii="Times New Roman" w:hAnsi="Times New Roman"/>
          <w:b w:val="0"/>
          <w:color w:val="000000"/>
          <w:sz w:val="22"/>
        </w:rPr>
        <w:t xml:space="preserve">FC) values for translation-related module genes were obtained from TCGA-LIHC (tumor vs. normal, DESeq2) and GSE57338 (HF vs. non-failing, limma). Spearman correlation of cross-disease log</w:t>
      </w:r>
      <w:r>
        <w:rPr>
          <w:rFonts w:ascii="Times New Roman" w:hAnsi="Times New Roman"/>
          <w:b w:val="0"/>
          <w:color w:val="000000"/>
          <w:sz w:val="22"/>
        </w:rPr>
        <w:t xml:space="preserve">2</w:t>
      </w:r>
      <w:r>
        <w:rPr>
          <w:rFonts w:ascii="Times New Roman" w:hAnsi="Times New Roman"/>
          <w:b w:val="0"/>
          <w:color w:val="000000"/>
          <w:sz w:val="22"/>
        </w:rPr>
        <w:t xml:space="preserve">FC was used to assess directional consistency. Significance was evaluated by a 10,000-iteration permutation test (random seed = 42): the HCC-side log</w:t>
      </w:r>
      <w:r>
        <w:rPr>
          <w:rFonts w:ascii="Times New Roman" w:hAnsi="Times New Roman"/>
          <w:b w:val="0"/>
          <w:color w:val="000000"/>
          <w:sz w:val="22"/>
        </w:rPr>
        <w:t xml:space="preserve">2</w:t>
      </w:r>
      <w:r>
        <w:rPr>
          <w:rFonts w:ascii="Times New Roman" w:hAnsi="Times New Roman"/>
          <w:b w:val="0"/>
          <w:color w:val="000000"/>
          <w:sz w:val="22"/>
        </w:rPr>
        <w:t xml:space="preserve">FC vector was randomly shuffled in each iteration, and the one-sided empirical</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-value was computed as the proportion of permuted Spearman ρ values exceeding the observed ρ.</w:t>
      </w:r>
    </w:p>
    <w:bookmarkEnd w:id="37"/>
    <w:bookmarkStart w:id="38" w:name="large-language-model-usage"/>
    <w:p>
      <w:pPr>
        <w:pStyle w:val="Heading3"/>
        <w:spacing w:line="480" w:lineRule="auto"/>
      </w:pPr>
      <w:r>
        <w:rPr>
          <w:rFonts w:ascii="Times New Roman" w:hAnsi="Times New Roman"/>
          <w:b/>
          <w:color w:val="000000"/>
          <w:sz w:val="22"/>
        </w:rPr>
        <w:t xml:space="preserve">Large language model usage</w:t>
      </w:r>
    </w:p>
    <w:p>
      <w:pPr>
        <w:pStyle w:val="FirstParagraph"/>
        <w:spacing w:line="480" w:lineRule="auto"/>
      </w:pPr>
      <w:r>
        <w:rPr>
          <w:rFonts w:ascii="Times New Roman" w:hAnsi="Times New Roman"/>
          <w:b w:val="0"/>
          <w:color w:val="000000"/>
          <w:sz w:val="22"/>
        </w:rPr>
        <w:t xml:space="preserve">No large language models or generative AI tools were used in the design, execution, analysis, or writing of this study. All data analyses, statistical tests, and manuscript composition were performed by the authors.</w:t>
      </w:r>
    </w:p>
    <w:bookmarkEnd w:id="38"/>
    <w:bookmarkStart w:id="39" w:name="statistical-analysis"/>
    <w:p>
      <w:pPr>
        <w:pStyle w:val="Heading3"/>
        <w:spacing w:line="480" w:lineRule="auto"/>
      </w:pPr>
      <w:r>
        <w:rPr>
          <w:rFonts w:ascii="Times New Roman" w:hAnsi="Times New Roman"/>
          <w:b/>
          <w:color w:val="000000"/>
          <w:sz w:val="22"/>
        </w:rPr>
        <w:t xml:space="preserve">Statistical analysis</w:t>
      </w:r>
    </w:p>
    <w:p>
      <w:pPr>
        <w:pStyle w:val="FirstParagraph"/>
        <w:spacing w:line="480" w:lineRule="auto"/>
      </w:pPr>
      <w:r>
        <w:rPr>
          <w:rFonts w:ascii="Times New Roman" w:hAnsi="Times New Roman"/>
          <w:b w:val="0"/>
          <w:color w:val="000000"/>
          <w:sz w:val="22"/>
        </w:rPr>
        <w:t xml:space="preserve">All analyses were conducted in R version 4.6.0 (2026-04-24 ucrt). The following R packages were used: WGCNA (v1.74), DESeq2 (v1.52.0), GSVA (v2.6.2), msigdbr (v26.1.0), clusterProfiler (v4.20.0), survival (v3.8-6), survminer (v0.5.2), limma (v3.68.4), org.Hs.eg.db (v3.23.1), hugene11sttranscriptcluster.db (v8.8.0), TCGAbiolinks (v2.40.0), and dynamicTreeCut (v1.63-1). A complete session information record is available in the GitHub repository. The statistical significance threshold was set at two-sided</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0.05 unless otherwise stated. The BH FDR correction was applied for multiple testing correction throughout (GO enrichment, TF–TATS correlations). Permutation tests used 10,000 iterations with a fixed random seed (set.seed(42)) to ensure reproducibility. Missing data were not imputed (missing rate &lt; 5% in all datasets).</w:t>
      </w:r>
    </w:p>
    <w:bookmarkEnd w:id="39"/>
    <w:bookmarkStart w:id="40" w:name="Xc732e56844d6638cb1df5ac23b57142ab1c1c29"/>
    <w:p>
      <w:pPr>
        <w:pStyle w:val="Heading3"/>
        <w:spacing w:line="480" w:lineRule="auto"/>
      </w:pPr>
      <w:r>
        <w:rPr>
          <w:rFonts w:ascii="Times New Roman" w:hAnsi="Times New Roman"/>
          <w:b/>
          <w:color w:val="000000"/>
          <w:sz w:val="22"/>
        </w:rPr>
        <w:t xml:space="preserve">Robustness assessment across independent heart failure cohorts</w:t>
      </w:r>
    </w:p>
    <w:p>
      <w:pPr>
        <w:pStyle w:val="FirstParagraph"/>
        <w:spacing w:line="480" w:lineRule="auto"/>
      </w:pPr>
      <w:r>
        <w:rPr>
          <w:rFonts w:ascii="Times New Roman" w:hAnsi="Times New Roman"/>
          <w:b w:val="0"/>
          <w:color w:val="000000"/>
          <w:sz w:val="22"/>
        </w:rPr>
        <w:t xml:space="preserve">To assess the cross-cohort robustness of the mirror perturbation, an independent HF cohort (GSE116250;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64: 14 non-failing donors, 37 dilated cardiomyopathy, 13 ischemic cardiomyopathy) was analyzed using the identical ssGSEA pipeline. RNA-seq RPKM values were log</w:t>
      </w:r>
      <w:r>
        <w:rPr>
          <w:rFonts w:ascii="Times New Roman" w:hAnsi="Times New Roman"/>
          <w:b w:val="0"/>
          <w:color w:val="000000"/>
          <w:sz w:val="22"/>
        </w:rPr>
        <w:t xml:space="preserve">2</w:t>
      </w:r>
      <w:r>
        <w:rPr>
          <w:rFonts w:ascii="Times New Roman" w:hAnsi="Times New Roman"/>
          <w:b w:val="0"/>
          <w:color w:val="000000"/>
          <w:sz w:val="22"/>
        </w:rPr>
        <w:t xml:space="preserve">-transformed, and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w:t>
      </w:r>
      <w:r>
        <w:rPr>
          <w:rFonts w:ascii="Times New Roman" w:hAnsi="Times New Roman"/>
          <w:b w:val="0"/>
          <w:color w:val="000000"/>
          <w:sz w:val="22"/>
        </w:rPr>
        <w:t xml:space="preserve">effect sizes were computed for the 33 translation-related pathways (DCM + ICM vs. NF). Cross-disease effect size correlation (Spearman ρ) and sign concordance (mirror pathway overlap) between GSE116250 and TCGA-LIHC were compared with the original GSE57338–TCGA-LIHC comparison.</w:t>
      </w:r>
    </w:p>
    <w:bookmarkEnd w:id="40"/>
    <w:bookmarkStart w:id="41" w:name="same-organ-disease-controls"/>
    <w:p>
      <w:pPr>
        <w:pStyle w:val="Heading3"/>
        <w:spacing w:line="480" w:lineRule="auto"/>
      </w:pPr>
      <w:r>
        <w:rPr>
          <w:rFonts w:ascii="Times New Roman" w:hAnsi="Times New Roman"/>
          <w:b/>
          <w:color w:val="000000"/>
          <w:sz w:val="22"/>
        </w:rPr>
        <w:t xml:space="preserve">Same-organ disease controls</w:t>
      </w:r>
    </w:p>
    <w:p>
      <w:pPr>
        <w:pStyle w:val="FirstParagraph"/>
        <w:spacing w:line="480" w:lineRule="auto"/>
      </w:pPr>
      <w:r>
        <w:rPr>
          <w:rFonts w:ascii="Times New Roman" w:hAnsi="Times New Roman"/>
          <w:b w:val="0"/>
          <w:color w:val="000000"/>
          <w:sz w:val="22"/>
        </w:rPr>
        <w:t xml:space="preserve">To distinguish disease-specific mirror perturbation from constitutive tissue-specific differences, two same-organ disease comparisons were performed: (i) hypertrophic cardiomyopathy (HCM) vs. non-failing myocardium (GSE141910;</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28 HCM,</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166 NF), as a cardiac disease comparison; and (ii) cirrhosis vs. normal liver (GSE89377;</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12 cirrhosis,</w:t>
      </w:r>
      <w:r>
        <w:rPr>
          <w:rFonts w:ascii="Times New Roman" w:hAnsi="Times New Roman"/>
          <w:b w:val="0"/>
          <w:color w:val="000000"/>
          <w:sz w:val="22"/>
        </w:rPr>
        <w:t xml:space="preserve"> </w:t>
      </w:r>
      <w:r>
        <w:rPr>
          <w:rFonts w:ascii="Times New Roman" w:hAnsi="Times New Roman"/>
          <w:b w:val="0"/>
          <w:i/>
          <w:iCs/>
          <w:color w:val="000000"/>
          <w:sz w:val="22"/>
        </w:rPr>
        <w:t xml:space="preserve">n</w:t>
      </w:r>
      <w:r>
        <w:rPr>
          <w:rFonts w:ascii="Times New Roman" w:hAnsi="Times New Roman"/>
          <w:b w:val="0"/>
          <w:color w:val="000000"/>
          <w:sz w:val="22"/>
        </w:rPr>
        <w:t xml:space="preserve"> </w:t>
      </w:r>
      <w:r>
        <w:rPr>
          <w:rFonts w:ascii="Times New Roman" w:hAnsi="Times New Roman"/>
          <w:b w:val="0"/>
          <w:color w:val="000000"/>
          <w:sz w:val="22"/>
        </w:rPr>
        <w:t xml:space="preserve">= 13 normal), as a liver disease comparison. The identical ssGSEA pipeline was applied, and cross-disease effect size correlations with TCGA-LIHC were computed for each. A null or non-negative correlation in same-organ comparisons, contrasted with the negative correlation in the HF–HCC comparison, would support disease-context dependence rather than organ-specific baseline confounding.</w:t>
      </w:r>
    </w:p>
    <w:bookmarkEnd w:id="41"/>
    <w:bookmarkEnd w:id="42"/>
    <w:bookmarkStart w:id="43" w:name="availability-of-data-and-materials"/>
    <w:p>
      <w:pPr>
        <w:pStyle w:val="Heading2"/>
        <w:spacing w:line="480" w:lineRule="auto"/>
      </w:pPr>
      <w:r>
        <w:rPr>
          <w:rFonts w:ascii="Times New Roman" w:hAnsi="Times New Roman"/>
          <w:b/>
          <w:color w:val="000000"/>
          <w:sz w:val="22"/>
        </w:rPr>
        <w:t xml:space="preserve">Availability of data and materials</w:t>
      </w:r>
    </w:p>
    <w:p>
      <w:pPr>
        <w:pStyle w:val="FirstParagraph"/>
        <w:spacing w:line="480" w:lineRule="auto"/>
      </w:pPr>
      <w:r>
        <w:rPr>
          <w:rFonts w:ascii="Times New Roman" w:hAnsi="Times New Roman"/>
          <w:b w:val="0"/>
          <w:color w:val="000000"/>
          <w:sz w:val="22"/>
        </w:rPr>
        <w:t xml:space="preserve">All datasets used in this study are publicly available: GSE57338, GSE141198, GSE14520, and GSE76427 from the Gene Expression Omnibus (https://www.ncbi.nlm.nih.gov/geo/); TCGA-LIHC from the GDC Data Portal (https://portal.gdc.cancer.gov/).</w:t>
      </w:r>
    </w:p>
    <w:p>
      <w:pPr>
        <w:pStyle w:val="BodyText"/>
        <w:spacing w:line="480" w:lineRule="auto"/>
      </w:pPr>
      <w:r>
        <w:rPr>
          <w:rFonts w:ascii="Times New Roman" w:hAnsi="Times New Roman"/>
          <w:b w:val="0"/>
          <w:color w:val="000000"/>
          <w:sz w:val="22"/>
        </w:rPr>
        <w:t xml:space="preserve">Analysis code has been deposited in a GitHub repository and is accessible via an anonymous link during peer review: https://anonymous.4open.science/r/translation-mirror-hf-hcc-4622/. The repository (project name: translation-mirror-hf-hcc) contains the complete WGCNA, ssGSEA, TF correlation, and direction consistency analysis pipelines. Programming language: R and Python. License: MIT. Upon acceptance, the repository will be made publicly available and assigned a permanent DOI through Zenodo.</w:t>
      </w:r>
    </w:p>
    <w:bookmarkEnd w:id="43"/>
    <w:bookmarkStart w:id="44" w:name="references"/>
    <w:p>
      <w:pPr>
        <w:pStyle w:val="Heading2"/>
        <w:spacing w:line="480" w:lineRule="auto"/>
      </w:pPr>
      <w:r>
        <w:rPr>
          <w:rFonts w:ascii="Times New Roman" w:hAnsi="Times New Roman"/>
          <w:b/>
          <w:color w:val="000000"/>
          <w:sz w:val="22"/>
        </w:rPr>
        <w:t xml:space="preserve">References</w:t>
      </w:r>
    </w:p>
    <w:p>
      <w:pPr>
        <w:numPr>
          <w:ilvl w:val="0"/>
          <w:numId w:val="1001"/>
        </w:numPr>
        <w:spacing w:line="480" w:lineRule="auto"/>
      </w:pPr>
      <w:r>
        <w:rPr>
          <w:rFonts w:ascii="Times New Roman" w:hAnsi="Times New Roman"/>
          <w:b w:val="0"/>
          <w:color w:val="000000"/>
          <w:sz w:val="22"/>
        </w:rPr>
        <w:t xml:space="preserve">Mericskay, M., Zuurbier, C. J., Lopaschuk, G. D. &amp; Taegtmeyer, H. Cardiac intermediary metabolism in heart failure: substrate use, signalling roles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22</w:t>
      </w:r>
      <w:r>
        <w:rPr>
          <w:rFonts w:ascii="Times New Roman" w:hAnsi="Times New Roman"/>
          <w:b w:val="0"/>
          <w:color w:val="000000"/>
          <w:sz w:val="22"/>
        </w:rPr>
        <w:t xml:space="preserve">, 704–727 (2025).</w:t>
      </w:r>
    </w:p>
    <w:p>
      <w:pPr>
        <w:numPr>
          <w:ilvl w:val="0"/>
          <w:numId w:val="1001"/>
        </w:numPr>
        <w:spacing w:line="480" w:lineRule="auto"/>
      </w:pPr>
      <w:r>
        <w:rPr>
          <w:rFonts w:ascii="Times New Roman" w:hAnsi="Times New Roman"/>
          <w:b w:val="0"/>
          <w:color w:val="000000"/>
          <w:sz w:val="22"/>
        </w:rPr>
        <w:t xml:space="preserve">Abdellatif, M., Rainer, P. P., Sedej, S. &amp; Kroemer, G. Hallmarks of cardiovascular ageing.</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754–777 (2023).</w:t>
      </w:r>
    </w:p>
    <w:p>
      <w:pPr>
        <w:numPr>
          <w:ilvl w:val="0"/>
          <w:numId w:val="1001"/>
        </w:numPr>
        <w:spacing w:line="480" w:lineRule="auto"/>
      </w:pPr>
      <w:r>
        <w:rPr>
          <w:rFonts w:ascii="Times New Roman" w:hAnsi="Times New Roman"/>
          <w:b w:val="0"/>
          <w:color w:val="000000"/>
          <w:sz w:val="22"/>
        </w:rPr>
        <w:t xml:space="preserve">Lu, X., Paliogiannis, P., Calvisi, D. F. &amp; Chen, X. Role of the mammalian target of rapamycin pathway in liver cancer: from molecular genetics to targeted therapies.</w:t>
      </w:r>
      <w:r>
        <w:rPr>
          <w:rFonts w:ascii="Times New Roman" w:hAnsi="Times New Roman"/>
          <w:b w:val="0"/>
          <w:color w:val="000000"/>
          <w:sz w:val="22"/>
        </w:rPr>
        <w:t xml:space="preserve"> </w:t>
      </w:r>
      <w:r>
        <w:rPr>
          <w:rFonts w:ascii="Times New Roman" w:hAnsi="Times New Roman"/>
          <w:b w:val="0"/>
          <w:i/>
          <w:iCs/>
          <w:color w:val="000000"/>
          <w:sz w:val="22"/>
        </w:rPr>
        <w:t xml:space="preserve">Hepatology</w:t>
      </w:r>
      <w:r>
        <w:rPr>
          <w:rFonts w:ascii="Times New Roman" w:hAnsi="Times New Roman"/>
          <w:b w:val="0"/>
          <w:color w:val="000000"/>
          <w:sz w:val="22"/>
        </w:rPr>
        <w:t xml:space="preserve"> </w:t>
      </w:r>
      <w:r>
        <w:rPr>
          <w:rFonts w:ascii="Times New Roman" w:hAnsi="Times New Roman"/>
          <w:b w:val="0"/>
          <w:bCs/>
          <w:color w:val="000000"/>
          <w:sz w:val="22"/>
        </w:rPr>
        <w:t xml:space="preserve">73</w:t>
      </w:r>
      <w:r>
        <w:rPr>
          <w:rFonts w:ascii="Times New Roman" w:hAnsi="Times New Roman"/>
          <w:b w:val="0"/>
          <w:color w:val="000000"/>
          <w:sz w:val="22"/>
        </w:rPr>
        <w:t xml:space="preserve">, 49–61 (2021).</w:t>
      </w:r>
    </w:p>
    <w:p>
      <w:pPr>
        <w:numPr>
          <w:ilvl w:val="0"/>
          <w:numId w:val="1001"/>
        </w:numPr>
        <w:spacing w:line="480" w:lineRule="auto"/>
      </w:pPr>
      <w:r>
        <w:rPr>
          <w:rFonts w:ascii="Times New Roman" w:hAnsi="Times New Roman"/>
          <w:b w:val="0"/>
          <w:color w:val="000000"/>
          <w:sz w:val="22"/>
        </w:rPr>
        <w:t xml:space="preserve">Llovet, J. M. et al. Molecular pathogenesis and systemic therapies for hepatocellular carcinoma.</w:t>
      </w:r>
      <w:r>
        <w:rPr>
          <w:rFonts w:ascii="Times New Roman" w:hAnsi="Times New Roman"/>
          <w:b w:val="0"/>
          <w:color w:val="000000"/>
          <w:sz w:val="22"/>
        </w:rPr>
        <w:t xml:space="preserve"> </w:t>
      </w:r>
      <w:r>
        <w:rPr>
          <w:rFonts w:ascii="Times New Roman" w:hAnsi="Times New Roman"/>
          <w:b w:val="0"/>
          <w:i/>
          <w:iCs/>
          <w:color w:val="000000"/>
          <w:sz w:val="22"/>
        </w:rPr>
        <w:t xml:space="preserve">Nat. Cancer</w:t>
      </w:r>
      <w:r>
        <w:rPr>
          <w:rFonts w:ascii="Times New Roman" w:hAnsi="Times New Roman"/>
          <w:b w:val="0"/>
          <w:color w:val="000000"/>
          <w:sz w:val="22"/>
        </w:rPr>
        <w:t xml:space="preserve"> </w:t>
      </w:r>
      <w:r>
        <w:rPr>
          <w:rFonts w:ascii="Times New Roman" w:hAnsi="Times New Roman"/>
          <w:b w:val="0"/>
          <w:bCs/>
          <w:color w:val="000000"/>
          <w:sz w:val="22"/>
        </w:rPr>
        <w:t xml:space="preserve">3</w:t>
      </w:r>
      <w:r>
        <w:rPr>
          <w:rFonts w:ascii="Times New Roman" w:hAnsi="Times New Roman"/>
          <w:b w:val="0"/>
          <w:color w:val="000000"/>
          <w:sz w:val="22"/>
        </w:rPr>
        <w:t xml:space="preserve">, 386–401 (2022).</w:t>
      </w:r>
    </w:p>
    <w:p>
      <w:pPr>
        <w:numPr>
          <w:ilvl w:val="0"/>
          <w:numId w:val="1001"/>
        </w:numPr>
        <w:spacing w:line="480" w:lineRule="auto"/>
      </w:pPr>
      <w:r>
        <w:rPr>
          <w:rFonts w:ascii="Times New Roman" w:hAnsi="Times New Roman"/>
          <w:b w:val="0"/>
          <w:color w:val="000000"/>
          <w:sz w:val="22"/>
        </w:rPr>
        <w:t xml:space="preserve">Lanzer, J. D. et al. A cross-study transcriptional patient map of heart failure defines conserved multicellular coordination in cardiac remodeling.</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3560 (2025).</w:t>
      </w:r>
    </w:p>
    <w:p>
      <w:pPr>
        <w:numPr>
          <w:ilvl w:val="0"/>
          <w:numId w:val="1001"/>
        </w:numPr>
        <w:spacing w:line="480" w:lineRule="auto"/>
      </w:pPr>
      <w:r>
        <w:rPr>
          <w:rFonts w:ascii="Times New Roman" w:hAnsi="Times New Roman"/>
          <w:b w:val="0"/>
          <w:color w:val="000000"/>
          <w:sz w:val="22"/>
        </w:rPr>
        <w:t xml:space="preserve">Xie, S., Xu, M., Deng, W. &amp; Tang, Q. Metabolic landscape in cardiac aging: insights into molecular biology and therapeutic implications.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114 (2023).</w:t>
      </w:r>
    </w:p>
    <w:p>
      <w:pPr>
        <w:numPr>
          <w:ilvl w:val="0"/>
          <w:numId w:val="1001"/>
        </w:numPr>
        <w:spacing w:line="480" w:lineRule="auto"/>
      </w:pPr>
      <w:r>
        <w:rPr>
          <w:rFonts w:ascii="Times New Roman" w:hAnsi="Times New Roman"/>
          <w:b w:val="0"/>
          <w:color w:val="000000"/>
          <w:sz w:val="22"/>
        </w:rPr>
        <w:t xml:space="preserve">Brito Querido, J., Díaz-López, I. &amp; Ramakrishnan, V. The molecular basis of translation initiation and its regulation in eukaryotes.</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25</w:t>
      </w:r>
      <w:r>
        <w:rPr>
          <w:rFonts w:ascii="Times New Roman" w:hAnsi="Times New Roman"/>
          <w:b w:val="0"/>
          <w:color w:val="000000"/>
          <w:sz w:val="22"/>
        </w:rPr>
        <w:t xml:space="preserve">, 168–186 (2024).</w:t>
      </w:r>
    </w:p>
    <w:p>
      <w:pPr>
        <w:numPr>
          <w:ilvl w:val="0"/>
          <w:numId w:val="1001"/>
        </w:numPr>
        <w:spacing w:line="480" w:lineRule="auto"/>
      </w:pPr>
      <w:r>
        <w:rPr>
          <w:rFonts w:ascii="Times New Roman" w:hAnsi="Times New Roman"/>
          <w:b w:val="0"/>
          <w:color w:val="000000"/>
          <w:sz w:val="22"/>
        </w:rPr>
        <w:t xml:space="preserve">Jiao, L. et al. Ribosome biogenesis in disease: new players and therapeutic targets.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8</w:t>
      </w:r>
      <w:r>
        <w:rPr>
          <w:rFonts w:ascii="Times New Roman" w:hAnsi="Times New Roman"/>
          <w:b w:val="0"/>
          <w:color w:val="000000"/>
          <w:sz w:val="22"/>
        </w:rPr>
        <w:t xml:space="preserve">, 15 (2023).</w:t>
      </w:r>
    </w:p>
    <w:p>
      <w:pPr>
        <w:numPr>
          <w:ilvl w:val="0"/>
          <w:numId w:val="1001"/>
        </w:numPr>
        <w:spacing w:line="480" w:lineRule="auto"/>
      </w:pPr>
      <w:r>
        <w:rPr>
          <w:rFonts w:ascii="Times New Roman" w:hAnsi="Times New Roman"/>
          <w:b w:val="0"/>
          <w:color w:val="000000"/>
          <w:sz w:val="22"/>
        </w:rPr>
        <w:t xml:space="preserve">Jia, X. et al. Protein translation: biological processes and therapeutic strategies for human diseases.</w:t>
      </w:r>
      <w:r>
        <w:rPr>
          <w:rFonts w:ascii="Times New Roman" w:hAnsi="Times New Roman"/>
          <w:b w:val="0"/>
          <w:color w:val="000000"/>
          <w:sz w:val="22"/>
        </w:rPr>
        <w:t xml:space="preserve"> </w:t>
      </w:r>
      <w:r>
        <w:rPr>
          <w:rFonts w:ascii="Times New Roman" w:hAnsi="Times New Roman"/>
          <w:b w:val="0"/>
          <w:i/>
          <w:iCs/>
          <w:color w:val="000000"/>
          <w:sz w:val="22"/>
        </w:rPr>
        <w:t xml:space="preserve">Signal Transduct. Target. Ther.</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44 (2024).</w:t>
      </w:r>
    </w:p>
    <w:p>
      <w:pPr>
        <w:numPr>
          <w:ilvl w:val="0"/>
          <w:numId w:val="1001"/>
        </w:numPr>
        <w:spacing w:line="480" w:lineRule="auto"/>
      </w:pPr>
      <w:r>
        <w:rPr>
          <w:rFonts w:ascii="Times New Roman" w:hAnsi="Times New Roman"/>
          <w:b w:val="0"/>
          <w:color w:val="000000"/>
          <w:sz w:val="22"/>
        </w:rPr>
        <w:t xml:space="preserve">Goul, C., Peruzzo, R. &amp; Zoncu, R. The molecular basis of nutrient sensing and signalling by mTORC1 in metabolism regulation and disease.</w:t>
      </w:r>
      <w:r>
        <w:rPr>
          <w:rFonts w:ascii="Times New Roman" w:hAnsi="Times New Roman"/>
          <w:b w:val="0"/>
          <w:color w:val="000000"/>
          <w:sz w:val="22"/>
        </w:rPr>
        <w:t xml:space="preserve"> </w:t>
      </w:r>
      <w:r>
        <w:rPr>
          <w:rFonts w:ascii="Times New Roman" w:hAnsi="Times New Roman"/>
          <w:b w:val="0"/>
          <w:i/>
          <w:iCs/>
          <w:color w:val="000000"/>
          <w:sz w:val="22"/>
        </w:rPr>
        <w:t xml:space="preserve">Nat. Rev. Mol. Cell Biol.</w:t>
      </w:r>
      <w:r>
        <w:rPr>
          <w:rFonts w:ascii="Times New Roman" w:hAnsi="Times New Roman"/>
          <w:b w:val="0"/>
          <w:color w:val="000000"/>
          <w:sz w:val="22"/>
        </w:rPr>
        <w:t xml:space="preserve"> </w:t>
      </w:r>
      <w:r>
        <w:rPr>
          <w:rFonts w:ascii="Times New Roman" w:hAnsi="Times New Roman"/>
          <w:b w:val="0"/>
          <w:bCs/>
          <w:color w:val="000000"/>
          <w:sz w:val="22"/>
        </w:rPr>
        <w:t xml:space="preserve">24</w:t>
      </w:r>
      <w:r>
        <w:rPr>
          <w:rFonts w:ascii="Times New Roman" w:hAnsi="Times New Roman"/>
          <w:b w:val="0"/>
          <w:color w:val="000000"/>
          <w:sz w:val="22"/>
        </w:rPr>
        <w:t xml:space="preserve">, 857–875 (2023).</w:t>
      </w:r>
    </w:p>
    <w:p>
      <w:pPr>
        <w:numPr>
          <w:ilvl w:val="0"/>
          <w:numId w:val="1001"/>
        </w:numPr>
        <w:spacing w:line="480" w:lineRule="auto"/>
      </w:pPr>
      <w:r>
        <w:rPr>
          <w:rFonts w:ascii="Times New Roman" w:hAnsi="Times New Roman"/>
          <w:b w:val="0"/>
          <w:color w:val="000000"/>
          <w:sz w:val="22"/>
        </w:rPr>
        <w:t xml:space="preserve">Bartish, M. et al. The role of eIF4F-driven mRNA translation in regulating the tumour microenvironment.</w:t>
      </w:r>
      <w:r>
        <w:rPr>
          <w:rFonts w:ascii="Times New Roman" w:hAnsi="Times New Roman"/>
          <w:b w:val="0"/>
          <w:color w:val="000000"/>
          <w:sz w:val="22"/>
        </w:rPr>
        <w:t xml:space="preserve"> </w:t>
      </w:r>
      <w:r>
        <w:rPr>
          <w:rFonts w:ascii="Times New Roman" w:hAnsi="Times New Roman"/>
          <w:b w:val="0"/>
          <w:i/>
          <w:iCs/>
          <w:color w:val="000000"/>
          <w:sz w:val="22"/>
        </w:rPr>
        <w:t xml:space="preserve">Nat. Rev. Cancer</w:t>
      </w:r>
      <w:r>
        <w:rPr>
          <w:rFonts w:ascii="Times New Roman" w:hAnsi="Times New Roman"/>
          <w:b w:val="0"/>
          <w:color w:val="000000"/>
          <w:sz w:val="22"/>
        </w:rPr>
        <w:t xml:space="preserve"> </w:t>
      </w:r>
      <w:r>
        <w:rPr>
          <w:rFonts w:ascii="Times New Roman" w:hAnsi="Times New Roman"/>
          <w:b w:val="0"/>
          <w:bCs/>
          <w:color w:val="000000"/>
          <w:sz w:val="22"/>
        </w:rPr>
        <w:t xml:space="preserve">23</w:t>
      </w:r>
      <w:r>
        <w:rPr>
          <w:rFonts w:ascii="Times New Roman" w:hAnsi="Times New Roman"/>
          <w:b w:val="0"/>
          <w:color w:val="000000"/>
          <w:sz w:val="22"/>
        </w:rPr>
        <w:t xml:space="preserve">, 408–425 (2023).</w:t>
      </w:r>
    </w:p>
    <w:p>
      <w:pPr>
        <w:numPr>
          <w:ilvl w:val="0"/>
          <w:numId w:val="1001"/>
        </w:numPr>
        <w:spacing w:line="480" w:lineRule="auto"/>
      </w:pPr>
      <w:r>
        <w:rPr>
          <w:rFonts w:ascii="Times New Roman" w:hAnsi="Times New Roman"/>
          <w:b w:val="0"/>
          <w:color w:val="000000"/>
          <w:sz w:val="22"/>
        </w:rPr>
        <w:t xml:space="preserve">Jakobsen, S. T. &amp; Siersbæk, R. Transcriptional regulation by MYC: an emerging new model.</w:t>
      </w:r>
      <w:r>
        <w:rPr>
          <w:rFonts w:ascii="Times New Roman" w:hAnsi="Times New Roman"/>
          <w:b w:val="0"/>
          <w:color w:val="000000"/>
          <w:sz w:val="22"/>
        </w:rPr>
        <w:t xml:space="preserve"> </w:t>
      </w:r>
      <w:r>
        <w:rPr>
          <w:rFonts w:ascii="Times New Roman" w:hAnsi="Times New Roman"/>
          <w:b w:val="0"/>
          <w:i/>
          <w:iCs/>
          <w:color w:val="000000"/>
          <w:sz w:val="22"/>
        </w:rPr>
        <w:t xml:space="preserve">Oncogene</w:t>
      </w:r>
      <w:r>
        <w:rPr>
          <w:rFonts w:ascii="Times New Roman" w:hAnsi="Times New Roman"/>
          <w:b w:val="0"/>
          <w:color w:val="000000"/>
          <w:sz w:val="22"/>
        </w:rPr>
        <w:t xml:space="preserve"> </w:t>
      </w:r>
      <w:r>
        <w:rPr>
          <w:rFonts w:ascii="Times New Roman" w:hAnsi="Times New Roman"/>
          <w:b w:val="0"/>
          <w:bCs/>
          <w:color w:val="000000"/>
          <w:sz w:val="22"/>
        </w:rPr>
        <w:t xml:space="preserve">44</w:t>
      </w:r>
      <w:r>
        <w:rPr>
          <w:rFonts w:ascii="Times New Roman" w:hAnsi="Times New Roman"/>
          <w:b w:val="0"/>
          <w:color w:val="000000"/>
          <w:sz w:val="22"/>
        </w:rPr>
        <w:t xml:space="preserve">, 1–7 (2025).</w:t>
      </w:r>
    </w:p>
    <w:p>
      <w:pPr>
        <w:numPr>
          <w:ilvl w:val="0"/>
          <w:numId w:val="1001"/>
        </w:numPr>
        <w:spacing w:line="480" w:lineRule="auto"/>
      </w:pPr>
      <w:r>
        <w:rPr>
          <w:rFonts w:ascii="Times New Roman" w:hAnsi="Times New Roman"/>
          <w:b w:val="0"/>
          <w:color w:val="000000"/>
          <w:sz w:val="22"/>
        </w:rPr>
        <w:t xml:space="preserve">Love, M. I., Huber, W. &amp; Anders, S. Moderated estimation of fold change and dispersion for RNA-seq data with DESeq2.</w:t>
      </w:r>
      <w:r>
        <w:rPr>
          <w:rFonts w:ascii="Times New Roman" w:hAnsi="Times New Roman"/>
          <w:b w:val="0"/>
          <w:color w:val="000000"/>
          <w:sz w:val="22"/>
        </w:rPr>
        <w:t xml:space="preserve"> </w:t>
      </w:r>
      <w:r>
        <w:rPr>
          <w:rFonts w:ascii="Times New Roman" w:hAnsi="Times New Roman"/>
          <w:b w:val="0"/>
          <w:i/>
          <w:iCs/>
          <w:color w:val="000000"/>
          <w:sz w:val="22"/>
        </w:rPr>
        <w:t xml:space="preserve">Genome Biol.</w:t>
      </w:r>
      <w:r>
        <w:rPr>
          <w:rFonts w:ascii="Times New Roman" w:hAnsi="Times New Roman"/>
          <w:b w:val="0"/>
          <w:color w:val="000000"/>
          <w:sz w:val="22"/>
        </w:rPr>
        <w:t xml:space="preserve"> </w:t>
      </w:r>
      <w:r>
        <w:rPr>
          <w:rFonts w:ascii="Times New Roman" w:hAnsi="Times New Roman"/>
          <w:b w:val="0"/>
          <w:bCs/>
          <w:color w:val="000000"/>
          <w:sz w:val="22"/>
        </w:rPr>
        <w:t xml:space="preserve">15</w:t>
      </w:r>
      <w:r>
        <w:rPr>
          <w:rFonts w:ascii="Times New Roman" w:hAnsi="Times New Roman"/>
          <w:b w:val="0"/>
          <w:color w:val="000000"/>
          <w:sz w:val="22"/>
        </w:rPr>
        <w:t xml:space="preserve">, 550 (2014).</w:t>
      </w:r>
    </w:p>
    <w:p>
      <w:pPr>
        <w:numPr>
          <w:ilvl w:val="0"/>
          <w:numId w:val="1001"/>
        </w:numPr>
        <w:spacing w:line="480" w:lineRule="auto"/>
      </w:pPr>
      <w:r>
        <w:rPr>
          <w:rFonts w:ascii="Times New Roman" w:hAnsi="Times New Roman"/>
          <w:b w:val="0"/>
          <w:color w:val="000000"/>
          <w:sz w:val="22"/>
        </w:rPr>
        <w:t xml:space="preserve">Zhang, B. &amp; Horvath, S. A general framework for weighted gene co-expression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Stat. Appl. Genet. Mol. Biol.</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Article 17 (2005).</w:t>
      </w:r>
    </w:p>
    <w:p>
      <w:pPr>
        <w:numPr>
          <w:ilvl w:val="0"/>
          <w:numId w:val="1001"/>
        </w:numPr>
        <w:spacing w:line="480" w:lineRule="auto"/>
      </w:pPr>
      <w:r>
        <w:rPr>
          <w:rFonts w:ascii="Times New Roman" w:hAnsi="Times New Roman"/>
          <w:b w:val="0"/>
          <w:color w:val="000000"/>
          <w:sz w:val="22"/>
        </w:rPr>
        <w:t xml:space="preserve">Langfelder, P. &amp; Horvath, S. WGCNA: an R package for weighted correlation network analysis.</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9</w:t>
      </w:r>
      <w:r>
        <w:rPr>
          <w:rFonts w:ascii="Times New Roman" w:hAnsi="Times New Roman"/>
          <w:b w:val="0"/>
          <w:color w:val="000000"/>
          <w:sz w:val="22"/>
        </w:rPr>
        <w:t xml:space="preserve">, 559 (2008).</w:t>
      </w:r>
    </w:p>
    <w:p>
      <w:pPr>
        <w:numPr>
          <w:ilvl w:val="0"/>
          <w:numId w:val="1001"/>
        </w:numPr>
        <w:spacing w:line="480" w:lineRule="auto"/>
      </w:pPr>
      <w:r>
        <w:rPr>
          <w:rFonts w:ascii="Times New Roman" w:hAnsi="Times New Roman"/>
          <w:b w:val="0"/>
          <w:color w:val="000000"/>
          <w:sz w:val="22"/>
        </w:rPr>
        <w:t xml:space="preserve">Wu, T. et al. clusterProfiler 4.0: a universal enrichment tool for interpreting omics data.</w:t>
      </w:r>
      <w:r>
        <w:rPr>
          <w:rFonts w:ascii="Times New Roman" w:hAnsi="Times New Roman"/>
          <w:b w:val="0"/>
          <w:color w:val="000000"/>
          <w:sz w:val="22"/>
        </w:rPr>
        <w:t xml:space="preserve"> </w:t>
      </w:r>
      <w:r>
        <w:rPr>
          <w:rFonts w:ascii="Times New Roman" w:hAnsi="Times New Roman"/>
          <w:b w:val="0"/>
          <w:i/>
          <w:iCs/>
          <w:color w:val="000000"/>
          <w:sz w:val="22"/>
        </w:rPr>
        <w:t xml:space="preserve">Innovation</w:t>
      </w:r>
      <w:r>
        <w:rPr>
          <w:rFonts w:ascii="Times New Roman" w:hAnsi="Times New Roman"/>
          <w:b w:val="0"/>
          <w:color w:val="000000"/>
          <w:sz w:val="22"/>
        </w:rPr>
        <w:t xml:space="preserve"> </w:t>
      </w:r>
      <w:r>
        <w:rPr>
          <w:rFonts w:ascii="Times New Roman" w:hAnsi="Times New Roman"/>
          <w:b w:val="0"/>
          <w:bCs/>
          <w:color w:val="000000"/>
          <w:sz w:val="22"/>
        </w:rPr>
        <w:t xml:space="preserve">2</w:t>
      </w:r>
      <w:r>
        <w:rPr>
          <w:rFonts w:ascii="Times New Roman" w:hAnsi="Times New Roman"/>
          <w:b w:val="0"/>
          <w:color w:val="000000"/>
          <w:sz w:val="22"/>
        </w:rPr>
        <w:t xml:space="preserve">, 100141 (2021).</w:t>
      </w:r>
    </w:p>
    <w:p>
      <w:pPr>
        <w:numPr>
          <w:ilvl w:val="0"/>
          <w:numId w:val="1001"/>
        </w:numPr>
        <w:spacing w:line="480" w:lineRule="auto"/>
      </w:pPr>
      <w:r>
        <w:rPr>
          <w:rFonts w:ascii="Times New Roman" w:hAnsi="Times New Roman"/>
          <w:b w:val="0"/>
          <w:color w:val="000000"/>
          <w:sz w:val="22"/>
        </w:rPr>
        <w:t xml:space="preserve">Hänzelmann, S., Castelo, R. &amp; Guinney, J. GSVA: gene set variation analysis for microarray and RNA-seq data.</w:t>
      </w:r>
      <w:r>
        <w:rPr>
          <w:rFonts w:ascii="Times New Roman" w:hAnsi="Times New Roman"/>
          <w:b w:val="0"/>
          <w:color w:val="000000"/>
          <w:sz w:val="22"/>
        </w:rPr>
        <w:t xml:space="preserve"> </w:t>
      </w:r>
      <w:r>
        <w:rPr>
          <w:rFonts w:ascii="Times New Roman" w:hAnsi="Times New Roman"/>
          <w:b w:val="0"/>
          <w:i/>
          <w:iCs/>
          <w:color w:val="000000"/>
          <w:sz w:val="22"/>
        </w:rPr>
        <w:t xml:space="preserve">BMC Bioinformatics</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7 (2013).</w:t>
      </w:r>
    </w:p>
    <w:p>
      <w:pPr>
        <w:numPr>
          <w:ilvl w:val="0"/>
          <w:numId w:val="1001"/>
        </w:numPr>
        <w:spacing w:line="480" w:lineRule="auto"/>
      </w:pPr>
      <w:r>
        <w:rPr>
          <w:rFonts w:ascii="Times New Roman" w:hAnsi="Times New Roman"/>
          <w:b w:val="0"/>
          <w:color w:val="000000"/>
          <w:sz w:val="22"/>
        </w:rPr>
        <w:t xml:space="preserve">Barbie, D. A. et al. Systematic RNA interference reveals that oncogenic KRAS-driven cancers require TBK1.</w:t>
      </w:r>
      <w:r>
        <w:rPr>
          <w:rFonts w:ascii="Times New Roman" w:hAnsi="Times New Roman"/>
          <w:b w:val="0"/>
          <w:color w:val="000000"/>
          <w:sz w:val="22"/>
        </w:rPr>
        <w:t xml:space="preserve"> </w:t>
      </w:r>
      <w:r>
        <w:rPr>
          <w:rFonts w:ascii="Times New Roman" w:hAnsi="Times New Roman"/>
          <w:b w:val="0"/>
          <w:i/>
          <w:iCs/>
          <w:color w:val="000000"/>
          <w:sz w:val="22"/>
        </w:rPr>
        <w:t xml:space="preserve">Nature</w:t>
      </w:r>
      <w:r>
        <w:rPr>
          <w:rFonts w:ascii="Times New Roman" w:hAnsi="Times New Roman"/>
          <w:b w:val="0"/>
          <w:color w:val="000000"/>
          <w:sz w:val="22"/>
        </w:rPr>
        <w:t xml:space="preserve"> </w:t>
      </w:r>
      <w:r>
        <w:rPr>
          <w:rFonts w:ascii="Times New Roman" w:hAnsi="Times New Roman"/>
          <w:b w:val="0"/>
          <w:bCs/>
          <w:color w:val="000000"/>
          <w:sz w:val="22"/>
        </w:rPr>
        <w:t xml:space="preserve">462</w:t>
      </w:r>
      <w:r>
        <w:rPr>
          <w:rFonts w:ascii="Times New Roman" w:hAnsi="Times New Roman"/>
          <w:b w:val="0"/>
          <w:color w:val="000000"/>
          <w:sz w:val="22"/>
        </w:rPr>
        <w:t xml:space="preserve">, 108–112 (2009).</w:t>
      </w:r>
    </w:p>
    <w:p>
      <w:pPr>
        <w:numPr>
          <w:ilvl w:val="0"/>
          <w:numId w:val="1001"/>
        </w:numPr>
        <w:spacing w:line="480" w:lineRule="auto"/>
      </w:pPr>
      <w:r>
        <w:rPr>
          <w:rFonts w:ascii="Times New Roman" w:hAnsi="Times New Roman"/>
          <w:b w:val="0"/>
          <w:color w:val="000000"/>
          <w:sz w:val="22"/>
        </w:rPr>
        <w:t xml:space="preserve">Ritterhoff, J. &amp; Tian, R. Metabolic mechanisms in physiological and pathological cardiac hypertrophy: new paradigms and challenges.</w:t>
      </w:r>
      <w:r>
        <w:rPr>
          <w:rFonts w:ascii="Times New Roman" w:hAnsi="Times New Roman"/>
          <w:b w:val="0"/>
          <w:color w:val="000000"/>
          <w:sz w:val="22"/>
        </w:rPr>
        <w:t xml:space="preserve"> </w:t>
      </w:r>
      <w:r>
        <w:rPr>
          <w:rFonts w:ascii="Times New Roman" w:hAnsi="Times New Roman"/>
          <w:b w:val="0"/>
          <w:i/>
          <w:iCs/>
          <w:color w:val="000000"/>
          <w:sz w:val="22"/>
        </w:rPr>
        <w:t xml:space="preserve">Nat. Rev. Cardiol.</w:t>
      </w:r>
      <w:r>
        <w:rPr>
          <w:rFonts w:ascii="Times New Roman" w:hAnsi="Times New Roman"/>
          <w:b w:val="0"/>
          <w:color w:val="000000"/>
          <w:sz w:val="22"/>
        </w:rPr>
        <w:t xml:space="preserve"> </w:t>
      </w:r>
      <w:r>
        <w:rPr>
          <w:rFonts w:ascii="Times New Roman" w:hAnsi="Times New Roman"/>
          <w:b w:val="0"/>
          <w:bCs/>
          <w:color w:val="000000"/>
          <w:sz w:val="22"/>
        </w:rPr>
        <w:t xml:space="preserve">20</w:t>
      </w:r>
      <w:r>
        <w:rPr>
          <w:rFonts w:ascii="Times New Roman" w:hAnsi="Times New Roman"/>
          <w:b w:val="0"/>
          <w:color w:val="000000"/>
          <w:sz w:val="22"/>
        </w:rPr>
        <w:t xml:space="preserve">, 739–753 (2023).</w:t>
      </w:r>
    </w:p>
    <w:p>
      <w:pPr>
        <w:numPr>
          <w:ilvl w:val="0"/>
          <w:numId w:val="1001"/>
        </w:numPr>
        <w:spacing w:line="480" w:lineRule="auto"/>
      </w:pPr>
      <w:r>
        <w:rPr>
          <w:rFonts w:ascii="Times New Roman" w:hAnsi="Times New Roman"/>
          <w:b w:val="0"/>
          <w:color w:val="000000"/>
          <w:sz w:val="22"/>
        </w:rPr>
        <w:t xml:space="preserve">Costa-Mattioli, M. &amp; Walter, P. The integrated stress response: from mechanism to disease.</w:t>
      </w:r>
      <w:r>
        <w:rPr>
          <w:rFonts w:ascii="Times New Roman" w:hAnsi="Times New Roman"/>
          <w:b w:val="0"/>
          <w:color w:val="000000"/>
          <w:sz w:val="22"/>
        </w:rPr>
        <w:t xml:space="preserve"> </w:t>
      </w:r>
      <w:r>
        <w:rPr>
          <w:rFonts w:ascii="Times New Roman" w:hAnsi="Times New Roman"/>
          <w:b w:val="0"/>
          <w:i/>
          <w:iCs/>
          <w:color w:val="000000"/>
          <w:sz w:val="22"/>
        </w:rPr>
        <w:t xml:space="preserve">Science</w:t>
      </w:r>
      <w:r>
        <w:rPr>
          <w:rFonts w:ascii="Times New Roman" w:hAnsi="Times New Roman"/>
          <w:b w:val="0"/>
          <w:color w:val="000000"/>
          <w:sz w:val="22"/>
        </w:rPr>
        <w:t xml:space="preserve"> </w:t>
      </w:r>
      <w:r>
        <w:rPr>
          <w:rFonts w:ascii="Times New Roman" w:hAnsi="Times New Roman"/>
          <w:b w:val="0"/>
          <w:bCs/>
          <w:color w:val="000000"/>
          <w:sz w:val="22"/>
        </w:rPr>
        <w:t xml:space="preserve">368</w:t>
      </w:r>
      <w:r>
        <w:rPr>
          <w:rFonts w:ascii="Times New Roman" w:hAnsi="Times New Roman"/>
          <w:b w:val="0"/>
          <w:color w:val="000000"/>
          <w:sz w:val="22"/>
        </w:rPr>
        <w:t xml:space="preserve">, eaat5314 (2020).</w:t>
      </w:r>
    </w:p>
    <w:p>
      <w:pPr>
        <w:numPr>
          <w:ilvl w:val="0"/>
          <w:numId w:val="1001"/>
        </w:numPr>
        <w:spacing w:line="480" w:lineRule="auto"/>
      </w:pPr>
      <w:r>
        <w:rPr>
          <w:rFonts w:ascii="Times New Roman" w:hAnsi="Times New Roman"/>
          <w:b w:val="0"/>
          <w:color w:val="000000"/>
          <w:sz w:val="22"/>
        </w:rPr>
        <w:t xml:space="preserve">Wek, R. C., Anthony, T. G. &amp; Staschke, K. A. Surviving and adapting to stress: translational control and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Antioxid. Redox Signal.</w:t>
      </w:r>
      <w:r>
        <w:rPr>
          <w:rFonts w:ascii="Times New Roman" w:hAnsi="Times New Roman"/>
          <w:b w:val="0"/>
          <w:color w:val="000000"/>
          <w:sz w:val="22"/>
        </w:rPr>
        <w:t xml:space="preserve"> </w:t>
      </w:r>
      <w:r>
        <w:rPr>
          <w:rFonts w:ascii="Times New Roman" w:hAnsi="Times New Roman"/>
          <w:b w:val="0"/>
          <w:bCs/>
          <w:color w:val="000000"/>
          <w:sz w:val="22"/>
        </w:rPr>
        <w:t xml:space="preserve">39</w:t>
      </w:r>
      <w:r>
        <w:rPr>
          <w:rFonts w:ascii="Times New Roman" w:hAnsi="Times New Roman"/>
          <w:b w:val="0"/>
          <w:color w:val="000000"/>
          <w:sz w:val="22"/>
        </w:rPr>
        <w:t xml:space="preserve">, 351–373 (2023).</w:t>
      </w:r>
    </w:p>
    <w:p>
      <w:pPr>
        <w:numPr>
          <w:ilvl w:val="0"/>
          <w:numId w:val="1001"/>
        </w:numPr>
        <w:spacing w:line="480" w:lineRule="auto"/>
      </w:pPr>
      <w:r>
        <w:rPr>
          <w:rFonts w:ascii="Times New Roman" w:hAnsi="Times New Roman"/>
          <w:b w:val="0"/>
          <w:color w:val="000000"/>
          <w:sz w:val="22"/>
        </w:rPr>
        <w:t xml:space="preserve">Ramalho, S., Dopler, A. &amp; Faller, W. J. Ribosome specialization in cancer: a spotlight on ribosomal proteins.</w:t>
      </w:r>
      <w:r>
        <w:rPr>
          <w:rFonts w:ascii="Times New Roman" w:hAnsi="Times New Roman"/>
          <w:b w:val="0"/>
          <w:color w:val="000000"/>
          <w:sz w:val="22"/>
        </w:rPr>
        <w:t xml:space="preserve"> </w:t>
      </w:r>
      <w:r>
        <w:rPr>
          <w:rFonts w:ascii="Times New Roman" w:hAnsi="Times New Roman"/>
          <w:b w:val="0"/>
          <w:i/>
          <w:iCs/>
          <w:color w:val="000000"/>
          <w:sz w:val="22"/>
        </w:rPr>
        <w:t xml:space="preserve">NAR Cancer</w:t>
      </w:r>
      <w:r>
        <w:rPr>
          <w:rFonts w:ascii="Times New Roman" w:hAnsi="Times New Roman"/>
          <w:b w:val="0"/>
          <w:color w:val="000000"/>
          <w:sz w:val="22"/>
        </w:rPr>
        <w:t xml:space="preserve"> </w:t>
      </w:r>
      <w:r>
        <w:rPr>
          <w:rFonts w:ascii="Times New Roman" w:hAnsi="Times New Roman"/>
          <w:b w:val="0"/>
          <w:bCs/>
          <w:color w:val="000000"/>
          <w:sz w:val="22"/>
        </w:rPr>
        <w:t xml:space="preserve">4</w:t>
      </w:r>
      <w:r>
        <w:rPr>
          <w:rFonts w:ascii="Times New Roman" w:hAnsi="Times New Roman"/>
          <w:b w:val="0"/>
          <w:color w:val="000000"/>
          <w:sz w:val="22"/>
        </w:rPr>
        <w:t xml:space="preserve">, zcae029 (2024).</w:t>
      </w:r>
    </w:p>
    <w:p>
      <w:pPr>
        <w:numPr>
          <w:ilvl w:val="0"/>
          <w:numId w:val="1001"/>
        </w:numPr>
        <w:spacing w:line="480" w:lineRule="auto"/>
      </w:pPr>
      <w:r>
        <w:rPr>
          <w:rFonts w:ascii="Times New Roman" w:hAnsi="Times New Roman"/>
          <w:b w:val="0"/>
          <w:color w:val="000000"/>
          <w:sz w:val="22"/>
        </w:rPr>
        <w:t xml:space="preserve">Lu, H. J., Koju, N. &amp; Sheng, R. Mammalian integrated stress responses in stressed organelles and their functions.</w:t>
      </w:r>
      <w:r>
        <w:rPr>
          <w:rFonts w:ascii="Times New Roman" w:hAnsi="Times New Roman"/>
          <w:b w:val="0"/>
          <w:color w:val="000000"/>
          <w:sz w:val="22"/>
        </w:rPr>
        <w:t xml:space="preserve"> </w:t>
      </w:r>
      <w:r>
        <w:rPr>
          <w:rFonts w:ascii="Times New Roman" w:hAnsi="Times New Roman"/>
          <w:b w:val="0"/>
          <w:i/>
          <w:iCs/>
          <w:color w:val="000000"/>
          <w:sz w:val="22"/>
        </w:rPr>
        <w:t xml:space="preserve">Acta Pharmacol. Sin.</w:t>
      </w:r>
      <w:r>
        <w:rPr>
          <w:rFonts w:ascii="Times New Roman" w:hAnsi="Times New Roman"/>
          <w:b w:val="0"/>
          <w:color w:val="000000"/>
          <w:sz w:val="22"/>
        </w:rPr>
        <w:t xml:space="preserve"> </w:t>
      </w:r>
      <w:r>
        <w:rPr>
          <w:rFonts w:ascii="Times New Roman" w:hAnsi="Times New Roman"/>
          <w:b w:val="0"/>
          <w:bCs/>
          <w:color w:val="000000"/>
          <w:sz w:val="22"/>
        </w:rPr>
        <w:t xml:space="preserve">45</w:t>
      </w:r>
      <w:r>
        <w:rPr>
          <w:rFonts w:ascii="Times New Roman" w:hAnsi="Times New Roman"/>
          <w:b w:val="0"/>
          <w:color w:val="000000"/>
          <w:sz w:val="22"/>
        </w:rPr>
        <w:t xml:space="preserve">, 1095–1114 (2024).</w:t>
      </w:r>
    </w:p>
    <w:p>
      <w:pPr>
        <w:numPr>
          <w:ilvl w:val="0"/>
          <w:numId w:val="1001"/>
        </w:numPr>
        <w:spacing w:line="480" w:lineRule="auto"/>
      </w:pPr>
      <w:r>
        <w:rPr>
          <w:rFonts w:ascii="Times New Roman" w:hAnsi="Times New Roman"/>
          <w:b w:val="0"/>
          <w:color w:val="000000"/>
          <w:sz w:val="22"/>
        </w:rPr>
        <w:t xml:space="preserve">Neill, G. &amp; Masson, G. R. A stay of execution: ATF4 regulation and potential outcomes for the integrated stress response.</w:t>
      </w:r>
      <w:r>
        <w:rPr>
          <w:rFonts w:ascii="Times New Roman" w:hAnsi="Times New Roman"/>
          <w:b w:val="0"/>
          <w:color w:val="000000"/>
          <w:sz w:val="22"/>
        </w:rPr>
        <w:t xml:space="preserve"> </w:t>
      </w:r>
      <w:r>
        <w:rPr>
          <w:rFonts w:ascii="Times New Roman" w:hAnsi="Times New Roman"/>
          <w:b w:val="0"/>
          <w:i/>
          <w:iCs/>
          <w:color w:val="000000"/>
          <w:sz w:val="22"/>
        </w:rPr>
        <w:t xml:space="preserve">Front. Mol. Neurosci.</w:t>
      </w:r>
      <w:r>
        <w:rPr>
          <w:rFonts w:ascii="Times New Roman" w:hAnsi="Times New Roman"/>
          <w:b w:val="0"/>
          <w:color w:val="000000"/>
          <w:sz w:val="22"/>
        </w:rPr>
        <w:t xml:space="preserve"> </w:t>
      </w:r>
      <w:r>
        <w:rPr>
          <w:rFonts w:ascii="Times New Roman" w:hAnsi="Times New Roman"/>
          <w:b w:val="0"/>
          <w:bCs/>
          <w:color w:val="000000"/>
          <w:sz w:val="22"/>
        </w:rPr>
        <w:t xml:space="preserve">16</w:t>
      </w:r>
      <w:r>
        <w:rPr>
          <w:rFonts w:ascii="Times New Roman" w:hAnsi="Times New Roman"/>
          <w:b w:val="0"/>
          <w:color w:val="000000"/>
          <w:sz w:val="22"/>
        </w:rPr>
        <w:t xml:space="preserve">, 1112253 (2023).</w:t>
      </w:r>
    </w:p>
    <w:p>
      <w:pPr>
        <w:numPr>
          <w:ilvl w:val="0"/>
          <w:numId w:val="1001"/>
        </w:numPr>
        <w:spacing w:line="480" w:lineRule="auto"/>
      </w:pPr>
      <w:r>
        <w:rPr>
          <w:rFonts w:ascii="Times New Roman" w:hAnsi="Times New Roman"/>
          <w:b w:val="0"/>
          <w:color w:val="000000"/>
          <w:sz w:val="22"/>
        </w:rPr>
        <w:t xml:space="preserve">Lines, C. L., McGrath, M. J., Dorwart, T. &amp; Conn, C. S. The integrated stress response in cancer progression: a force for plasticity and resistance.</w:t>
      </w:r>
      <w:r>
        <w:rPr>
          <w:rFonts w:ascii="Times New Roman" w:hAnsi="Times New Roman"/>
          <w:b w:val="0"/>
          <w:color w:val="000000"/>
          <w:sz w:val="22"/>
        </w:rPr>
        <w:t xml:space="preserve"> </w:t>
      </w:r>
      <w:r>
        <w:rPr>
          <w:rFonts w:ascii="Times New Roman" w:hAnsi="Times New Roman"/>
          <w:b w:val="0"/>
          <w:i/>
          <w:iCs/>
          <w:color w:val="000000"/>
          <w:sz w:val="22"/>
        </w:rPr>
        <w:t xml:space="preserve">Front. Oncol.</w:t>
      </w:r>
      <w:r>
        <w:rPr>
          <w:rFonts w:ascii="Times New Roman" w:hAnsi="Times New Roman"/>
          <w:b w:val="0"/>
          <w:color w:val="000000"/>
          <w:sz w:val="22"/>
        </w:rPr>
        <w:t xml:space="preserve"> </w:t>
      </w:r>
      <w:r>
        <w:rPr>
          <w:rFonts w:ascii="Times New Roman" w:hAnsi="Times New Roman"/>
          <w:b w:val="0"/>
          <w:bCs/>
          <w:color w:val="000000"/>
          <w:sz w:val="22"/>
        </w:rPr>
        <w:t xml:space="preserve">13</w:t>
      </w:r>
      <w:r>
        <w:rPr>
          <w:rFonts w:ascii="Times New Roman" w:hAnsi="Times New Roman"/>
          <w:b w:val="0"/>
          <w:color w:val="000000"/>
          <w:sz w:val="22"/>
        </w:rPr>
        <w:t xml:space="preserve">, 1206561 (2023).</w:t>
      </w:r>
    </w:p>
    <w:p>
      <w:pPr>
        <w:numPr>
          <w:ilvl w:val="0"/>
          <w:numId w:val="1001"/>
        </w:numPr>
        <w:spacing w:line="480" w:lineRule="auto"/>
      </w:pPr>
      <w:r>
        <w:rPr>
          <w:rFonts w:ascii="Times New Roman" w:hAnsi="Times New Roman"/>
          <w:b w:val="0"/>
          <w:color w:val="000000"/>
          <w:sz w:val="22"/>
        </w:rPr>
        <w:t xml:space="preserve">Shiraishi, C. et al. RPL3L-containing ribosomes determine translation elongation dynamics required for cardiac function.</w:t>
      </w:r>
      <w:r>
        <w:rPr>
          <w:rFonts w:ascii="Times New Roman" w:hAnsi="Times New Roman"/>
          <w:b w:val="0"/>
          <w:color w:val="000000"/>
          <w:sz w:val="22"/>
        </w:rPr>
        <w:t xml:space="preserve"> </w:t>
      </w:r>
      <w:r>
        <w:rPr>
          <w:rFonts w:ascii="Times New Roman" w:hAnsi="Times New Roman"/>
          <w:b w:val="0"/>
          <w:i/>
          <w:iCs/>
          <w:color w:val="000000"/>
          <w:sz w:val="22"/>
        </w:rPr>
        <w:t xml:space="preserve">Nat. Commun.</w:t>
      </w:r>
      <w:r>
        <w:rPr>
          <w:rFonts w:ascii="Times New Roman" w:hAnsi="Times New Roman"/>
          <w:b w:val="0"/>
          <w:color w:val="000000"/>
          <w:sz w:val="22"/>
        </w:rPr>
        <w:t xml:space="preserve"> </w:t>
      </w:r>
      <w:r>
        <w:rPr>
          <w:rFonts w:ascii="Times New Roman" w:hAnsi="Times New Roman"/>
          <w:b w:val="0"/>
          <w:bCs/>
          <w:color w:val="000000"/>
          <w:sz w:val="22"/>
        </w:rPr>
        <w:t xml:space="preserve">14</w:t>
      </w:r>
      <w:r>
        <w:rPr>
          <w:rFonts w:ascii="Times New Roman" w:hAnsi="Times New Roman"/>
          <w:b w:val="0"/>
          <w:color w:val="000000"/>
          <w:sz w:val="22"/>
        </w:rPr>
        <w:t xml:space="preserve">, 2131 (2023).</w:t>
      </w:r>
    </w:p>
    <w:bookmarkEnd w:id="44"/>
    <w:bookmarkStart w:id="51" w:name="declarations"/>
    <w:p>
      <w:pPr>
        <w:pStyle w:val="Heading2"/>
        <w:spacing w:line="480" w:lineRule="auto"/>
      </w:pPr>
      <w:r>
        <w:rPr>
          <w:rFonts w:ascii="Times New Roman" w:hAnsi="Times New Roman"/>
          <w:b/>
          <w:color w:val="000000"/>
          <w:sz w:val="22"/>
        </w:rPr>
        <w:t xml:space="preserve">Declarations</w:t>
      </w:r>
    </w:p>
    <w:bookmarkStart w:id="45" w:name="Xd182db0490b2de20bd2b4e4cc8698599182035f"/>
    <w:p>
      <w:pPr>
        <w:pStyle w:val="Heading3"/>
        <w:spacing w:line="480" w:lineRule="auto"/>
      </w:pPr>
      <w:r>
        <w:rPr>
          <w:rFonts w:ascii="Times New Roman" w:hAnsi="Times New Roman"/>
          <w:b/>
          <w:color w:val="000000"/>
          <w:sz w:val="22"/>
        </w:rPr>
        <w:t xml:space="preserve">Ethics approval and consent to participate</w:t>
      </w:r>
    </w:p>
    <w:p>
      <w:pPr>
        <w:pStyle w:val="FirstParagraph"/>
        <w:spacing w:line="480" w:lineRule="auto"/>
      </w:pPr>
      <w:r>
        <w:rPr>
          <w:rFonts w:ascii="Times New Roman" w:hAnsi="Times New Roman"/>
          <w:b w:val="0"/>
          <w:color w:val="000000"/>
          <w:sz w:val="22"/>
        </w:rPr>
        <w:t xml:space="preserve">All datasets used in this study are publicly available and were originally collected with informed consent and ethical approval as described in their respective publications. No new data involving human participants or animals were generated for this study.</w:t>
      </w:r>
    </w:p>
    <w:bookmarkEnd w:id="45"/>
    <w:bookmarkStart w:id="46" w:name="consent-for-publication"/>
    <w:p>
      <w:pPr>
        <w:pStyle w:val="Heading3"/>
        <w:spacing w:line="480" w:lineRule="auto"/>
      </w:pPr>
      <w:r>
        <w:rPr>
          <w:rFonts w:ascii="Times New Roman" w:hAnsi="Times New Roman"/>
          <w:b/>
          <w:color w:val="000000"/>
          <w:sz w:val="22"/>
        </w:rPr>
        <w:t xml:space="preserve">Consent for publication</w:t>
      </w:r>
    </w:p>
    <w:p>
      <w:pPr>
        <w:pStyle w:val="FirstParagraph"/>
        <w:spacing w:line="480" w:lineRule="auto"/>
      </w:pPr>
      <w:r>
        <w:rPr>
          <w:rFonts w:ascii="Times New Roman" w:hAnsi="Times New Roman"/>
          <w:b w:val="0"/>
          <w:color w:val="000000"/>
          <w:sz w:val="22"/>
        </w:rPr>
        <w:t xml:space="preserve">Not applicable.</w:t>
      </w:r>
    </w:p>
    <w:bookmarkEnd w:id="46"/>
    <w:bookmarkStart w:id="47" w:name="competing-interests"/>
    <w:p>
      <w:pPr>
        <w:pStyle w:val="Heading3"/>
        <w:spacing w:line="480" w:lineRule="auto"/>
      </w:pPr>
      <w:r>
        <w:rPr>
          <w:rFonts w:ascii="Times New Roman" w:hAnsi="Times New Roman"/>
          <w:b/>
          <w:color w:val="000000"/>
          <w:sz w:val="22"/>
        </w:rPr>
        <w:t xml:space="preserve">Competing interests</w:t>
      </w:r>
    </w:p>
    <w:p>
      <w:pPr>
        <w:pStyle w:val="FirstParagraph"/>
        <w:spacing w:line="480" w:lineRule="auto"/>
      </w:pPr>
      <w:r>
        <w:rPr>
          <w:rFonts w:ascii="Times New Roman" w:hAnsi="Times New Roman"/>
          <w:b w:val="0"/>
          <w:color w:val="000000"/>
          <w:sz w:val="22"/>
        </w:rPr>
        <w:t xml:space="preserve">The authors declare that they have no competing interests.</w:t>
      </w:r>
    </w:p>
    <w:bookmarkEnd w:id="47"/>
    <w:bookmarkStart w:id="48" w:name="funding"/>
    <w:p>
      <w:pPr>
        <w:pStyle w:val="Heading3"/>
        <w:spacing w:line="480" w:lineRule="auto"/>
      </w:pPr>
      <w:r>
        <w:rPr>
          <w:rFonts w:ascii="Times New Roman" w:hAnsi="Times New Roman"/>
          <w:b/>
          <w:color w:val="000000"/>
          <w:sz w:val="22"/>
        </w:rPr>
        <w:t xml:space="preserve">Funding</w:t>
      </w:r>
    </w:p>
    <w:p>
      <w:pPr>
        <w:pStyle w:val="FirstParagraph"/>
        <w:spacing w:line="480" w:lineRule="auto"/>
      </w:pPr>
      <w:r>
        <w:rPr>
          <w:rFonts w:ascii="Times New Roman" w:hAnsi="Times New Roman"/>
          <w:b w:val="0"/>
          <w:color w:val="000000"/>
          <w:sz w:val="22"/>
        </w:rPr>
        <w:t xml:space="preserve">This research did not receive any specific grant from funding agencies in the public, commercial, or not-for-profit sectors.</w:t>
      </w:r>
    </w:p>
    <w:bookmarkEnd w:id="48"/>
    <w:bookmarkStart w:id="49" w:name="authors-contributions"/>
    <w:p>
      <w:pPr>
        <w:pStyle w:val="Heading3"/>
        <w:spacing w:line="480" w:lineRule="auto"/>
      </w:pPr>
      <w:r>
        <w:rPr>
          <w:rFonts w:ascii="Times New Roman" w:hAnsi="Times New Roman"/>
          <w:b/>
          <w:color w:val="000000"/>
          <w:sz w:val="22"/>
        </w:rPr>
        <w:t xml:space="preserve">Authors’ contributions</w:t>
      </w:r>
    </w:p>
    <w:p>
      <w:pPr>
        <w:pStyle w:val="FirstParagraph"/>
        <w:spacing w:line="480" w:lineRule="auto"/>
      </w:pPr>
      <w:r>
        <w:rPr>
          <w:rFonts w:ascii="Times New Roman" w:hAnsi="Times New Roman"/>
          <w:b w:val="0"/>
          <w:color w:val="000000"/>
          <w:sz w:val="22"/>
        </w:rPr>
        <w:t xml:space="preserve">Y.H.: Writing – original draft, Visualization, Software, Methodology, Investigation, Formal analysis, Data curation, Conceptualization. Y.L.: Methodology, Data curation, Formal analysis, Writing – review &amp; editing. X.L.: Data curation, Investigation, Writing – review &amp; editing. X.W.: Writing – review &amp; editing, Supervision, Conceptualization. J.W.: Writing – review &amp; editing, Supervision, Project administration, Methodology, Conceptualization. All authors have read and approved the final version of the manuscript.</w:t>
      </w:r>
    </w:p>
    <w:bookmarkEnd w:id="49"/>
    <w:bookmarkStart w:id="50" w:name="acknowledgements"/>
    <w:p>
      <w:pPr>
        <w:pStyle w:val="Heading3"/>
        <w:spacing w:line="480" w:lineRule="auto"/>
      </w:pPr>
      <w:r>
        <w:rPr>
          <w:rFonts w:ascii="Times New Roman" w:hAnsi="Times New Roman"/>
          <w:b/>
          <w:color w:val="000000"/>
          <w:sz w:val="22"/>
        </w:rPr>
        <w:t xml:space="preserve">Acknowledgements</w:t>
      </w:r>
    </w:p>
    <w:p>
      <w:pPr>
        <w:pStyle w:val="FirstParagraph"/>
        <w:spacing w:line="480" w:lineRule="auto"/>
      </w:pPr>
      <w:r>
        <w:rPr>
          <w:rFonts w:ascii="Times New Roman" w:hAnsi="Times New Roman"/>
          <w:b w:val="0"/>
          <w:color w:val="000000"/>
          <w:sz w:val="22"/>
        </w:rPr>
        <w:t xml:space="preserve">We thank all TCGA, GEO, and MSigDB database researchers and patients involved in the datasets used in this study, for their willingness to share relevant data and their contributions to medical progress.</w:t>
      </w:r>
    </w:p>
    <w:bookmarkEnd w:id="50"/>
    <w:bookmarkEnd w:id="51"/>
    <w:bookmarkStart w:id="52" w:name="additional-files"/>
    <w:p>
      <w:pPr>
        <w:pStyle w:val="Heading2"/>
        <w:spacing w:line="480" w:lineRule="auto"/>
      </w:pPr>
      <w:r>
        <w:rPr>
          <w:rFonts w:ascii="Times New Roman" w:hAnsi="Times New Roman"/>
          <w:b/>
          <w:color w:val="000000"/>
          <w:sz w:val="22"/>
        </w:rPr>
        <w:t xml:space="preserve">Additional files</w:t>
      </w:r>
    </w:p>
    <w:p>
      <w:pPr>
        <w:pStyle w:val="FirstParagraph"/>
        <w:spacing w:line="480" w:lineRule="auto"/>
      </w:pPr>
      <w:r>
        <w:rPr>
          <w:rFonts w:ascii="Times New Roman" w:hAnsi="Times New Roman"/>
          <w:b w:val="0"/>
          <w:bCs/>
          <w:color w:val="000000"/>
          <w:sz w:val="22"/>
        </w:rPr>
        <w:t xml:space="preserve">Additional file 1: Figure S1.</w:t>
      </w:r>
      <w:r>
        <w:rPr>
          <w:rFonts w:ascii="Times New Roman" w:hAnsi="Times New Roman"/>
          <w:b w:val="0"/>
          <w:color w:val="000000"/>
          <w:sz w:val="22"/>
        </w:rPr>
        <w:t xml:space="preserve"> </w:t>
      </w:r>
      <w:r>
        <w:rPr>
          <w:rFonts w:ascii="Times New Roman" w:hAnsi="Times New Roman"/>
          <w:b w:val="0"/>
          <w:color w:val="000000"/>
          <w:sz w:val="22"/>
        </w:rPr>
        <w:t xml:space="preserve">Green module hub gene identification. Module Membership vs. Gene Significance scatter plot for the HF green module (227 genes). Hub genes (red) satisfy |GS| &gt; 0.2 and |MM| &gt; 0.8 (dual criteria). (PNG)</w:t>
      </w:r>
    </w:p>
    <w:p>
      <w:pPr>
        <w:pStyle w:val="BodyText"/>
        <w:spacing w:line="480" w:lineRule="auto"/>
      </w:pPr>
      <w:r>
        <w:rPr>
          <w:rFonts w:ascii="Times New Roman" w:hAnsi="Times New Roman"/>
          <w:b w:val="0"/>
          <w:bCs/>
          <w:color w:val="000000"/>
          <w:sz w:val="22"/>
        </w:rPr>
        <w:t xml:space="preserve">Additional file 2: Figure S2.</w:t>
      </w:r>
      <w:r>
        <w:rPr>
          <w:rFonts w:ascii="Times New Roman" w:hAnsi="Times New Roman"/>
          <w:b w:val="0"/>
          <w:color w:val="000000"/>
          <w:sz w:val="22"/>
        </w:rPr>
        <w:t xml:space="preserve"> </w:t>
      </w:r>
      <w:r>
        <w:rPr>
          <w:rFonts w:ascii="Times New Roman" w:hAnsi="Times New Roman"/>
          <w:b w:val="0"/>
          <w:color w:val="000000"/>
          <w:sz w:val="22"/>
        </w:rPr>
        <w:t xml:space="preserve">TATS exploratory survival analysis by etiology subgroup. Kaplan–Meier overall survival curves for TATS (median split) in GSE141198 stratified by HBV, HCV, and NBNC etiology subgroups. (PNG)</w:t>
      </w:r>
    </w:p>
    <w:p>
      <w:pPr>
        <w:pStyle w:val="BodyText"/>
        <w:spacing w:line="480" w:lineRule="auto"/>
      </w:pPr>
      <w:r>
        <w:rPr>
          <w:rFonts w:ascii="Times New Roman" w:hAnsi="Times New Roman"/>
          <w:b w:val="0"/>
          <w:bCs/>
          <w:color w:val="000000"/>
          <w:sz w:val="22"/>
        </w:rPr>
        <w:t xml:space="preserve">Additional file 3: Figure S3.</w:t>
      </w:r>
      <w:r>
        <w:rPr>
          <w:rFonts w:ascii="Times New Roman" w:hAnsi="Times New Roman"/>
          <w:b w:val="0"/>
          <w:color w:val="000000"/>
          <w:sz w:val="22"/>
        </w:rPr>
        <w:t xml:space="preserve"> </w:t>
      </w:r>
      <w:r>
        <w:rPr>
          <w:rFonts w:ascii="Times New Roman" w:hAnsi="Times New Roman"/>
          <w:b w:val="0"/>
          <w:color w:val="000000"/>
          <w:sz w:val="22"/>
        </w:rPr>
        <w:t xml:space="preserve">Soft threshold selection for WGCNA. Scale-free topology fit index (R²) and mean connectivity as a function of soft-threshold power β.</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GSE141198 (HCC, RNA-seq, β = 4).</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GSE57338 (HF, microarray, β = 17, signed R² = 0.865). (PNG)</w:t>
      </w:r>
    </w:p>
    <w:p>
      <w:pPr>
        <w:pStyle w:val="BodyText"/>
        <w:spacing w:line="480" w:lineRule="auto"/>
      </w:pPr>
      <w:r>
        <w:rPr>
          <w:rFonts w:ascii="Times New Roman" w:hAnsi="Times New Roman"/>
          <w:b w:val="0"/>
          <w:bCs/>
          <w:color w:val="000000"/>
          <w:sz w:val="22"/>
        </w:rPr>
        <w:t xml:space="preserve">Additional file 4: Figure S4.</w:t>
      </w:r>
      <w:r>
        <w:rPr>
          <w:rFonts w:ascii="Times New Roman" w:hAnsi="Times New Roman"/>
          <w:b w:val="0"/>
          <w:color w:val="000000"/>
          <w:sz w:val="22"/>
        </w:rPr>
        <w:t xml:space="preserve"> </w:t>
      </w:r>
      <w:r>
        <w:rPr>
          <w:rFonts w:ascii="Times New Roman" w:hAnsi="Times New Roman"/>
          <w:b w:val="0"/>
          <w:color w:val="000000"/>
          <w:sz w:val="22"/>
        </w:rPr>
        <w:t xml:space="preserve">Green module internal robustness and cross-disease coherence assessment.</w:t>
      </w:r>
      <w:r>
        <w:rPr>
          <w:rFonts w:ascii="Times New Roman" w:hAnsi="Times New Roman"/>
          <w:b w:val="0"/>
          <w:color w:val="000000"/>
          <w:sz w:val="22"/>
        </w:rPr>
        <w:t xml:space="preserve"> </w:t>
      </w:r>
      <w:r>
        <w:rPr>
          <w:rFonts w:ascii="Times New Roman" w:hAnsi="Times New Roman"/>
          <w:b w:val="0"/>
          <w:bCs/>
          <w:color w:val="000000"/>
          <w:sz w:val="22"/>
        </w:rPr>
        <w:t xml:space="preserve">(a)</w:t>
      </w:r>
      <w:r>
        <w:rPr>
          <w:rFonts w:ascii="Times New Roman" w:hAnsi="Times New Roman"/>
          <w:b w:val="0"/>
          <w:color w:val="000000"/>
          <w:sz w:val="22"/>
        </w:rPr>
        <w:t xml:space="preserve"> </w:t>
      </w:r>
      <w:r>
        <w:rPr>
          <w:rFonts w:ascii="Times New Roman" w:hAnsi="Times New Roman"/>
          <w:b w:val="0"/>
          <w:color w:val="000000"/>
          <w:sz w:val="22"/>
        </w:rPr>
        <w:t xml:space="preserve">Intra-modular TOM distribution for the green module (227 genes, red) versus null expectation from 10,000 random gene sets of equal size (gray).</w:t>
      </w:r>
      <w:r>
        <w:rPr>
          <w:rFonts w:ascii="Times New Roman" w:hAnsi="Times New Roman"/>
          <w:b w:val="0"/>
          <w:color w:val="000000"/>
          <w:sz w:val="22"/>
        </w:rPr>
        <w:t xml:space="preserve"> </w:t>
      </w:r>
      <w:r>
        <w:rPr>
          <w:rFonts w:ascii="Times New Roman" w:hAnsi="Times New Roman"/>
          <w:b w:val="0"/>
          <w:i/>
          <w:iCs/>
          <w:color w:val="000000"/>
          <w:sz w:val="22"/>
        </w:rPr>
        <w:t xml:space="preserve">Z</w:t>
      </w:r>
      <w:r>
        <w:rPr>
          <w:rFonts w:ascii="Times New Roman" w:hAnsi="Times New Roman"/>
          <w:b w:val="0"/>
          <w:color w:val="000000"/>
          <w:sz w:val="22"/>
        </w:rPr>
        <w:t xml:space="preserve"> </w:t>
      </w:r>
      <w:r>
        <w:rPr>
          <w:rFonts w:ascii="Times New Roman" w:hAnsi="Times New Roman"/>
          <w:b w:val="0"/>
          <w:color w:val="000000"/>
          <w:sz w:val="22"/>
        </w:rPr>
        <w:t xml:space="preserve">= 62.8, permutation</w:t>
      </w:r>
      <w:r>
        <w:rPr>
          <w:rFonts w:ascii="Times New Roman" w:hAnsi="Times New Roman"/>
          <w:b w:val="0"/>
          <w:color w:val="000000"/>
          <w:sz w:val="22"/>
        </w:rPr>
        <w:t xml:space="preserve"> </w:t>
      </w:r>
      <w:r>
        <w:rPr>
          <w:rFonts w:ascii="Times New Roman" w:hAnsi="Times New Roman"/>
          <w:b w:val="0"/>
          <w:i/>
          <w:iCs/>
          <w:color w:val="000000"/>
          <w:sz w:val="22"/>
        </w:rPr>
        <w:t xml:space="preserve">P</w:t>
      </w:r>
      <w:r>
        <w:rPr>
          <w:rFonts w:ascii="Times New Roman" w:hAnsi="Times New Roman"/>
          <w:b w:val="0"/>
          <w:color w:val="000000"/>
          <w:sz w:val="22"/>
        </w:rPr>
        <w:t xml:space="preserve"> </w:t>
      </w:r>
      <w:r>
        <w:rPr>
          <w:rFonts w:ascii="Times New Roman" w:hAnsi="Times New Roman"/>
          <w:b w:val="0"/>
          <w:color w:val="000000"/>
          <w:sz w:val="22"/>
        </w:rPr>
        <w:t xml:space="preserve">&lt; 0.0001.</w:t>
      </w:r>
      <w:r>
        <w:rPr>
          <w:rFonts w:ascii="Times New Roman" w:hAnsi="Times New Roman"/>
          <w:b w:val="0"/>
          <w:color w:val="000000"/>
          <w:sz w:val="22"/>
        </w:rPr>
        <w:t xml:space="preserve"> </w:t>
      </w:r>
      <w:r>
        <w:rPr>
          <w:rFonts w:ascii="Times New Roman" w:hAnsi="Times New Roman"/>
          <w:b w:val="0"/>
          <w:bCs/>
          <w:color w:val="000000"/>
          <w:sz w:val="22"/>
        </w:rPr>
        <w:t xml:space="preserve">(b)</w:t>
      </w:r>
      <w:r>
        <w:rPr>
          <w:rFonts w:ascii="Times New Roman" w:hAnsi="Times New Roman"/>
          <w:b w:val="0"/>
          <w:color w:val="000000"/>
          <w:sz w:val="22"/>
        </w:rPr>
        <w:t xml:space="preserve"> </w:t>
      </w:r>
      <w:r>
        <w:rPr>
          <w:rFonts w:ascii="Times New Roman" w:hAnsi="Times New Roman"/>
          <w:b w:val="0"/>
          <w:color w:val="000000"/>
          <w:sz w:val="22"/>
        </w:rPr>
        <w:t xml:space="preserve">Gene-level jackknife resampling (90% retention, 100 iterations) assessing connectivity stability (CV = 1.6%).</w:t>
      </w:r>
      <w:r>
        <w:rPr>
          <w:rFonts w:ascii="Times New Roman" w:hAnsi="Times New Roman"/>
          <w:b w:val="0"/>
          <w:color w:val="000000"/>
          <w:sz w:val="22"/>
        </w:rPr>
        <w:t xml:space="preserve"> </w:t>
      </w:r>
      <w:r>
        <w:rPr>
          <w:rFonts w:ascii="Times New Roman" w:hAnsi="Times New Roman"/>
          <w:b w:val="0"/>
          <w:bCs/>
          <w:color w:val="000000"/>
          <w:sz w:val="22"/>
        </w:rPr>
        <w:t xml:space="preserve">(c)</w:t>
      </w:r>
      <w:r>
        <w:rPr>
          <w:rFonts w:ascii="Times New Roman" w:hAnsi="Times New Roman"/>
          <w:b w:val="0"/>
          <w:color w:val="000000"/>
          <w:sz w:val="22"/>
        </w:rPr>
        <w:t xml:space="preserve"> </w:t>
      </w:r>
      <w:r>
        <w:rPr>
          <w:rFonts w:ascii="Times New Roman" w:hAnsi="Times New Roman"/>
          <w:b w:val="0"/>
          <w:color w:val="000000"/>
          <w:sz w:val="22"/>
        </w:rPr>
        <w:t xml:space="preserve">Cross-disease coherence: mean absolute pairwise Pearson correlation of green module genes in the independent GSE141198 expression matrix (red) versus 1,000 random gene sets (gray). (PNG)</w:t>
      </w:r>
    </w:p>
    <w:p>
      <w:pPr>
        <w:pStyle w:val="BodyText"/>
        <w:spacing w:line="480" w:lineRule="auto"/>
      </w:pPr>
      <w:r>
        <w:rPr>
          <w:rFonts w:ascii="Times New Roman" w:hAnsi="Times New Roman"/>
          <w:b w:val="0"/>
          <w:bCs/>
          <w:color w:val="000000"/>
          <w:sz w:val="22"/>
        </w:rPr>
        <w:t xml:space="preserve">Additional file 5: Table S1.</w:t>
      </w:r>
      <w:r>
        <w:rPr>
          <w:rFonts w:ascii="Times New Roman" w:hAnsi="Times New Roman"/>
          <w:b w:val="0"/>
          <w:color w:val="000000"/>
          <w:sz w:val="22"/>
        </w:rPr>
        <w:t xml:space="preserve"> </w:t>
      </w:r>
      <w:r>
        <w:rPr>
          <w:rFonts w:ascii="Times New Roman" w:hAnsi="Times New Roman"/>
          <w:b w:val="0"/>
          <w:color w:val="000000"/>
          <w:sz w:val="22"/>
        </w:rPr>
        <w:t xml:space="preserve">HF green module gene list (227 genes) with module membership and gene significance statistics. (CSV)</w:t>
      </w:r>
    </w:p>
    <w:p>
      <w:pPr>
        <w:pStyle w:val="BodyText"/>
        <w:spacing w:line="480" w:lineRule="auto"/>
      </w:pPr>
      <w:r>
        <w:rPr>
          <w:rFonts w:ascii="Times New Roman" w:hAnsi="Times New Roman"/>
          <w:b w:val="0"/>
          <w:bCs/>
          <w:color w:val="000000"/>
          <w:sz w:val="22"/>
        </w:rPr>
        <w:t xml:space="preserve">Additional file 6: Table S2.</w:t>
      </w:r>
      <w:r>
        <w:rPr>
          <w:rFonts w:ascii="Times New Roman" w:hAnsi="Times New Roman"/>
          <w:b w:val="0"/>
          <w:color w:val="000000"/>
          <w:sz w:val="22"/>
        </w:rPr>
        <w:t xml:space="preserve"> </w:t>
      </w:r>
      <w:r>
        <w:rPr>
          <w:rFonts w:ascii="Times New Roman" w:hAnsi="Times New Roman"/>
          <w:b w:val="0"/>
          <w:color w:val="000000"/>
          <w:sz w:val="22"/>
        </w:rPr>
        <w:t xml:space="preserve">Complete ssGSEA pathway effect sizes (Cohen’s</w:t>
      </w:r>
      <w:r>
        <w:rPr>
          <w:rFonts w:ascii="Times New Roman" w:hAnsi="Times New Roman"/>
          <w:b w:val="0"/>
          <w:color w:val="000000"/>
          <w:sz w:val="22"/>
        </w:rPr>
        <w:t xml:space="preserve"> </w:t>
      </w:r>
      <w:r>
        <w:rPr>
          <w:rFonts w:ascii="Times New Roman" w:hAnsi="Times New Roman"/>
          <w:b w:val="0"/>
          <w:i/>
          <w:iCs/>
          <w:color w:val="000000"/>
          <w:sz w:val="22"/>
        </w:rPr>
        <w:t xml:space="preserve">d</w:t>
      </w:r>
      <w:r>
        <w:rPr>
          <w:rFonts w:ascii="Times New Roman" w:hAnsi="Times New Roman"/>
          <w:b w:val="0"/>
          <w:color w:val="000000"/>
          <w:sz w:val="22"/>
        </w:rPr>
        <w:t xml:space="preserve">) for all 81 pathways in HF and HCC. (CSV)</w:t>
      </w:r>
    </w:p>
    <w:p>
      <w:pPr>
        <w:pStyle w:val="BodyText"/>
        <w:spacing w:line="480" w:lineRule="auto"/>
      </w:pPr>
      <w:r>
        <w:rPr>
          <w:rFonts w:ascii="Times New Roman" w:hAnsi="Times New Roman"/>
          <w:b w:val="0"/>
          <w:bCs/>
          <w:color w:val="000000"/>
          <w:sz w:val="22"/>
        </w:rPr>
        <w:t xml:space="preserve">Additional file 7: Table S3.</w:t>
      </w:r>
      <w:r>
        <w:rPr>
          <w:rFonts w:ascii="Times New Roman" w:hAnsi="Times New Roman"/>
          <w:b w:val="0"/>
          <w:color w:val="000000"/>
          <w:sz w:val="22"/>
        </w:rPr>
        <w:t xml:space="preserve"> </w:t>
      </w:r>
      <w:r>
        <w:rPr>
          <w:rFonts w:ascii="Times New Roman" w:hAnsi="Times New Roman"/>
          <w:b w:val="0"/>
          <w:color w:val="000000"/>
          <w:sz w:val="22"/>
        </w:rPr>
        <w:t xml:space="preserve">Cross-disease log</w:t>
      </w:r>
      <w:r>
        <w:rPr>
          <w:rFonts w:ascii="Times New Roman" w:hAnsi="Times New Roman"/>
          <w:b w:val="0"/>
          <w:color w:val="000000"/>
          <w:sz w:val="22"/>
        </w:rPr>
        <w:t xml:space="preserve">2</w:t>
      </w:r>
      <w:r>
        <w:rPr>
          <w:rFonts w:ascii="Times New Roman" w:hAnsi="Times New Roman"/>
          <w:b w:val="0"/>
          <w:color w:val="000000"/>
          <w:sz w:val="22"/>
        </w:rPr>
        <w:t xml:space="preserve">FC and FDR for translation-related module genes. (CSV)</w:t>
      </w:r>
    </w:p>
    <w:p>
      <w:pPr>
        <w:pStyle w:val="BodyText"/>
        <w:spacing w:line="480" w:lineRule="auto"/>
      </w:pPr>
      <w:r>
        <w:rPr>
          <w:rFonts w:ascii="Times New Roman" w:hAnsi="Times New Roman"/>
          <w:b w:val="0"/>
          <w:bCs/>
          <w:color w:val="000000"/>
          <w:sz w:val="22"/>
        </w:rPr>
        <w:t xml:space="preserve">Additional file 8: Table S4.</w:t>
      </w:r>
      <w:r>
        <w:rPr>
          <w:rFonts w:ascii="Times New Roman" w:hAnsi="Times New Roman"/>
          <w:b w:val="0"/>
          <w:color w:val="000000"/>
          <w:sz w:val="22"/>
        </w:rPr>
        <w:t xml:space="preserve"> </w:t>
      </w:r>
      <w:r>
        <w:rPr>
          <w:rFonts w:ascii="Times New Roman" w:hAnsi="Times New Roman"/>
          <w:b w:val="0"/>
          <w:color w:val="000000"/>
          <w:sz w:val="22"/>
        </w:rPr>
        <w:t xml:space="preserve">Translation-related pathways showing mirror perturbation (HF↓ HCC↑) with binomial test statistics. (CSV)</w:t>
      </w:r>
    </w:p>
    <w:p>
      <w:pPr>
        <w:pStyle w:val="BodyText"/>
        <w:spacing w:line="480" w:lineRule="auto"/>
      </w:pPr>
      <w:r>
        <w:rPr>
          <w:rFonts w:ascii="Times New Roman" w:hAnsi="Times New Roman"/>
          <w:b w:val="0"/>
          <w:bCs/>
          <w:color w:val="000000"/>
          <w:sz w:val="22"/>
        </w:rPr>
        <w:t xml:space="preserve">Additional file 9: Table S5.</w:t>
      </w:r>
      <w:r>
        <w:rPr>
          <w:rFonts w:ascii="Times New Roman" w:hAnsi="Times New Roman"/>
          <w:b w:val="0"/>
          <w:color w:val="000000"/>
          <w:sz w:val="22"/>
        </w:rPr>
        <w:t xml:space="preserve"> </w:t>
      </w:r>
      <w:r>
        <w:rPr>
          <w:rFonts w:ascii="Times New Roman" w:hAnsi="Times New Roman"/>
          <w:b w:val="0"/>
          <w:color w:val="000000"/>
          <w:sz w:val="22"/>
        </w:rPr>
        <w:t xml:space="preserve">GO Biological Process enrichment results for the HF green module (clusterProfiler, BH-adjusted). (CSV)</w:t>
      </w:r>
    </w:p>
    <w:p>
      <w:pPr>
        <w:pStyle w:val="BodyText"/>
        <w:spacing w:line="480" w:lineRule="auto"/>
      </w:pPr>
      <w:r>
        <w:rPr>
          <w:rFonts w:ascii="Times New Roman" w:hAnsi="Times New Roman"/>
          <w:b w:val="0"/>
          <w:bCs/>
          <w:color w:val="000000"/>
          <w:sz w:val="22"/>
        </w:rPr>
        <w:t xml:space="preserve">Additional file 10: Table S6.</w:t>
      </w:r>
      <w:r>
        <w:rPr>
          <w:rFonts w:ascii="Times New Roman" w:hAnsi="Times New Roman"/>
          <w:b w:val="0"/>
          <w:color w:val="000000"/>
          <w:sz w:val="22"/>
        </w:rPr>
        <w:t xml:space="preserve"> </w:t>
      </w:r>
      <w:r>
        <w:rPr>
          <w:rFonts w:ascii="Times New Roman" w:hAnsi="Times New Roman"/>
          <w:b w:val="0"/>
          <w:color w:val="000000"/>
          <w:sz w:val="22"/>
        </w:rPr>
        <w:t xml:space="preserve">Complete TF–TATS Spearman correlation statistics for all 19 candidate transcription factors. (CSV)</w:t>
      </w:r>
    </w:p>
    <w:p>
      <w:pPr>
        <w:pStyle w:val="BodyText"/>
        <w:spacing w:line="480" w:lineRule="auto"/>
      </w:pPr>
      <w:r>
        <w:rPr>
          <w:rFonts w:ascii="Times New Roman" w:hAnsi="Times New Roman"/>
          <w:b w:val="0"/>
          <w:bCs/>
          <w:color w:val="000000"/>
          <w:sz w:val="22"/>
        </w:rPr>
        <w:t xml:space="preserve">Additional file 11: Table S7.</w:t>
      </w:r>
      <w:r>
        <w:rPr>
          <w:rFonts w:ascii="Times New Roman" w:hAnsi="Times New Roman"/>
          <w:b w:val="0"/>
          <w:color w:val="000000"/>
          <w:sz w:val="22"/>
        </w:rPr>
        <w:t xml:space="preserve"> </w:t>
      </w:r>
      <w:r>
        <w:rPr>
          <w:rFonts w:ascii="Times New Roman" w:hAnsi="Times New Roman"/>
          <w:b w:val="0"/>
          <w:color w:val="000000"/>
          <w:sz w:val="22"/>
        </w:rPr>
        <w:t xml:space="preserve">Gene overlap analysis between TATS gene set and Hallmark pathway gene sets, with de-overlap sensitivity analysis. (CSV)</w:t>
      </w:r>
    </w:p>
    <w:bookmarkEnd w:id="52"/>
    <w:bookmarkEnd w:id="53"/>
    <w:sectPr>
      <w:footnotePr>
        <w:numRestart w:val="eachSect"/>
      </w:footnotePr>
      <w:pgSz w:w="11906" w:h="16838"/>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480" w:lineRule="auto"/>
    </w:pPr>
    <w:rPr>
      <w:rFonts w:ascii="Times New Roman" w:hAnsi="Times New Roman"/>
      <w:b w:val="0"/>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0" w:line="480"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0" w:line="480" w:lineRule="auto"/>
      <w:outlineLvl w:val="1"/>
    </w:pPr>
    <w:rPr>
      <w:rFonts w:asciiTheme="majorHAnsi" w:cstheme="majorBidi" w:eastAsiaTheme="majorEastAsia" w:hAnsiTheme="majorHAnsi" w:ascii="Times New Roman" w:hAnsi="Times New Roman"/>
      <w:b/>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120" w:before="0" w:line="480" w:lineRule="auto"/>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1" Type="http://schemas.openxmlformats.org/officeDocument/2006/relationships/image" Target="media/rId21.png"/><Relationship Id="rId25" Type="http://schemas.openxmlformats.org/officeDocument/2006/relationships/image" Target="media/rId25.png"/><Relationship Id="rId17" Type="http://schemas.openxmlformats.org/officeDocument/2006/relationships/image" Target="media/rId17.png"/><Relationship Id="rId13" Type="http://schemas.openxmlformats.org/officeDocument/2006/relationships/image" Target="media/rId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2026-08-05T15:19:48Z</dcterms:created>
  <dcterms:modified xsi:type="dcterms:W3CDTF">2026-08-05T15:19:48Z</dcterms:modified>
</cp:coreProperties>
</file>

<file path=docProps/custom.xml><?xml version="1.0" encoding="utf-8"?>
<Properties xmlns="http://schemas.openxmlformats.org/officeDocument/2006/custom-properties" xmlns:vt="http://schemas.openxmlformats.org/officeDocument/2006/docPropsVTypes"/>
</file>