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76" w:lineRule="auto"/>
      </w:pPr>
      <w:r>
        <w:rPr>
          <w:rFonts w:ascii="Times New Roman" w:hAnsi="Times New Roman"/>
          <w:color w:val="000000"/>
        </w:rPr>
        <w:t xml:space="preserve">Conflict of Interest Statement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Manuscript: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“Translation-related transcriptional programs in hepatocellular carcinoma: disease-context-dependent remodeling revealed by cross-disease comparison with heart failure”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Journal: Hepatology Communications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The authors declare that they have no competing financial interests or personal relationships that could have appeared to influence the work reported in this paper.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Yuhe Hong: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Yili Liu: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Xianqi Li: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Xin Wu: no conflict of interest.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Junhong Wang: no conflict of interest.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Corresponding author: Junhong Wang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Department of Cardiology, The First Affiliated Hospital of Nanjing Medical University, Nanjing, China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E-mail: wangjunhong@jsph.org.cn</w:t>
      </w:r>
    </w:p>
    <w:p>
      <w:pPr>
        <w:pStyle w:val="BodyText"/>
        <w:spacing w:line="276" w:lineRule="auto"/>
      </w:pPr>
      <w:r>
        <w:rPr>
          <w:rFonts w:ascii="Times New Roman" w:hAnsi="Times New Roman"/>
          <w:color w:val="000000"/>
        </w:rPr>
        <w:t xml:space="preserve">Date: August 14, 2026</w:t>
      </w:r>
    </w:p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2026-08-14T05:43:10Z</dcterms:created>
  <dcterms:modified xsi:type="dcterms:W3CDTF">2026-08-14T05:43:10Z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