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pPr>
      <w:r>
        <w:rPr>
          <w:rFonts w:ascii="Times New Roman" w:hAnsi="Times New Roman"/>
          <w:b w:val="0"/>
          <w:color w:val="000000"/>
          <w:sz w:val="22"/>
        </w:rPr>
        <w:t xml:space="preserve">Article</w:t>
      </w:r>
    </w:p>
    <w:bookmarkStart w:id="52" w:name="X2eefefa1a8d5dbb69c6c6115ed26e4b3163d59b"/>
    <w:p>
      <w:pPr>
        <w:pStyle w:val="Heading1"/>
        <w:spacing w:line="36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360" w:lineRule="auto"/>
      </w:pPr>
      <w:r>
        <w:rPr>
          <w:rFonts w:ascii="Times New Roman" w:hAnsi="Times New Roman"/>
          <w:b w:val="0"/>
          <w:i/>
          <w:iCs/>
          <w:color w:val="000000"/>
          <w:sz w:val="22"/>
        </w:rPr>
        <w:t xml:space="preserve">[Author information redacted for double-blind peer review. Full author list, affiliations, and contact details are provided in the Cover Letter.]</w:t>
      </w:r>
    </w:p>
    <w:p>
      <w:pPr>
        <w:spacing w:line="360" w:lineRule="auto"/>
      </w:pPr>
      <w:r>
        <w:rPr>
          <w:rFonts w:ascii="Times New Roman" w:hAnsi="Times New Roman"/>
          <w:b w:val="0"/>
          <w:color w:val="000000"/>
          <w:sz w:val="22"/>
        </w:rPr>
        <w:pict>
          <v:rect style="width:0;height:1.5pt" o:hralign="center" o:hrstd="t" o:hr="t"/>
        </w:pict>
      </w:r>
    </w:p>
    <w:p>
      <w:pPr>
        <w:pStyle w:val="FirstParagraph"/>
        <w:spacing w:line="36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36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360" w:lineRule="auto"/>
      </w:pPr>
      <w:r>
        <w:rPr>
          <w:rFonts w:ascii="Times New Roman" w:hAnsi="Times New Roman"/>
          <w:b w:val="0"/>
          <w:color w:val="000000"/>
          <w:sz w:val="22"/>
        </w:rPr>
        <w:pict>
          <v:rect style="width:0;height:1.5pt" o:hralign="center" o:hrstd="t" o:hr="t"/>
        </w:pict>
      </w:r>
    </w:p>
    <w:p>
      <w:pPr>
        <w:pStyle w:val="FirstParagraph"/>
        <w:spacing w:line="36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36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36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36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360" w:lineRule="auto"/>
      </w:pPr>
      <w:r>
        <w:rPr>
          <w:rFonts w:ascii="Times New Roman" w:hAnsi="Times New Roman"/>
          <w:b/>
          <w:color w:val="000000"/>
          <w:sz w:val="22"/>
        </w:rPr>
        <w:t xml:space="preserve">Results</w:t>
      </w:r>
    </w:p>
    <w:bookmarkStart w:id="12" w:name="X29130612508969c7e43315de124d00ce5662986"/>
    <w:p>
      <w:pPr>
        <w:pStyle w:val="Heading3"/>
        <w:spacing w:line="36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36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Extended Data Fig. 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36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(Supplementary Table 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360" w:lineRule="auto"/>
      </w:pPr>
      <w:r>
        <w:rPr>
          <w:rFonts w:ascii="Times New Roman" w:hAnsi="Times New Roman"/>
          <w:b w:val="0"/>
          <w:color w:val="000000"/>
          <w:sz w:val="22"/>
        </w:rPr>
        <w:t xml:space="preserve">Hub genes were defined post hoc using dual criteria of |Gene Significance| &gt; 0.2 and |Module Membership| &gt; 0.8 within the green module (Extended Data Fig. 1). The top ten hub genes ranked by the product of |GS| × |MM| are listed in Supplementary Table 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36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36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Extended Data Fig. 4), rather than an artifact of the β = 17 soft-threshold parameter. We next examined whether this disease-context-dependent network organization is accompanied by oppositely directed pathway-level changes.</w:t>
      </w:r>
    </w:p>
    <w:p>
      <w:pPr>
        <w:pStyle w:val="CaptionedFigure"/>
        <w:spacing w:line="360" w:lineRule="auto"/>
      </w:pPr>
      <w:r>
        <w:rPr>
          <w:rFonts w:ascii="Times New Roman" w:hAnsi="Times New Roman"/>
          <w:b w:val="0"/>
          <w:color w:val="000000"/>
          <w:sz w:val="22"/>
        </w:rPr>
        <w:drawing>
          <wp:inline>
            <wp:extent cx="5334000" cy="4000499"/>
            <wp:effectExtent b="0" l="0" r="0" t="0"/>
            <wp:docPr descr="Figure 1" title="" id="10" name="Picture"/>
            <a:graphic>
              <a:graphicData uri="http://schemas.openxmlformats.org/drawingml/2006/picture">
                <pic:pic>
                  <pic:nvPicPr>
                    <pic:cNvPr descr="figures/Figure2_Translation_Module_Identification.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b w:val="0"/>
          <w:color w:val="000000"/>
          <w:sz w:val="22"/>
        </w:rPr>
        <w:t xml:space="preserve">Figure 1</w:t>
      </w:r>
    </w:p>
    <w:p>
      <w:pPr>
        <w:pStyle w:val="BodyText"/>
        <w:spacing w:line="36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360" w:lineRule="auto"/>
      </w:pPr>
      <w:r>
        <w:rPr>
          <w:rFonts w:ascii="Times New Roman" w:hAnsi="Times New Roman"/>
          <w:b/>
          <w:color w:val="000000"/>
          <w:sz w:val="22"/>
        </w:rPr>
        <w:t xml:space="preserve">Opposite pathway-level perturbation of translation-related programs between HF and HCC</w:t>
      </w:r>
    </w:p>
    <w:p>
      <w:pPr>
        <w:pStyle w:val="FirstParagraph"/>
        <w:spacing w:line="36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36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Supplementary Table 2.</w:t>
      </w:r>
    </w:p>
    <w:p>
      <w:pPr>
        <w:pStyle w:val="BodyText"/>
        <w:spacing w:line="36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Supplementary Table 4). The remaining nine pathways were enriched for mitochondrial translation or miRNA-mediated translational regulation rather than canonical cytoplasmic translation pathways (Supplementary Table 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36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360" w:lineRule="auto"/>
      </w:pPr>
      <w:r>
        <w:rPr>
          <w:rFonts w:ascii="Times New Roman" w:hAnsi="Times New Roman"/>
          <w:b w:val="0"/>
          <w:color w:val="000000"/>
          <w:sz w:val="22"/>
        </w:rPr>
        <w:drawing>
          <wp:inline>
            <wp:extent cx="5334000" cy="4267200"/>
            <wp:effectExtent b="0" l="0" r="0" t="0"/>
            <wp:docPr descr="Figure 2" title="" id="14" name="Picture"/>
            <a:graphic>
              <a:graphicData uri="http://schemas.openxmlformats.org/drawingml/2006/picture">
                <pic:pic>
                  <pic:nvPicPr>
                    <pic:cNvPr descr="figures/Figure_ssGSEA_cross_disease.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b w:val="0"/>
          <w:color w:val="000000"/>
          <w:sz w:val="22"/>
        </w:rPr>
        <w:t xml:space="preserve">Figure 2</w:t>
      </w:r>
    </w:p>
    <w:p>
      <w:pPr>
        <w:pStyle w:val="BodyText"/>
        <w:spacing w:line="36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360" w:lineRule="auto"/>
      </w:pPr>
      <w:r>
        <w:rPr>
          <w:rFonts w:ascii="Times New Roman" w:hAnsi="Times New Roman"/>
          <w:b/>
          <w:color w:val="000000"/>
          <w:sz w:val="22"/>
        </w:rPr>
        <w:t xml:space="preserve">Disease and cohort context influence the magnitude of translation-related remodeling</w:t>
      </w:r>
    </w:p>
    <w:p>
      <w:pPr>
        <w:pStyle w:val="FirstParagraph"/>
        <w:spacing w:line="36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36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36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360" w:lineRule="auto"/>
      </w:pPr>
      <w:r>
        <w:rPr>
          <w:rFonts w:ascii="Times New Roman" w:hAnsi="Times New Roman"/>
          <w:b w:val="0"/>
          <w:color w:val="000000"/>
          <w:sz w:val="22"/>
        </w:rPr>
        <w:drawing>
          <wp:inline>
            <wp:extent cx="5334000" cy="4572000"/>
            <wp:effectExtent b="0" l="0" r="0" t="0"/>
            <wp:docPr descr="Figure 3" title="" id="18" name="Picture"/>
            <a:graphic>
              <a:graphicData uri="http://schemas.openxmlformats.org/drawingml/2006/picture">
                <pic:pic>
                  <pic:nvPicPr>
                    <pic:cNvPr descr="figures/Figure_S5_Validation_SameOrgan_Controls.png" id="19" name="Picture"/>
                    <pic:cNvPicPr>
                      <a:picLocks noChangeArrowheads="1" noChangeAspect="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b w:val="0"/>
          <w:color w:val="000000"/>
          <w:sz w:val="22"/>
        </w:rPr>
        <w:t xml:space="preserve">Figure 3</w:t>
      </w:r>
    </w:p>
    <w:p>
      <w:pPr>
        <w:pStyle w:val="BodyText"/>
        <w:spacing w:line="36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360" w:lineRule="auto"/>
      </w:pPr>
      <w:r>
        <w:rPr>
          <w:rFonts w:ascii="Times New Roman" w:hAnsi="Times New Roman"/>
          <w:b/>
          <w:color w:val="000000"/>
          <w:sz w:val="22"/>
        </w:rPr>
        <w:t xml:space="preserve">Exploratory assessment of TATS clinical associations</w:t>
      </w:r>
    </w:p>
    <w:p>
      <w:pPr>
        <w:pStyle w:val="FirstParagraph"/>
        <w:spacing w:line="36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36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36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ure4_TATS_Validation.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b w:val="0"/>
          <w:color w:val="000000"/>
          <w:sz w:val="22"/>
        </w:rPr>
        <w:t xml:space="preserve">Figure 4</w:t>
      </w:r>
    </w:p>
    <w:p>
      <w:pPr>
        <w:pStyle w:val="BodyText"/>
        <w:spacing w:line="36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360" w:lineRule="auto"/>
      </w:pPr>
      <w:r>
        <w:rPr>
          <w:rFonts w:ascii="Times New Roman" w:hAnsi="Times New Roman"/>
          <w:b/>
          <w:color w:val="000000"/>
          <w:sz w:val="22"/>
        </w:rPr>
        <w:t xml:space="preserve">Regulatory associations with translation-related transcriptional programs</w:t>
      </w:r>
    </w:p>
    <w:p>
      <w:pPr>
        <w:pStyle w:val="FirstParagraph"/>
        <w:spacing w:line="36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36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(Supplementary Table 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36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6.</w:t>
      </w:r>
    </w:p>
    <w:p>
      <w:pPr>
        <w:pStyle w:val="BodyText"/>
        <w:spacing w:line="36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360" w:lineRule="auto"/>
      </w:pPr>
      <w:r>
        <w:rPr>
          <w:rFonts w:ascii="Times New Roman" w:hAnsi="Times New Roman"/>
          <w:b w:val="0"/>
          <w:color w:val="000000"/>
          <w:sz w:val="22"/>
        </w:rPr>
        <w:drawing>
          <wp:inline>
            <wp:extent cx="5334000" cy="5067299"/>
            <wp:effectExtent b="0" l="0" r="0" t="0"/>
            <wp:docPr descr="Figure 5" title="" id="26" name="Picture"/>
            <a:graphic>
              <a:graphicData uri="http://schemas.openxmlformats.org/drawingml/2006/picture">
                <pic:pic>
                  <pic:nvPicPr>
                    <pic:cNvPr descr="figures/Figure5_Combined.png" id="27" name="Picture"/>
                    <pic:cNvPicPr>
                      <a:picLocks noChangeArrowheads="1" noChangeAspect="1"/>
                    </pic:cNvPicPr>
                  </pic:nvPicPr>
                  <pic:blipFill>
                    <a:blip r:embed="rId25"/>
                    <a:stretch>
                      <a:fillRect/>
                    </a:stretch>
                  </pic:blipFill>
                  <pic:spPr bwMode="auto">
                    <a:xfrm>
                      <a:off x="0" y="0"/>
                      <a:ext cx="5334000" cy="5067299"/>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b w:val="0"/>
          <w:color w:val="000000"/>
          <w:sz w:val="22"/>
        </w:rPr>
        <w:t xml:space="preserve">Figure 5</w:t>
      </w:r>
    </w:p>
    <w:p>
      <w:pPr>
        <w:pStyle w:val="BodyText"/>
        <w:spacing w:line="36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360" w:lineRule="auto"/>
      </w:pPr>
      <w:r>
        <w:rPr>
          <w:rFonts w:ascii="Times New Roman" w:hAnsi="Times New Roman"/>
          <w:b/>
          <w:color w:val="000000"/>
          <w:sz w:val="22"/>
        </w:rPr>
        <w:t xml:space="preserve">Discussion</w:t>
      </w:r>
    </w:p>
    <w:p>
      <w:pPr>
        <w:pStyle w:val="FirstParagraph"/>
        <w:spacing w:line="36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36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36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36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36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36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36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360" w:lineRule="auto"/>
      </w:pPr>
      <w:r>
        <w:rPr>
          <w:rFonts w:ascii="Times New Roman" w:hAnsi="Times New Roman"/>
          <w:b/>
          <w:color w:val="000000"/>
          <w:sz w:val="22"/>
        </w:rPr>
        <w:t xml:space="preserve">Conclusion</w:t>
      </w:r>
    </w:p>
    <w:p>
      <w:pPr>
        <w:pStyle w:val="FirstParagraph"/>
        <w:spacing w:line="36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360" w:lineRule="auto"/>
      </w:pPr>
      <w:r>
        <w:rPr>
          <w:rFonts w:ascii="Times New Roman" w:hAnsi="Times New Roman"/>
          <w:b/>
          <w:color w:val="000000"/>
          <w:sz w:val="22"/>
        </w:rPr>
        <w:t xml:space="preserve">Methods</w:t>
      </w:r>
    </w:p>
    <w:bookmarkStart w:id="32" w:name="data-acquisition-and-preprocessing"/>
    <w:p>
      <w:pPr>
        <w:pStyle w:val="Heading3"/>
        <w:spacing w:line="360" w:lineRule="auto"/>
      </w:pPr>
      <w:r>
        <w:rPr>
          <w:rFonts w:ascii="Times New Roman" w:hAnsi="Times New Roman"/>
          <w:b/>
          <w:color w:val="000000"/>
          <w:sz w:val="22"/>
        </w:rPr>
        <w:t xml:space="preserve">Data acquisition and preprocessing</w:t>
      </w:r>
    </w:p>
    <w:p>
      <w:pPr>
        <w:pStyle w:val="FirstParagraph"/>
        <w:spacing w:line="36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36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36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36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36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36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360" w:lineRule="auto"/>
      </w:pPr>
      <w:r>
        <w:rPr>
          <w:rFonts w:ascii="Times New Roman" w:hAnsi="Times New Roman"/>
          <w:b/>
          <w:color w:val="000000"/>
          <w:sz w:val="22"/>
        </w:rPr>
        <w:t xml:space="preserve">WGCNA co-expression network analysis</w:t>
      </w:r>
    </w:p>
    <w:p>
      <w:pPr>
        <w:pStyle w:val="FirstParagraph"/>
        <w:spacing w:line="36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Extended Data Fig. 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36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36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36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36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360" w:lineRule="auto"/>
      </w:pPr>
      <w:r>
        <w:rPr>
          <w:rFonts w:ascii="Times New Roman" w:hAnsi="Times New Roman"/>
          <w:b/>
          <w:color w:val="000000"/>
          <w:sz w:val="22"/>
        </w:rPr>
        <w:t xml:space="preserve">ssGSEA pathway activity analysis</w:t>
      </w:r>
    </w:p>
    <w:p>
      <w:pPr>
        <w:pStyle w:val="FirstParagraph"/>
        <w:spacing w:line="36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36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360" w:lineRule="auto"/>
      </w:pPr>
      <w:r>
        <w:rPr>
          <w:rFonts w:ascii="Times New Roman" w:hAnsi="Times New Roman"/>
          <w:b/>
          <w:color w:val="000000"/>
          <w:sz w:val="22"/>
        </w:rPr>
        <w:t xml:space="preserve">Translation-associated transcriptional score (TATS) and survival analysis</w:t>
      </w:r>
    </w:p>
    <w:p>
      <w:pPr>
        <w:pStyle w:val="FirstParagraph"/>
        <w:spacing w:line="36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360" w:lineRule="auto"/>
      </w:pPr>
      <w:r>
        <w:rPr>
          <w:rFonts w:ascii="Times New Roman" w:hAnsi="Times New Roman"/>
          <w:b/>
          <w:color w:val="000000"/>
          <w:sz w:val="22"/>
        </w:rPr>
        <w:t xml:space="preserve">Upstream transcription factor analysis</w:t>
      </w:r>
    </w:p>
    <w:p>
      <w:pPr>
        <w:pStyle w:val="FirstParagraph"/>
        <w:spacing w:line="36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36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360" w:lineRule="auto"/>
      </w:pPr>
      <w:r>
        <w:rPr>
          <w:rFonts w:ascii="Times New Roman" w:hAnsi="Times New Roman"/>
          <w:b/>
          <w:color w:val="000000"/>
          <w:sz w:val="22"/>
        </w:rPr>
        <w:t xml:space="preserve">Direction consistency testing</w:t>
      </w:r>
    </w:p>
    <w:p>
      <w:pPr>
        <w:pStyle w:val="FirstParagraph"/>
        <w:spacing w:line="36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360" w:lineRule="auto"/>
      </w:pPr>
      <w:r>
        <w:rPr>
          <w:rFonts w:ascii="Times New Roman" w:hAnsi="Times New Roman"/>
          <w:b/>
          <w:color w:val="000000"/>
          <w:sz w:val="22"/>
        </w:rPr>
        <w:t xml:space="preserve">Large language model usage</w:t>
      </w:r>
    </w:p>
    <w:p>
      <w:pPr>
        <w:pStyle w:val="FirstParagraph"/>
        <w:spacing w:line="360" w:lineRule="auto"/>
      </w:pPr>
      <w:r>
        <w:rPr>
          <w:rFonts w:ascii="Times New Roman" w:hAnsi="Times New Roman"/>
          <w:b w:val="0"/>
          <w:color w:val="000000"/>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360" w:lineRule="auto"/>
      </w:pPr>
      <w:r>
        <w:rPr>
          <w:rFonts w:ascii="Times New Roman" w:hAnsi="Times New Roman"/>
          <w:b/>
          <w:color w:val="000000"/>
          <w:sz w:val="22"/>
        </w:rPr>
        <w:t xml:space="preserve">Statistical analysis</w:t>
      </w:r>
    </w:p>
    <w:p>
      <w:pPr>
        <w:pStyle w:val="FirstParagraph"/>
        <w:spacing w:line="36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360" w:lineRule="auto"/>
      </w:pPr>
      <w:r>
        <w:rPr>
          <w:rFonts w:ascii="Times New Roman" w:hAnsi="Times New Roman"/>
          <w:b/>
          <w:color w:val="000000"/>
          <w:sz w:val="22"/>
        </w:rPr>
        <w:t xml:space="preserve">Robustness assessment across independent heart failure cohorts</w:t>
      </w:r>
    </w:p>
    <w:p>
      <w:pPr>
        <w:pStyle w:val="FirstParagraph"/>
        <w:spacing w:line="36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360" w:lineRule="auto"/>
      </w:pPr>
      <w:r>
        <w:rPr>
          <w:rFonts w:ascii="Times New Roman" w:hAnsi="Times New Roman"/>
          <w:b/>
          <w:color w:val="000000"/>
          <w:sz w:val="22"/>
        </w:rPr>
        <w:t xml:space="preserve">Same-organ disease controls</w:t>
      </w:r>
    </w:p>
    <w:p>
      <w:pPr>
        <w:pStyle w:val="FirstParagraph"/>
        <w:spacing w:line="36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data-availability"/>
    <w:p>
      <w:pPr>
        <w:pStyle w:val="Heading2"/>
        <w:spacing w:line="360" w:lineRule="auto"/>
      </w:pPr>
      <w:r>
        <w:rPr>
          <w:rFonts w:ascii="Times New Roman" w:hAnsi="Times New Roman"/>
          <w:b/>
          <w:color w:val="000000"/>
          <w:sz w:val="22"/>
        </w:rPr>
        <w:t xml:space="preserve">Data availability</w:t>
      </w:r>
    </w:p>
    <w:p>
      <w:pPr>
        <w:pStyle w:val="FirstParagraph"/>
        <w:spacing w:line="360" w:lineRule="auto"/>
      </w:pPr>
      <w:r>
        <w:rPr>
          <w:rFonts w:ascii="Times New Roman" w:hAnsi="Times New Roman"/>
          <w:b w:val="0"/>
          <w:color w:val="000000"/>
          <w:sz w:val="22"/>
        </w:rPr>
        <w:t xml:space="preserve">All datasets used in this study are publicly available: GSE57338, GSE141198, GSE14520, and GSE76427 from GEO (https://www.ncbi.nlm.nih.gov/geo/); TCGA-LIHC from the GDC Data Portal (https://portal.gdc.cancer.gov/). All datasets are accessible via their public landing pages.</w:t>
      </w:r>
    </w:p>
    <w:bookmarkEnd w:id="43"/>
    <w:bookmarkStart w:id="44" w:name="code-availability"/>
    <w:p>
      <w:pPr>
        <w:pStyle w:val="Heading2"/>
        <w:spacing w:line="360" w:lineRule="auto"/>
      </w:pPr>
      <w:r>
        <w:rPr>
          <w:rFonts w:ascii="Times New Roman" w:hAnsi="Times New Roman"/>
          <w:b/>
          <w:color w:val="000000"/>
          <w:sz w:val="22"/>
        </w:rPr>
        <w:t xml:space="preserve">Code availability</w:t>
      </w:r>
    </w:p>
    <w:p>
      <w:pPr>
        <w:pStyle w:val="FirstParagraph"/>
        <w:spacing w:line="360" w:lineRule="auto"/>
      </w:pPr>
      <w:r>
        <w:rPr>
          <w:rFonts w:ascii="Times New Roman" w:hAnsi="Times New Roman"/>
          <w:b w:val="0"/>
          <w:color w:val="000000"/>
          <w:sz w:val="22"/>
        </w:rPr>
        <w:t xml:space="preserve">Analysis code has been deposited in a GitHub repository and is accessible via an anonymous link during peer review: https://anonymous.4open.science/r/translation-mirror-hf-hcc-4622/. The repository contains the complete WGCNA, ssGSEA, TF correlation, and direction consistency analysis pipelines. Upon acceptance, the repository will be made publicly available with a permanent DOI.</w:t>
      </w:r>
    </w:p>
    <w:bookmarkEnd w:id="44"/>
    <w:bookmarkStart w:id="45" w:name="references"/>
    <w:p>
      <w:pPr>
        <w:pStyle w:val="Heading2"/>
        <w:spacing w:line="360" w:lineRule="auto"/>
      </w:pPr>
      <w:r>
        <w:rPr>
          <w:rFonts w:ascii="Times New Roman" w:hAnsi="Times New Roman"/>
          <w:b/>
          <w:color w:val="000000"/>
          <w:sz w:val="22"/>
        </w:rPr>
        <w:t xml:space="preserve">References</w:t>
      </w:r>
    </w:p>
    <w:p>
      <w:pPr>
        <w:numPr>
          <w:ilvl w:val="0"/>
          <w:numId w:val="1001"/>
        </w:numPr>
        <w:spacing w:line="36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36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36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36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36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36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36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36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36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36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36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36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36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36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36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36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36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36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36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36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36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36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36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36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36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36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5"/>
    <w:bookmarkStart w:id="46" w:name="acknowledgements"/>
    <w:p>
      <w:pPr>
        <w:pStyle w:val="Heading2"/>
        <w:spacing w:line="360" w:lineRule="auto"/>
      </w:pPr>
      <w:r>
        <w:rPr>
          <w:rFonts w:ascii="Times New Roman" w:hAnsi="Times New Roman"/>
          <w:b/>
          <w:color w:val="000000"/>
          <w:sz w:val="22"/>
        </w:rPr>
        <w:t xml:space="preserve">Acknowledgements</w:t>
      </w:r>
    </w:p>
    <w:p>
      <w:pPr>
        <w:pStyle w:val="FirstParagraph"/>
        <w:spacing w:line="36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46"/>
    <w:bookmarkStart w:id="47" w:name="author-contributions"/>
    <w:p>
      <w:pPr>
        <w:pStyle w:val="Heading2"/>
        <w:spacing w:line="360" w:lineRule="auto"/>
      </w:pPr>
      <w:r>
        <w:rPr>
          <w:rFonts w:ascii="Times New Roman" w:hAnsi="Times New Roman"/>
          <w:b/>
          <w:color w:val="000000"/>
          <w:sz w:val="22"/>
        </w:rPr>
        <w:t xml:space="preserve">Author contributions</w:t>
      </w:r>
    </w:p>
    <w:p>
      <w:pPr>
        <w:pStyle w:val="FirstParagraph"/>
        <w:spacing w:line="360" w:lineRule="auto"/>
      </w:pPr>
      <w:r>
        <w:rPr>
          <w:rFonts w:ascii="Times New Roman" w:hAnsi="Times New Roman"/>
          <w:b w:val="0"/>
          <w:bCs/>
          <w:color w:val="000000"/>
          <w:sz w:val="22"/>
        </w:rPr>
        <w:t xml:space="preserve">Author 1 (First author)</w:t>
      </w:r>
      <w:r>
        <w:rPr>
          <w:rFonts w:ascii="Times New Roman" w:hAnsi="Times New Roman"/>
          <w:b w:val="0"/>
          <w:color w:val="000000"/>
          <w:sz w:val="22"/>
        </w:rPr>
        <w:t xml:space="preserve">: Writing – original draft, Visualization, Software, Methodology, Investigation, Formal analysis, Data curation, Conceptualization.</w:t>
      </w:r>
    </w:p>
    <w:p>
      <w:pPr>
        <w:pStyle w:val="BodyText"/>
        <w:spacing w:line="360" w:lineRule="auto"/>
      </w:pPr>
      <w:r>
        <w:rPr>
          <w:rFonts w:ascii="Times New Roman" w:hAnsi="Times New Roman"/>
          <w:b w:val="0"/>
          <w:bCs/>
          <w:color w:val="000000"/>
          <w:sz w:val="22"/>
        </w:rPr>
        <w:t xml:space="preserve">Author 2 (Co-first author)</w:t>
      </w:r>
      <w:r>
        <w:rPr>
          <w:rFonts w:ascii="Times New Roman" w:hAnsi="Times New Roman"/>
          <w:b w:val="0"/>
          <w:color w:val="000000"/>
          <w:sz w:val="22"/>
        </w:rPr>
        <w:t xml:space="preserve">: Methodology, Data curation, Formal analysis, Writing – review &amp; editing.</w:t>
      </w:r>
    </w:p>
    <w:p>
      <w:pPr>
        <w:pStyle w:val="BodyText"/>
        <w:spacing w:line="360" w:lineRule="auto"/>
      </w:pPr>
      <w:r>
        <w:rPr>
          <w:rFonts w:ascii="Times New Roman" w:hAnsi="Times New Roman"/>
          <w:b w:val="0"/>
          <w:bCs/>
          <w:color w:val="000000"/>
          <w:sz w:val="22"/>
        </w:rPr>
        <w:t xml:space="preserve">Author 3 (Co-first author)</w:t>
      </w:r>
      <w:r>
        <w:rPr>
          <w:rFonts w:ascii="Times New Roman" w:hAnsi="Times New Roman"/>
          <w:b w:val="0"/>
          <w:color w:val="000000"/>
          <w:sz w:val="22"/>
        </w:rPr>
        <w:t xml:space="preserve">: Data curation, Investigation, Writing – review &amp; editing.</w:t>
      </w:r>
    </w:p>
    <w:p>
      <w:pPr>
        <w:pStyle w:val="BodyText"/>
        <w:spacing w:line="360" w:lineRule="auto"/>
      </w:pPr>
      <w:r>
        <w:rPr>
          <w:rFonts w:ascii="Times New Roman" w:hAnsi="Times New Roman"/>
          <w:b w:val="0"/>
          <w:bCs/>
          <w:color w:val="000000"/>
          <w:sz w:val="22"/>
        </w:rPr>
        <w:t xml:space="preserve">Author 4 (Corresponding author)</w:t>
      </w:r>
      <w:r>
        <w:rPr>
          <w:rFonts w:ascii="Times New Roman" w:hAnsi="Times New Roman"/>
          <w:b w:val="0"/>
          <w:color w:val="000000"/>
          <w:sz w:val="22"/>
        </w:rPr>
        <w:t xml:space="preserve">: Writing – review &amp; editing, Supervision, Project administration, Methodology, Conceptualization.</w:t>
      </w:r>
    </w:p>
    <w:p>
      <w:pPr>
        <w:pStyle w:val="BodyText"/>
        <w:spacing w:line="360" w:lineRule="auto"/>
      </w:pPr>
      <w:r>
        <w:rPr>
          <w:rFonts w:ascii="Times New Roman" w:hAnsi="Times New Roman"/>
          <w:b w:val="0"/>
          <w:color w:val="000000"/>
          <w:sz w:val="22"/>
        </w:rPr>
        <w:t xml:space="preserve">All authors have read and approved the final version of the manuscript.</w:t>
      </w:r>
    </w:p>
    <w:bookmarkEnd w:id="47"/>
    <w:bookmarkStart w:id="48" w:name="competing-interests"/>
    <w:p>
      <w:pPr>
        <w:pStyle w:val="Heading2"/>
        <w:spacing w:line="360" w:lineRule="auto"/>
      </w:pPr>
      <w:r>
        <w:rPr>
          <w:rFonts w:ascii="Times New Roman" w:hAnsi="Times New Roman"/>
          <w:b/>
          <w:color w:val="000000"/>
          <w:sz w:val="22"/>
        </w:rPr>
        <w:t xml:space="preserve">Competing interests</w:t>
      </w:r>
    </w:p>
    <w:p>
      <w:pPr>
        <w:pStyle w:val="FirstParagraph"/>
        <w:spacing w:line="360" w:lineRule="auto"/>
      </w:pPr>
      <w:r>
        <w:rPr>
          <w:rFonts w:ascii="Times New Roman" w:hAnsi="Times New Roman"/>
          <w:b w:val="0"/>
          <w:color w:val="000000"/>
          <w:sz w:val="22"/>
        </w:rPr>
        <w:t xml:space="preserve">The authors declare that they have no known competing financial interests or personal relationships that could have appeared to influence the work reported in this paper.</w:t>
      </w:r>
    </w:p>
    <w:bookmarkEnd w:id="48"/>
    <w:bookmarkStart w:id="49" w:name="funding"/>
    <w:p>
      <w:pPr>
        <w:pStyle w:val="Heading2"/>
        <w:spacing w:line="360" w:lineRule="auto"/>
      </w:pPr>
      <w:r>
        <w:rPr>
          <w:rFonts w:ascii="Times New Roman" w:hAnsi="Times New Roman"/>
          <w:b/>
          <w:color w:val="000000"/>
          <w:sz w:val="22"/>
        </w:rPr>
        <w:t xml:space="preserve">Funding</w:t>
      </w:r>
    </w:p>
    <w:p>
      <w:pPr>
        <w:pStyle w:val="FirstParagraph"/>
        <w:spacing w:line="36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9"/>
    <w:bookmarkStart w:id="50" w:name="extended-data"/>
    <w:p>
      <w:pPr>
        <w:pStyle w:val="Heading2"/>
        <w:spacing w:line="360" w:lineRule="auto"/>
      </w:pPr>
      <w:r>
        <w:rPr>
          <w:rFonts w:ascii="Times New Roman" w:hAnsi="Times New Roman"/>
          <w:b/>
          <w:color w:val="000000"/>
          <w:sz w:val="22"/>
        </w:rPr>
        <w:t xml:space="preserve">Extended Data</w:t>
      </w:r>
    </w:p>
    <w:p>
      <w:pPr>
        <w:pStyle w:val="FirstParagraph"/>
        <w:spacing w:line="360" w:lineRule="auto"/>
      </w:pPr>
      <w:r>
        <w:rPr>
          <w:rFonts w:ascii="Times New Roman" w:hAnsi="Times New Roman"/>
          <w:b w:val="0"/>
          <w:bCs/>
          <w:color w:val="000000"/>
          <w:sz w:val="22"/>
        </w:rPr>
        <w:t xml:space="preserve">Extended Data Fig. 1 | Green module 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Module Membership vs. Gene Significance scatter plot for the HF green module (227 genes). Hub genes (red) satisfy |GS| &gt; 0.2 and |MM| &gt; 0.8 (dual criteria).</w:t>
      </w:r>
    </w:p>
    <w:p>
      <w:pPr>
        <w:pStyle w:val="BodyText"/>
        <w:spacing w:line="360" w:lineRule="auto"/>
      </w:pPr>
      <w:r>
        <w:rPr>
          <w:rFonts w:ascii="Times New Roman" w:hAnsi="Times New Roman"/>
          <w:b w:val="0"/>
          <w:bCs/>
          <w:color w:val="000000"/>
          <w:sz w:val="22"/>
        </w:rPr>
        <w:t xml:space="preserve">Extended Data Fig. 2 | TATS exploratory survival analysis by etiology subgroup.</w:t>
      </w:r>
      <w:r>
        <w:rPr>
          <w:rFonts w:ascii="Times New Roman" w:hAnsi="Times New Roman"/>
          <w:b w:val="0"/>
          <w:color w:val="000000"/>
          <w:sz w:val="22"/>
        </w:rPr>
        <w:t xml:space="preserve"> </w:t>
      </w:r>
      <w:r>
        <w:rPr>
          <w:rFonts w:ascii="Times New Roman" w:hAnsi="Times New Roman"/>
          <w:b w:val="0"/>
          <w:color w:val="000000"/>
          <w:sz w:val="22"/>
        </w:rPr>
        <w:t xml:space="preserve">Kaplan–Meier overall survival curves for TATS (median split) in GSE141198 stratified by HBV, HCV, and NBNC etiology subgroups.</w:t>
      </w:r>
    </w:p>
    <w:p>
      <w:pPr>
        <w:pStyle w:val="BodyText"/>
        <w:spacing w:line="360" w:lineRule="auto"/>
      </w:pPr>
      <w:r>
        <w:rPr>
          <w:rFonts w:ascii="Times New Roman" w:hAnsi="Times New Roman"/>
          <w:b w:val="0"/>
          <w:bCs/>
          <w:color w:val="000000"/>
          <w:sz w:val="22"/>
        </w:rPr>
        <w:t xml:space="preserve">Extended Data Fig. 3 | Soft threshold selection for WGCNA.</w:t>
      </w:r>
      <w:r>
        <w:rPr>
          <w:rFonts w:ascii="Times New Roman" w:hAnsi="Times New Roman"/>
          <w:b w:val="0"/>
          <w:color w:val="000000"/>
          <w:sz w:val="22"/>
        </w:rPr>
        <w:t xml:space="preserve"> </w:t>
      </w:r>
      <w:r>
        <w:rPr>
          <w:rFonts w:ascii="Times New Roman" w:hAnsi="Times New Roman"/>
          <w:b w:val="0"/>
          <w:color w:val="000000"/>
          <w:sz w:val="22"/>
        </w:rPr>
        <w:t xml:space="preserve">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w:t>
      </w:r>
    </w:p>
    <w:p>
      <w:pPr>
        <w:pStyle w:val="BodyText"/>
        <w:spacing w:line="360" w:lineRule="auto"/>
      </w:pPr>
      <w:r>
        <w:rPr>
          <w:rFonts w:ascii="Times New Roman" w:hAnsi="Times New Roman"/>
          <w:b w:val="0"/>
          <w:bCs/>
          <w:color w:val="000000"/>
          <w:sz w:val="22"/>
        </w:rPr>
        <w:t xml:space="preserve">Extended Data Fig. 4 | 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w:t>
      </w:r>
    </w:p>
    <w:bookmarkEnd w:id="50"/>
    <w:bookmarkStart w:id="51" w:name="supplementary-information"/>
    <w:p>
      <w:pPr>
        <w:pStyle w:val="Heading2"/>
        <w:spacing w:line="360" w:lineRule="auto"/>
      </w:pPr>
      <w:r>
        <w:rPr>
          <w:rFonts w:ascii="Times New Roman" w:hAnsi="Times New Roman"/>
          <w:b/>
          <w:color w:val="000000"/>
          <w:sz w:val="22"/>
        </w:rPr>
        <w:t xml:space="preserve">Supplementary Information</w:t>
      </w:r>
    </w:p>
    <w:p>
      <w:pPr>
        <w:pStyle w:val="FirstParagraph"/>
        <w:spacing w:line="360" w:lineRule="auto"/>
      </w:pPr>
      <w:r>
        <w:rPr>
          <w:rFonts w:ascii="Times New Roman" w:hAnsi="Times New Roman"/>
          <w:b w:val="0"/>
          <w:color w:val="000000"/>
          <w:sz w:val="22"/>
        </w:rPr>
        <w:t xml:space="preserve">Supplementary Information is available for this paper, including:</w:t>
      </w:r>
    </w:p>
    <w:p>
      <w:pPr>
        <w:pStyle w:val="BodyText"/>
        <w:spacing w:line="360" w:lineRule="auto"/>
      </w:pPr>
      <w:r>
        <w:rPr>
          <w:rFonts w:ascii="Times New Roman" w:hAnsi="Times New Roman"/>
          <w:b w:val="0"/>
          <w:bCs/>
          <w:color w:val="000000"/>
          <w:sz w:val="22"/>
        </w:rPr>
        <w:t xml:space="preserve">Supplementary Table 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w:t>
      </w:r>
    </w:p>
    <w:p>
      <w:pPr>
        <w:pStyle w:val="BodyText"/>
        <w:spacing w:line="360" w:lineRule="auto"/>
      </w:pPr>
      <w:r>
        <w:rPr>
          <w:rFonts w:ascii="Times New Roman" w:hAnsi="Times New Roman"/>
          <w:b w:val="0"/>
          <w:bCs/>
          <w:color w:val="000000"/>
          <w:sz w:val="22"/>
        </w:rPr>
        <w:t xml:space="preserve">Supplementary Table 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w:t>
      </w:r>
    </w:p>
    <w:p>
      <w:pPr>
        <w:pStyle w:val="BodyText"/>
        <w:spacing w:line="360" w:lineRule="auto"/>
      </w:pPr>
      <w:r>
        <w:rPr>
          <w:rFonts w:ascii="Times New Roman" w:hAnsi="Times New Roman"/>
          <w:b w:val="0"/>
          <w:bCs/>
          <w:color w:val="000000"/>
          <w:sz w:val="22"/>
        </w:rPr>
        <w:t xml:space="preserve">Supplementary Table 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w:t>
      </w:r>
    </w:p>
    <w:p>
      <w:pPr>
        <w:pStyle w:val="BodyText"/>
        <w:spacing w:line="360" w:lineRule="auto"/>
      </w:pPr>
      <w:r>
        <w:rPr>
          <w:rFonts w:ascii="Times New Roman" w:hAnsi="Times New Roman"/>
          <w:b w:val="0"/>
          <w:bCs/>
          <w:color w:val="000000"/>
          <w:sz w:val="22"/>
        </w:rPr>
        <w:t xml:space="preserve">Supplementary Table 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w:t>
      </w:r>
    </w:p>
    <w:p>
      <w:pPr>
        <w:pStyle w:val="BodyText"/>
        <w:spacing w:line="360" w:lineRule="auto"/>
      </w:pPr>
      <w:r>
        <w:rPr>
          <w:rFonts w:ascii="Times New Roman" w:hAnsi="Times New Roman"/>
          <w:b w:val="0"/>
          <w:bCs/>
          <w:color w:val="000000"/>
          <w:sz w:val="22"/>
        </w:rPr>
        <w:t xml:space="preserve">Supplementary Table 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w:t>
      </w:r>
    </w:p>
    <w:p>
      <w:pPr>
        <w:pStyle w:val="BodyText"/>
        <w:spacing w:line="360" w:lineRule="auto"/>
      </w:pPr>
      <w:r>
        <w:rPr>
          <w:rFonts w:ascii="Times New Roman" w:hAnsi="Times New Roman"/>
          <w:b w:val="0"/>
          <w:bCs/>
          <w:color w:val="000000"/>
          <w:sz w:val="22"/>
        </w:rPr>
        <w:t xml:space="preserve">Supplementary Table 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w:t>
      </w:r>
    </w:p>
    <w:p>
      <w:pPr>
        <w:pStyle w:val="BodyText"/>
        <w:spacing w:line="360" w:lineRule="auto"/>
      </w:pPr>
      <w:r>
        <w:rPr>
          <w:rFonts w:ascii="Times New Roman" w:hAnsi="Times New Roman"/>
          <w:b w:val="0"/>
          <w:bCs/>
          <w:color w:val="000000"/>
          <w:sz w:val="22"/>
        </w:rPr>
        <w:t xml:space="preserve">Supplementary Table 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w:t>
      </w:r>
    </w:p>
    <w:bookmarkEnd w:id="51"/>
    <w:bookmarkEnd w:id="52"/>
    <w:sectPr>
      <w:footnotePr>
        <w:numRestart w:val="eachSect"/>
      </w:footnotePr>
      <w:pgSz w:w="11906" w:h="16838"/>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36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36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36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25" Type="http://schemas.openxmlformats.org/officeDocument/2006/relationships/image" Target="media/rId25.png"/><Relationship Id="rId17" Type="http://schemas.openxmlformats.org/officeDocument/2006/relationships/image" Target="media/rId17.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2026-08-05T09:09:10Z</dcterms:created>
  <dcterms:modified xsi:type="dcterms:W3CDTF">2026-08-05T09:09:10Z</dcterms:modified>
</cp:coreProperties>
</file>

<file path=docProps/custom.xml><?xml version="1.0" encoding="utf-8"?>
<Properties xmlns="http://schemas.openxmlformats.org/officeDocument/2006/custom-properties" xmlns:vt="http://schemas.openxmlformats.org/officeDocument/2006/docPropsVTypes"/>
</file>