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2eefefa1a8d5dbb69c6c6115ed26e4b3163d59b"/>
    <w:p>
      <w:pPr>
        <w:pStyle w:val="Heading1"/>
        <w:spacing w:line="480" w:lineRule="auto"/>
      </w:pPr>
      <w:r>
        <w:rPr>
          <w:rFonts w:ascii="Times New Roman" w:hAnsi="Times New Roman"/>
          <w:b/>
          <w:color w:val="000000"/>
          <w:sz w:val="24"/>
        </w:rPr>
        <w:t xml:space="preserve">Distinct networks drive mirror perturbation of translation-related transcription in heart failure and hepatocellular carcinoma</w:t>
      </w:r>
    </w:p>
    <w:p>
      <w:pPr>
        <w:pStyle w:val="FirstParagraph"/>
        <w:spacing w:line="480" w:lineRule="auto"/>
      </w:pPr>
      <w:r>
        <w:rPr>
          <w:rFonts w:ascii="Times New Roman" w:hAnsi="Times New Roman"/>
          <w:b w:val="0"/>
          <w:color w:val="000000"/>
          <w:sz w:val="22"/>
        </w:rPr>
        <w:t xml:space="preserve">Yuhe Hong</w:t>
      </w: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(ORCID: 0009-0008-5028-0035), Yili Liu</w:t>
      </w:r>
      <w:r>
        <w:rPr>
          <w:rFonts w:ascii="Times New Roman" w:hAnsi="Times New Roman"/>
          <w:b w:val="0"/>
          <w:color w:val="000000"/>
          <w:sz w:val="22"/>
        </w:rPr>
        <w:t xml:space="preserve">1</w:t>
      </w:r>
      <w:r>
        <w:rPr>
          <w:rFonts w:ascii="Times New Roman" w:hAnsi="Times New Roman"/>
          <w:b w:val="0"/>
          <w:color w:val="000000"/>
          <w:sz w:val="22"/>
        </w:rPr>
        <w:t xml:space="preserve">, Xianqi Li</w:t>
      </w:r>
      <w:r>
        <w:rPr>
          <w:rFonts w:ascii="Times New Roman" w:hAnsi="Times New Roman"/>
          <w:b w:val="0"/>
          <w:color w:val="000000"/>
          <w:sz w:val="22"/>
        </w:rPr>
        <w:t xml:space="preserve">1</w:t>
      </w:r>
      <w:r>
        <w:rPr>
          <w:rFonts w:ascii="Times New Roman" w:hAnsi="Times New Roman"/>
          <w:b w:val="0"/>
          <w:color w:val="000000"/>
          <w:sz w:val="22"/>
        </w:rPr>
        <w:t xml:space="preserve">, Xin Wu</w:t>
      </w:r>
      <w:r>
        <w:rPr>
          <w:rFonts w:ascii="Times New Roman" w:hAnsi="Times New Roman"/>
          <w:b w:val="0"/>
          <w:color w:val="000000"/>
          <w:sz w:val="22"/>
        </w:rPr>
        <w:t xml:space="preserve">3</w:t>
      </w:r>
      <w:r>
        <w:rPr>
          <w:rFonts w:ascii="Times New Roman" w:hAnsi="Times New Roman"/>
          <w:b w:val="0"/>
          <w:i/>
          <w:iCs/>
          <w:color w:val="000000"/>
          <w:sz w:val="22"/>
        </w:rPr>
        <w:t xml:space="preserve">, Junhong Wang</w:t>
      </w:r>
      <w:r>
        <w:rPr>
          <w:rFonts w:ascii="Times New Roman" w:hAnsi="Times New Roman"/>
          <w:b w:val="0"/>
          <w:i/>
          <w:iCs/>
          <w:color w:val="000000"/>
          <w:sz w:val="22"/>
        </w:rPr>
        <w:t xml:space="preserve">1,2</w:t>
      </w:r>
      <w:r>
        <w:rPr>
          <w:rFonts w:ascii="Times New Roman" w:hAnsi="Times New Roman"/>
          <w:b w:val="0"/>
          <w:color w:val="000000"/>
          <w:sz w:val="22"/>
        </w:rPr>
        <w:t xml:space="preserve"> </w:t>
      </w:r>
      <w:r>
        <w:rPr>
          <w:rFonts w:ascii="Times New Roman" w:hAnsi="Times New Roman"/>
          <w:b w:val="0"/>
          <w:color w:val="000000"/>
          <w:sz w:val="22"/>
        </w:rPr>
        <w:t xml:space="preserve">(ORCID: 0000-0003-2314-1810)</w:t>
      </w:r>
    </w:p>
    <w:p>
      <w:pPr>
        <w:pStyle w:val="BodyText"/>
        <w:spacing w:line="480" w:lineRule="auto"/>
      </w:pP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The First Affiliated Hospital of Nanjing Medical University, Nanjing, China</w:t>
      </w:r>
    </w:p>
    <w:p>
      <w:pPr>
        <w:pStyle w:val="BodyText"/>
        <w:spacing w:line="480" w:lineRule="auto"/>
      </w:pP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Liyang People’s Hospital, Liyang, China</w:t>
      </w:r>
    </w:p>
    <w:p>
      <w:pPr>
        <w:pStyle w:val="BodyText"/>
        <w:spacing w:line="480" w:lineRule="auto"/>
      </w:pPr>
      <w:r>
        <w:rPr>
          <w:rFonts w:ascii="Times New Roman" w:hAnsi="Times New Roman"/>
          <w:b w:val="0"/>
          <w:color w:val="000000"/>
          <w:sz w:val="22"/>
        </w:rPr>
        <w:t xml:space="preserve">3</w:t>
      </w:r>
      <w:r>
        <w:rPr>
          <w:rFonts w:ascii="Times New Roman" w:hAnsi="Times New Roman"/>
          <w:b w:val="0"/>
          <w:color w:val="000000"/>
          <w:sz w:val="22"/>
        </w:rPr>
        <w:t xml:space="preserve"> </w:t>
      </w:r>
      <w:r>
        <w:rPr>
          <w:rFonts w:ascii="Times New Roman" w:hAnsi="Times New Roman"/>
          <w:b w:val="0"/>
          <w:color w:val="000000"/>
          <w:sz w:val="22"/>
        </w:rPr>
        <w:t xml:space="preserve">Department of Reproduction Medicine, The First Affiliated Hospital of Nanjing Medical University, Nanjing, China</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Co-corresponding authors. Email: wuxin0220@aliyun.com (X.W.); wangjunhong@jsph.org.cn (J.W.)</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bCs/>
          <w:color w:val="000000"/>
          <w:sz w:val="22"/>
        </w:rPr>
        <w:t xml:space="preserve">Heart failure (HF) and hepatocellular carcinoma (HCC) both exhibit dysregulation of translation-related gene expression, yet whether this reflects shared transcriptional organization or disease-specific remodeling remains unresolved. Here we show that translation-related transcriptional programs in HF and HCC are organized through disease-specific co-expression networks, yet converge on opposite-direction pathway perturbation. Weighted gene co-expression network analysis of HF (GSE57338,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313) and HCC (GSE141198,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148) transcriptomes identified translation-related modules with limited gene-level overlap (62/227 genes; Fisher’s OR = 1.7,</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0.039). Despite distinct network architecture, 24 of 33 translation-related pathways showed mirror perturbation between diseases (Spearman ρ = −0.598,</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This mirror pattern was absent in same-organ disease controls, including hypertrophic cardiomyopathy (ρ = −0.036) and cirrhosis (ρ = +0.402), supporting disease-context dependence rather than organ-specific confounding. ATF4 was the strongest individual transcription factor correlate with translational activity (ρ = +0.500, FDR &lt; 0.0001), while MYC target pathway activity showed the highest overall association (ρ = +0.753,</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&lt; 0.0001).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480" w:lineRule="auto"/>
      </w:pPr>
      <w:r>
        <w:rPr>
          <w:rFonts w:ascii="Times New Roman" w:hAnsi="Times New Roman"/>
          <w:b w:val="0"/>
          <w:bCs/>
          <w:color w:val="000000"/>
          <w:sz w:val="22"/>
        </w:rPr>
        <w:t xml:space="preserve">Keywords:</w:t>
      </w:r>
      <w:r>
        <w:rPr>
          <w:rFonts w:ascii="Times New Roman" w:hAnsi="Times New Roman"/>
          <w:b w:val="0"/>
          <w:color w:val="000000"/>
          <w:sz w:val="22"/>
        </w:rPr>
        <w:t xml:space="preserve"> </w:t>
      </w:r>
      <w:r>
        <w:rPr>
          <w:rFonts w:ascii="Times New Roman" w:hAnsi="Times New Roman"/>
          <w:b w:val="0"/>
          <w:color w:val="000000"/>
          <w:sz w:val="22"/>
        </w:rPr>
        <w:t xml:space="preserve">Translation · Heart failure · Hepatocellular carcinoma · WGCNA · ssGSEA · ATF4 · Integrated stress response · MYC</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color w:val="000000"/>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b w:val="0"/>
          <w:color w:val="000000"/>
          <w:sz w:val="22"/>
          <w:vertAlign w:val="superscript"/>
        </w:rPr>
        <w:t xmlns:ns36="http://schemas.xmlsoap.org/soap/envelope/" ns36:space="preserve">[1,2]</w:t>
      </w:r>
      <w:r>
        <w:rPr>
          <w:rFonts w:ascii="Times New Roman" w:hAnsi="Times New Roman"/>
          <w:b w:val="0"/>
          <w:color w:val="000000"/>
          <w:sz w:val="22"/>
        </w:rPr>
        <w:t xmlns:ns39="http://schemas.xmlsoap.org/soap/envelope/" ns39:space="preserve">, while HCC cells rewire central carbon metabolism to sustain unrestrained proliferation</w:t>
      </w:r>
      <w:r>
        <w:rPr>
          <w:rFonts w:ascii="Times New Roman" w:hAnsi="Times New Roman"/>
          <w:b w:val="0"/>
          <w:color w:val="000000"/>
          <w:sz w:val="22"/>
          <w:vertAlign w:val="superscript"/>
        </w:rPr>
        <w:t xmlns:ns28="http://schemas.xmlsoap.org/soap/envelope/" ns28:space="preserve">[3,4]</w:t>
      </w:r>
      <w:r>
        <w:rPr>
          <w:rFonts w:ascii="Times New Roman" w:hAnsi="Times New Roman"/>
          <w:b w:val="0"/>
          <w:color w:val="000000"/>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b w:val="0"/>
          <w:color w:val="000000"/>
          <w:sz w:val="22"/>
          <w:vertAlign w:val="superscript"/>
        </w:rPr>
        <w:t xmlns:ns20="http://schemas.xmlsoap.org/soap/envelope/" ns20:space="preserve">[5,6]</w:t>
      </w:r>
      <w:r>
        <w:rPr>
          <w:rFonts w:ascii="Times New Roman" w:hAnsi="Times New Roman"/>
          <w:b w:val="0"/>
          <w:color w:val="000000"/>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b w:val="0"/>
          <w:color w:val="000000"/>
          <w:sz w:val="22"/>
          <w:vertAlign w:val="superscript"/>
        </w:rPr>
        <w:t xmlns:ns12="http://schemas.xmlsoap.org/soap/envelope/" ns12:space="preserve">[7]</w:t>
      </w:r>
      <w:r>
        <w:rPr>
          <w:rFonts w:ascii="Times New Roman" w:hAnsi="Times New Roman"/>
          <w:b w:val="0"/>
          <w:color w:val="000000"/>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b w:val="0"/>
          <w:color w:val="000000"/>
          <w:sz w:val="22"/>
          <w:vertAlign w:val="superscript"/>
        </w:rPr>
        <w:t xmlns:ns4="http://schemas.xmlsoap.org/soap/envelope/" ns4:space="preserve">[1,8,9]</w:t>
      </w:r>
      <w:r>
        <w:rPr>
          <w:rFonts w:ascii="Times New Roman" w:hAnsi="Times New Roman"/>
          <w:b w:val="0"/>
          <w:color w:val="000000"/>
          <w:sz w:val="22"/>
        </w:rPr>
        <w:t xmlns:ns7="http://schemas.xmlsoap.org/soap/envelope/" ns7:space="preserve">.</w:t>
      </w:r>
    </w:p>
    <w:p>
      <w:pPr>
        <w:pStyle w:val="BodyText"/>
        <w:spacing w:line="480" w:lineRule="auto"/>
      </w:pPr>
      <w:r>
        <w:rPr>
          <w:rFonts w:ascii="Times New Roman" w:hAnsi="Times New Roman"/>
          <w:b w:val="0"/>
          <w:color w:val="000000"/>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b w:val="0"/>
          <w:color w:val="000000"/>
          <w:sz w:val="22"/>
          <w:vertAlign w:val="superscript"/>
        </w:rPr>
        <w:t xmlns:ns60="http://schemas.xmlsoap.org/soap/envelope/" ns60:space="preserve">[2,6]</w:t>
      </w:r>
      <w:r>
        <w:rPr>
          <w:rFonts w:ascii="Times New Roman" w:hAnsi="Times New Roman"/>
          <w:b w:val="0"/>
          <w:color w:val="000000"/>
          <w:sz w:val="22"/>
        </w:rPr>
        <w:t xmlns:ns63="http://schemas.xmlsoap.org/soap/envelope/" ns63:space="preserve">. mTORC1 signaling is inhibited in the failing heart</w:t>
      </w:r>
      <w:r>
        <w:rPr>
          <w:rFonts w:ascii="Times New Roman" w:hAnsi="Times New Roman"/>
          <w:b w:val="0"/>
          <w:color w:val="000000"/>
          <w:sz w:val="22"/>
          <w:vertAlign w:val="superscript"/>
        </w:rPr>
        <w:t xmlns:ns52="http://schemas.xmlsoap.org/soap/envelope/" ns52:space="preserve">[6,10]</w:t>
      </w:r>
      <w:r>
        <w:rPr>
          <w:rFonts w:ascii="Times New Roman" w:hAnsi="Times New Roman"/>
          <w:b w:val="0"/>
          <w:color w:val="000000"/>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b w:val="0"/>
          <w:color w:val="000000"/>
          <w:sz w:val="22"/>
          <w:vertAlign w:val="superscript"/>
        </w:rPr>
        <w:t xmlns:ns44="http://schemas.xmlsoap.org/soap/envelope/" ns44:space="preserve">[3,8,11,12]</w:t>
      </w:r>
      <w:r>
        <w:rPr>
          <w:rFonts w:ascii="Times New Roman" w:hAnsi="Times New Roman"/>
          <w:b w:val="0"/>
          <w:color w:val="000000"/>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480" w:lineRule="auto"/>
      </w:pPr>
      <w:r>
        <w:rPr>
          <w:rFonts w:ascii="Times New Roman" w:hAnsi="Times New Roman"/>
          <w:b w:val="0"/>
          <w:color w:val="000000"/>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b w:val="0"/>
          <w:color w:val="000000"/>
          <w:sz w:val="22"/>
          <w:vertAlign w:val="superscript"/>
        </w:rPr>
        <w:t xmlns:ns68="http://schemas.xmlsoap.org/soap/envelope/" ns68:space="preserve">[5]</w:t>
      </w:r>
      <w:r>
        <w:rPr>
          <w:rFonts w:ascii="Times New Roman" w:hAnsi="Times New Roman"/>
          <w:b w:val="0"/>
          <w:color w:val="000000"/>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480" w:lineRule="auto"/>
      </w:pPr>
      <w:r>
        <w:rPr>
          <w:rFonts w:ascii="Times New Roman" w:hAnsi="Times New Roman"/>
          <w:b w:val="0"/>
          <w:color w:val="000000"/>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b w:val="0"/>
          <w:color w:val="000000"/>
          <w:sz w:val="22"/>
          <w:vertAlign w:val="superscript"/>
        </w:rPr>
        <w:t xmlns:ns84="http://schemas.xmlsoap.org/soap/envelope/" ns84:space="preserve">[1,2]</w:t>
      </w:r>
      <w:r>
        <w:rPr>
          <w:rFonts w:ascii="Times New Roman" w:hAnsi="Times New Roman"/>
          <w:b w:val="0"/>
          <w:color w:val="000000"/>
          <w:sz w:val="22"/>
        </w:rPr>
        <w:t xmlns:ns87="http://schemas.xmlsoap.org/soap/envelope/" ns87:space="preserve">; the HCC tumor microenvironment is a pro-growth environment where translational activation supports malignant fitness</w:t>
      </w:r>
      <w:r>
        <w:rPr>
          <w:rFonts w:ascii="Times New Roman" w:hAnsi="Times New Roman"/>
          <w:b w:val="0"/>
          <w:color w:val="000000"/>
          <w:sz w:val="22"/>
          <w:vertAlign w:val="superscript"/>
        </w:rPr>
        <w:t xmlns:ns76="http://schemas.xmlsoap.org/soap/envelope/" ns76:space="preserve">[3,8]</w:t>
      </w:r>
      <w:r>
        <w:rPr>
          <w:rFonts w:ascii="Times New Roman" w:hAnsi="Times New Roman"/>
          <w:b w:val="0"/>
          <w:color w:val="000000"/>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29" w:name="results"/>
    <w:p>
      <w:pPr>
        <w:pStyle w:val="Heading2"/>
        <w:spacing w:line="480" w:lineRule="auto"/>
      </w:pPr>
      <w:r>
        <w:rPr>
          <w:rFonts w:ascii="Times New Roman" w:hAnsi="Times New Roman"/>
          <w:b/>
          <w:color w:val="000000"/>
          <w:sz w:val="22"/>
        </w:rPr>
        <w:t xml:space="preserve">Results</w:t>
      </w:r>
    </w:p>
    <w:bookmarkStart w:id="12" w:name="X29130612508969c7e43315de124d00ce5662986"/>
    <w:p>
      <w:pPr>
        <w:pStyle w:val="Heading3"/>
        <w:spacing w:line="480" w:lineRule="auto"/>
      </w:pPr>
      <w:r>
        <w:rPr>
          <w:rFonts w:ascii="Times New Roman" w:hAnsi="Times New Roman"/>
          <w:b/>
          <w:color w:val="000000"/>
          <w:sz w:val="22"/>
        </w:rPr>
        <w:t xml:space="preserve">Disease-specific network remodeling identifies translation-related transcriptional programs</w:t>
      </w:r>
    </w:p>
    <w:p>
      <w:pPr>
        <w:pStyle w:val="FirstParagraph"/>
        <w:spacing w:line="480" w:lineRule="auto"/>
      </w:pPr>
      <w:r>
        <w:rPr>
          <w:rFonts w:ascii="Times New Roman" w:hAnsi="Times New Roman"/>
          <w:b w:val="0"/>
          <w:color w:val="000000"/>
          <w:sz w:val="22"/>
        </w:rPr>
        <w:t xml:space="preserve">To identify translation-related co-expression modules without imposing predefined gene-selection criteria, we performed signed WGCNA on HF left ventricular myocardium (GSE57338,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Additional file 3: Figure S3b).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480" w:lineRule="auto"/>
      </w:pPr>
      <w:r>
        <w:rPr>
          <w:rFonts w:ascii="Times New Roman" w:hAnsi="Times New Roman"/>
          <w:b w:val="0"/>
          <w:color w:val="000000"/>
          <w:sz w:val="22"/>
        </w:rPr>
        <w:t xml:space="preserve">The</w:t>
      </w:r>
      <w:r>
        <w:rPr>
          <w:rFonts w:ascii="Times New Roman" w:hAnsi="Times New Roman"/>
          <w:b w:val="0"/>
          <w:color w:val="000000"/>
          <w:sz w:val="22"/>
        </w:rPr>
        <w:t xml:space="preserve"> </w:t>
      </w:r>
      <w:r>
        <w:rPr>
          <w:rFonts w:ascii="Times New Roman" w:hAnsi="Times New Roman"/>
          <w:b w:val="0"/>
          <w:bCs/>
          <w:color w:val="000000"/>
          <w:sz w:val="22"/>
        </w:rPr>
        <w:t xml:space="preserve">green module</w:t>
      </w:r>
      <w:r>
        <w:rPr>
          <w:rFonts w:ascii="Times New Roman" w:hAnsi="Times New Roman"/>
          <w:b w:val="0"/>
          <w:color w:val="000000"/>
          <w:sz w:val="22"/>
        </w:rPr>
        <w:t xml:space="preserve"> </w:t>
      </w:r>
      <w:r>
        <w:rPr>
          <w:rFonts w:ascii="Times New Roman" w:hAnsi="Times New Roman"/>
          <w:b w:val="0"/>
          <w:color w:val="000000"/>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2.3 × 10⁻¹³; fold enrichment = 9.6), ribosomal small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4.5 × 10⁻⁸; fold enrichment = 11.7), rRNA processing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10⁻⁶), rRNA metabolic process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4.8 × 10⁻⁶), and ribosomal large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10⁻⁴; fold enrichment = 11.2) (Additional file 9: Table S5). The green module eigengene showed a significant negative correlation with HF status (</w:t>
      </w:r>
      <w:r>
        <w:rPr>
          <w:rFonts w:ascii="Times New Roman" w:hAnsi="Times New Roman"/>
          <w:b w:val="0"/>
          <w:bCs/>
          <w:color w:val="000000"/>
          <w:sz w:val="22"/>
        </w:rPr>
        <w:t xml:space="preserve">r = −0.521,</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3.6 × 10⁻²³</w:t>
      </w:r>
      <w:r>
        <w:rPr>
          <w:rFonts w:ascii="Times New Roman" w:hAnsi="Times New Roman"/>
          <w:b w:val="0"/>
          <w:color w:val="000000"/>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480" w:lineRule="auto"/>
      </w:pPr>
      <w:r>
        <w:rPr>
          <w:rFonts w:ascii="Times New Roman" w:hAnsi="Times New Roman"/>
          <w:b w:val="0"/>
          <w:color w:val="000000"/>
          <w:sz w:val="22"/>
        </w:rPr>
        <w:t xml:space="preserve">Hub genes were defined post hoc using dual criteria of |Gene Significance| &gt; 0.2 and |Module Membership| &gt; 0.8 within the green module (Additional file 1: Figure S1). The top ten hub genes ranked by the product of |GS| × |MM| are listed in Additional file 5: Table S1.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met the dual criteria for hub designation in the green module: four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were assigned to the black module, one (</w:t>
      </w:r>
      <w:r>
        <w:rPr>
          <w:rFonts w:ascii="Times New Roman" w:hAnsi="Times New Roman"/>
          <w:b w:val="0"/>
          <w:i/>
          <w:iCs/>
          <w:color w:val="000000"/>
          <w:sz w:val="22"/>
        </w:rPr>
        <w:t xml:space="preserve">RPL3</w:t>
      </w:r>
      <w:r>
        <w:rPr>
          <w:rFonts w:ascii="Times New Roman" w:hAnsi="Times New Roman"/>
          <w:b w:val="0"/>
          <w:color w:val="000000"/>
          <w:sz w:val="22"/>
        </w:rPr>
        <w:t xml:space="preserve">) to blue, and two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480" w:lineRule="auto"/>
      </w:pPr>
      <w:r>
        <w:rPr>
          <w:rFonts w:ascii="Times New Roman" w:hAnsi="Times New Roman"/>
          <w:b w:val="0"/>
          <w:color w:val="000000"/>
          <w:sz w:val="22"/>
        </w:rPr>
        <w:t xml:space="preserve">To determine whether a translation-related module also exists in HCC, we examined the independently constructed HCC WGCNA (GSE141198,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β = 4, R² = 0.84). The GSE141198 blue module (1,315 genes) showed</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as the most significantly enriched GO term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480" w:lineRule="auto"/>
      </w:pPr>
      <w:r>
        <w:rPr>
          <w:rFonts w:ascii="Times New Roman" w:hAnsi="Times New Roman"/>
          <w:b w:val="0"/>
          <w:color w:val="000000"/>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jackknife CV = 1.6%; Additional file 4: Figure S4), rather than an artifact of the β = 17 soft-threshold parameter. We next examined whether this disease-context-dependent network organization is accompanied by oppositely directed pathway-level changes.</w:t>
      </w:r>
    </w:p>
    <w:p>
      <w:pPr>
        <w:pStyle w:val="CaptionedFigure"/>
        <w:spacing w:line="480" w:lineRule="auto"/>
      </w:pPr>
      <w:r>
        <w:rPr>
          <w:rFonts w:ascii="Times New Roman" w:hAnsi="Times New Roman"/>
          <w:b w:val="0"/>
          <w:color w:val="000000"/>
          <w:sz w:val="22"/>
        </w:rPr>
        <w:drawing>
          <wp:inline>
            <wp:extent cx="5334000" cy="4000500"/>
            <wp:effectExtent b="0" l="0" r="0" t="0"/>
            <wp:docPr descr="Figure 1" title="" id="10" name="Picture"/>
            <a:graphic>
              <a:graphicData uri="http://schemas.openxmlformats.org/drawingml/2006/picture">
                <pic:pic>
                  <pic:nvPicPr>
                    <pic:cNvPr descr="figures/Fig1_JTM.png" id="11" name="Picture"/>
                    <pic:cNvPicPr>
                      <a:picLocks noChangeArrowheads="1" noChangeAspect="1"/>
                    </pic:cNvPicPr>
                  </pic:nvPicPr>
                  <pic:blipFill>
                    <a:blip r:embed="rId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1</w:t>
      </w:r>
    </w:p>
    <w:p>
      <w:pPr>
        <w:pStyle w:val="BodyText"/>
        <w:spacing w:line="480" w:lineRule="auto"/>
        <w:jc w:val="left"/>
      </w:pPr>
      <w:r>
        <w:rPr>
          <w:rFonts w:ascii="Times New Roman" w:hAnsi="Times New Roman"/>
          <w:b/>
          <w:bCs/>
          <w:color w:val="000000"/>
          <w:sz w:val="18"/>
        </w:rPr>
        <w:t xml:space="preserve">Fig. 1 | Identification of disease-context-dependent translation-related modules in HF and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Gene dendrogram and module assignment from signed WGCNA of GSE57338 (HF,</w:t>
      </w:r>
      <w:r>
        <w:rPr>
          <w:rFonts w:ascii="Times New Roman" w:hAnsi="Times New Roman"/>
          <w:b/>
          <w:color w:val="000000"/>
          <w:sz w:val="18"/>
        </w:rPr>
        <w:t xml:space="preserve">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313). The green module (227 genes) was identified as the translation-related module via GO-based scoring.</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Module–trait (HF vs. non-failing) correlation coefficients. Green module: r = −0.521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3.6 × 10⁻²³).</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GO Biological Process enrichment of the green module. Top terms include ribosome biogenesis (adjusted</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2.3 × 10⁻¹³) and rRNA processing.</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Cross-disease module gene overlap: distribution of HF green module genes across HCC WGCNA modules (GSE141198). Limited gene-level overlap (62 of 227 genes found; Fisher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suggesting disease-context-dependent network organization rather than module conservation.</w:t>
      </w:r>
    </w:p>
    <w:bookmarkEnd w:id="12"/>
    <w:bookmarkStart w:id="16" w:name="X0bb7cd2088651e3c7dc8f36f72b41334090cbe7"/>
    <w:p>
      <w:pPr>
        <w:pStyle w:val="Heading3"/>
        <w:spacing w:line="480" w:lineRule="auto"/>
      </w:pPr>
      <w:r>
        <w:rPr>
          <w:rFonts w:ascii="Times New Roman" w:hAnsi="Times New Roman"/>
          <w:b/>
          <w:color w:val="000000"/>
          <w:sz w:val="22"/>
        </w:rPr>
        <w:t xml:space="preserve">Opposite pathway-level perturbation of translation-related programs between HF and HCC</w:t>
      </w:r>
    </w:p>
    <w:p>
      <w:pPr>
        <w:pStyle w:val="FirstParagraph"/>
        <w:spacing w:line="480" w:lineRule="auto"/>
      </w:pPr>
      <w:r>
        <w:rPr>
          <w:rFonts w:ascii="Times New Roman" w:hAnsi="Times New Roman"/>
          <w:b w:val="0"/>
          <w:color w:val="000000"/>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for each pathway.</w:t>
      </w:r>
    </w:p>
    <w:p>
      <w:pPr>
        <w:pStyle w:val="BodyText"/>
        <w:spacing w:line="480" w:lineRule="auto"/>
      </w:pPr>
      <w:r>
        <w:rPr>
          <w:rFonts w:ascii="Times New Roman" w:hAnsi="Times New Roman"/>
          <w:b w:val="0"/>
          <w:color w:val="000000"/>
          <w:sz w:val="22"/>
        </w:rPr>
        <w:t xml:space="preserve">The Spearman correlation of effect sizes across all 81 pathways between the two diseases was ρ = −0.290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b w:val="0"/>
          <w:color w:val="000000"/>
          <w:sz w:val="22"/>
        </w:rPr>
        <w:t xml:space="preserve"> </w:t>
      </w:r>
      <w:r>
        <w:rPr>
          <w:rFonts w:ascii="Times New Roman" w:hAnsi="Times New Roman"/>
          <w:b w:val="0"/>
          <w:bCs/>
          <w:color w:val="000000"/>
          <w:sz w:val="22"/>
        </w:rPr>
        <w:t xml:space="preserve">ρ = −0.598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bootstrap 95% CI [−0.756, −0.340])</w:t>
      </w:r>
      <w:r>
        <w:rPr>
          <w:rFonts w:ascii="Times New Roman" w:hAnsi="Times New Roman"/>
          <w:b w:val="0"/>
          <w:color w:val="000000"/>
          <w:sz w:val="22"/>
        </w:rPr>
        <w:t xml:space="preserve">. A 10,000-iteration permutation test supported this result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Fig. 2). The specific composition of the 33 translation-related pathways and complete effect size data for all 81 pathways are provided in Additional file 6: Table S2.</w:t>
      </w:r>
    </w:p>
    <w:p>
      <w:pPr>
        <w:pStyle w:val="BodyText"/>
        <w:spacing w:line="480" w:lineRule="auto"/>
      </w:pPr>
      <w:r>
        <w:rPr>
          <w:rFonts w:ascii="Times New Roman" w:hAnsi="Times New Roman"/>
          <w:b w:val="0"/>
          <w:color w:val="000000"/>
          <w:sz w:val="22"/>
        </w:rPr>
        <w:t xml:space="preserve">Detailed examination of translation pathway effect sizes showed a consistent pattern: all 33 translation-related pathways showed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&gt; 0, higher expression in tumor vs. normal tissue), whereas the vast majority showed negative effect sizes in HF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Additional file 8: Table S4). The remaining nine pathways were enriched for mitochondrial translation or miRNA-mediated translational regulation rather than canonical cytoplasmic translation pathways (Additional file 6: Table S2). Proliferation-associated pathways (E2F Targets, G2M Checkpoint, and MYC Targets V1) exhibited the largest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+1.83 to +2.35). The most upregulated pathways in HF were Bile Acid Metabolism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+0.79) and Interferon Alpha Response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+0.67); their absolute effect sizes were considerably smaller than those of proliferation pathways in HCC.</w:t>
      </w:r>
    </w:p>
    <w:p>
      <w:pPr>
        <w:pStyle w:val="BodyText"/>
        <w:spacing w:line="480" w:lineRule="auto"/>
      </w:pPr>
      <w:r>
        <w:rPr>
          <w:rFonts w:ascii="Times New Roman" w:hAnsi="Times New Roman"/>
          <w:b w:val="0"/>
          <w:color w:val="000000"/>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spacing w:line="480" w:lineRule="auto"/>
      </w:pPr>
      <w:r>
        <w:rPr>
          <w:rFonts w:ascii="Times New Roman" w:hAnsi="Times New Roman"/>
          <w:b w:val="0"/>
          <w:color w:val="000000"/>
          <w:sz w:val="22"/>
        </w:rPr>
        <w:drawing>
          <wp:inline>
            <wp:extent cx="5334000" cy="4266137"/>
            <wp:effectExtent b="0" l="0" r="0" t="0"/>
            <wp:docPr descr="Figure 2" title="" id="14" name="Picture"/>
            <a:graphic>
              <a:graphicData uri="http://schemas.openxmlformats.org/drawingml/2006/picture">
                <pic:pic>
                  <pic:nvPicPr>
                    <pic:cNvPr descr="figures/Fig2_JTM.png" id="15" name="Picture"/>
                    <pic:cNvPicPr>
                      <a:picLocks noChangeArrowheads="1" noChangeAspect="1"/>
                    </pic:cNvPicPr>
                  </pic:nvPicPr>
                  <pic:blipFill>
                    <a:blip r:embed="rId13"/>
                    <a:stretch>
                      <a:fillRect/>
                    </a:stretch>
                  </pic:blipFill>
                  <pic:spPr bwMode="auto">
                    <a:xfrm>
                      <a:off x="0" y="0"/>
                      <a:ext cx="5334000" cy="4266137"/>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2</w:t>
      </w:r>
    </w:p>
    <w:p>
      <w:pPr>
        <w:pStyle w:val="BodyText"/>
        <w:spacing w:line="480" w:lineRule="auto"/>
        <w:jc w:val="left"/>
      </w:pPr>
      <w:r>
        <w:rPr>
          <w:rFonts w:ascii="Times New Roman" w:hAnsi="Times New Roman"/>
          <w:b/>
          <w:bCs/>
          <w:color w:val="000000"/>
          <w:sz w:val="18"/>
        </w:rPr>
        <w:t xml:space="preserve">Fig. 2 | Cross-disease pathway-level mirror perturbation between HF and HCC.</w:t>
      </w:r>
      <w:r>
        <w:rPr>
          <w:rFonts w:ascii="Times New Roman" w:hAnsi="Times New Roman"/>
          <w:b/>
          <w:color w:val="000000"/>
          <w:sz w:val="18"/>
        </w:rPr>
        <w:t xml:space="preserve"> </w:t>
      </w:r>
      <w:r>
        <w:rPr>
          <w:rFonts w:ascii="Times New Roman" w:hAnsi="Times New Roman"/>
          <w:b/>
          <w:color w:val="000000"/>
          <w:sz w:val="18"/>
        </w:rPr>
        <w:t xml:space="preserve">Scatter plot of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for 81 pathways in HCC (TCGA-LIHC, tumor vs. normal, x-axis) versus HF (GSE57338, failing vs. non-failing, y-axis). Translation/ribosome-related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33) are shown as red points; non-translation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48) as gray points. For translation pathways, Spearman ρ = −0.598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0.0003; permutation test with 10,000 iterations,</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0.0079). Dashed lines mark</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This pathway-level convergence occurs despite distinct co-expression network organization (Fig. 1), indicating that shared functional themes can emerge from disease-specific regulatory architectures.</w:t>
      </w:r>
    </w:p>
    <w:bookmarkEnd w:id="16"/>
    <w:bookmarkStart w:id="20" w:name="X1e10413deeb6a2eb59b6a363e72c13b0cd5b8b4"/>
    <w:p>
      <w:pPr>
        <w:pStyle w:val="Heading3"/>
        <w:spacing w:line="480" w:lineRule="auto"/>
      </w:pPr>
      <w:r>
        <w:rPr>
          <w:rFonts w:ascii="Times New Roman" w:hAnsi="Times New Roman"/>
          <w:b/>
          <w:color w:val="000000"/>
          <w:sz w:val="22"/>
        </w:rPr>
        <w:t xml:space="preserve">Disease and cohort context influence the magnitude of translation-related remodeling</w:t>
      </w:r>
    </w:p>
    <w:p>
      <w:pPr>
        <w:pStyle w:val="FirstParagraph"/>
        <w:spacing w:line="480" w:lineRule="auto"/>
      </w:pPr>
      <w:r>
        <w:rPr>
          <w:rFonts w:ascii="Times New Roman" w:hAnsi="Times New Roman"/>
          <w:b w:val="0"/>
          <w:color w:val="000000"/>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480" w:lineRule="auto"/>
      </w:pPr>
      <w:r>
        <w:rPr>
          <w:rFonts w:ascii="Times New Roman" w:hAnsi="Times New Roman"/>
          <w:b w:val="0"/>
          <w:color w:val="000000"/>
          <w:sz w:val="22"/>
        </w:rPr>
        <w:t xml:space="preserve">The all-pathway Spearman correlation between GSE116250 HF effect sizes and TCGA-LIHC HCC effect sizes remained negative (ρ = −0.283,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0.011), preserving the overall cross-disease trend. However, the translation-pathway subset did not reproduce the magnitude of mirror perturbation observed in GSE57338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0.162; 14/33 mirror pathways vs. 24/33 in GSE57338). This discrepancy may reflect several contributing factors: (i)</w:t>
      </w:r>
      <w:r>
        <w:rPr>
          <w:rFonts w:ascii="Times New Roman" w:hAnsi="Times New Roman"/>
          <w:b w:val="0"/>
          <w:color w:val="000000"/>
          <w:sz w:val="22"/>
        </w:rPr>
        <w:t xml:space="preserve"> </w:t>
      </w:r>
      <w:r>
        <w:rPr>
          <w:rFonts w:ascii="Times New Roman" w:hAnsi="Times New Roman"/>
          <w:b w:val="0"/>
          <w:bCs/>
          <w:color w:val="000000"/>
          <w:sz w:val="22"/>
        </w:rPr>
        <w:t xml:space="preserve">disease etiology and severity</w:t>
      </w:r>
      <w:r>
        <w:rPr>
          <w:rFonts w:ascii="Times New Roman" w:hAnsi="Times New Roman"/>
          <w:b w:val="0"/>
          <w:color w:val="000000"/>
          <w:sz w:val="22"/>
        </w:rPr>
        <w:t xml:space="preserve"> </w:t>
      </w:r>
      <w:r>
        <w:rPr>
          <w:rFonts w:ascii="Times New Roman" w:hAnsi="Times New Roman"/>
          <w:b w:val="0"/>
          <w:color w:val="000000"/>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b w:val="0"/>
          <w:color w:val="000000"/>
          <w:sz w:val="22"/>
        </w:rPr>
        <w:t xml:space="preserve"> </w:t>
      </w:r>
      <w:r>
        <w:rPr>
          <w:rFonts w:ascii="Times New Roman" w:hAnsi="Times New Roman"/>
          <w:b w:val="0"/>
          <w:bCs/>
          <w:color w:val="000000"/>
          <w:sz w:val="22"/>
        </w:rPr>
        <w:t xml:space="preserve">platform</w:t>
      </w:r>
      <w:r>
        <w:rPr>
          <w:rFonts w:ascii="Times New Roman" w:hAnsi="Times New Roman"/>
          <w:b w:val="0"/>
          <w:color w:val="000000"/>
          <w:sz w:val="22"/>
        </w:rPr>
        <w:t xml:space="preserve"> </w:t>
      </w:r>
      <w:r>
        <w:rPr>
          <w:rFonts w:ascii="Times New Roman" w:hAnsi="Times New Roman"/>
          <w:b w:val="0"/>
          <w:color w:val="000000"/>
          <w:sz w:val="22"/>
        </w:rPr>
        <w:t xml:space="preserve">— microarray (GSE57338) vs. RNA-seq RPKM (GSE116250) may differentially affect pathway-level signal resolution; and (iii)</w:t>
      </w:r>
      <w:r>
        <w:rPr>
          <w:rFonts w:ascii="Times New Roman" w:hAnsi="Times New Roman"/>
          <w:b w:val="0"/>
          <w:color w:val="000000"/>
          <w:sz w:val="22"/>
        </w:rPr>
        <w:t xml:space="preserve"> </w:t>
      </w:r>
      <w:r>
        <w:rPr>
          <w:rFonts w:ascii="Times New Roman" w:hAnsi="Times New Roman"/>
          <w:b w:val="0"/>
          <w:bCs/>
          <w:color w:val="000000"/>
          <w:sz w:val="22"/>
        </w:rPr>
        <w:t xml:space="preserve">statistical power</w:t>
      </w:r>
      <w:r>
        <w:rPr>
          <w:rFonts w:ascii="Times New Roman" w:hAnsi="Times New Roman"/>
          <w:b w:val="0"/>
          <w:color w:val="000000"/>
          <w:sz w:val="22"/>
        </w:rPr>
        <w:t xml:space="preserve"> </w:t>
      </w:r>
      <w:r>
        <w:rPr>
          <w:rFonts w:ascii="Times New Roman" w:hAnsi="Times New Roman"/>
          <w:b w:val="0"/>
          <w:color w:val="000000"/>
          <w:sz w:val="22"/>
        </w:rPr>
        <w:t xml:space="preserve">— the smaller sample size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vs.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480" w:lineRule="auto"/>
      </w:pPr>
      <w:r>
        <w:rPr>
          <w:rFonts w:ascii="Times New Roman" w:hAnsi="Times New Roman"/>
          <w:b w:val="0"/>
          <w:color w:val="000000"/>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spacing w:line="480" w:lineRule="auto"/>
      </w:pPr>
      <w:r>
        <w:rPr>
          <w:rFonts w:ascii="Times New Roman" w:hAnsi="Times New Roman"/>
          <w:b w:val="0"/>
          <w:color w:val="000000"/>
          <w:sz w:val="22"/>
        </w:rPr>
        <w:drawing>
          <wp:inline>
            <wp:extent cx="5334000" cy="4571620"/>
            <wp:effectExtent b="0" l="0" r="0" t="0"/>
            <wp:docPr descr="Figure 3" title="" id="18" name="Picture"/>
            <a:graphic>
              <a:graphicData uri="http://schemas.openxmlformats.org/drawingml/2006/picture">
                <pic:pic>
                  <pic:nvPicPr>
                    <pic:cNvPr descr="figures/Fig3_JTM.png" id="19" name="Picture"/>
                    <pic:cNvPicPr>
                      <a:picLocks noChangeArrowheads="1" noChangeAspect="1"/>
                    </pic:cNvPicPr>
                  </pic:nvPicPr>
                  <pic:blipFill>
                    <a:blip r:embed="rId17"/>
                    <a:stretch>
                      <a:fillRect/>
                    </a:stretch>
                  </pic:blipFill>
                  <pic:spPr bwMode="auto">
                    <a:xfrm>
                      <a:off x="0" y="0"/>
                      <a:ext cx="5334000" cy="457162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3</w:t>
      </w:r>
    </w:p>
    <w:p>
      <w:pPr>
        <w:pStyle w:val="BodyText"/>
        <w:spacing w:line="480" w:lineRule="auto"/>
        <w:jc w:val="left"/>
      </w:pPr>
      <w:r>
        <w:rPr>
          <w:rFonts w:ascii="Times New Roman" w:hAnsi="Times New Roman"/>
          <w:b/>
          <w:bCs/>
          <w:color w:val="000000"/>
          <w:sz w:val="18"/>
        </w:rPr>
        <w:t xml:space="preserve">Fig. 3 | Cohort dependency and disease-context analyses of cross-disease mirror perturbation.</w:t>
      </w:r>
      <w:r>
        <w:rPr>
          <w:rFonts w:ascii="Times New Roman" w:hAnsi="Times New Roman"/>
          <w:b/>
          <w:color w:val="000000"/>
          <w:sz w:val="18"/>
        </w:rPr>
        <w:t xml:space="preserve"> </w:t>
      </w:r>
      <w:r>
        <w:rPr>
          <w:rFonts w:ascii="Times New Roman" w:hAnsi="Times New Roman"/>
          <w:b/>
          <w:color w:val="000000"/>
          <w:sz w:val="18"/>
        </w:rPr>
        <w:t xml:space="preserve">Cross-disease Spearman correlation of pathway-level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(x-axis: HCC, TCGA-LIHC) for 33 translation-related pathways (red) and 48 other pathways (gray).</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HF discovery cohort (GSE57338): ρ = −0.598, 24/33 mirror.</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Cardiac same-organ control (GSE141910, HCM vs. NF): ρ = −0.036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0.84) — no mirror perturbation, excluding a generic cardiac disease effect.</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Liver same-organ control (GSE89377, cirrhosis vs. normal): ρ = +0.402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0.021) — translation pathways positively correlated with HCC, consistent with progressive remodeling of translation-related programs during hepatocarcinogenesis.</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Independent HF cohort (GSE116250): overall cross-disease trend retained (all-pathway ρ = −0.283,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20"/>
    <w:bookmarkStart w:id="24" w:name="X02ce305d1f65b16a947188421433840c43c55eb"/>
    <w:p>
      <w:pPr>
        <w:pStyle w:val="Heading3"/>
        <w:spacing w:line="480" w:lineRule="auto"/>
      </w:pPr>
      <w:r>
        <w:rPr>
          <w:rFonts w:ascii="Times New Roman" w:hAnsi="Times New Roman"/>
          <w:b/>
          <w:color w:val="000000"/>
          <w:sz w:val="22"/>
        </w:rPr>
        <w:t xml:space="preserve">Exploratory assessment of TATS clinical associations</w:t>
      </w:r>
    </w:p>
    <w:p>
      <w:pPr>
        <w:pStyle w:val="FirstParagraph"/>
        <w:spacing w:line="480" w:lineRule="auto"/>
      </w:pPr>
      <w:r>
        <w:rPr>
          <w:rFonts w:ascii="Times New Roman" w:hAnsi="Times New Roman"/>
          <w:b w:val="0"/>
          <w:color w:val="000000"/>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480" w:lineRule="auto"/>
      </w:pPr>
      <w:r>
        <w:rPr>
          <w:rFonts w:ascii="Times New Roman" w:hAnsi="Times New Roman"/>
          <w:b w:val="0"/>
          <w:color w:val="000000"/>
          <w:sz w:val="22"/>
        </w:rPr>
        <w:t xml:space="preserve">TATS was not significantly associated with overall survival in GSE141198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94 events;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Fig. 4a). When analyzed as a continuous variable, TATS was also non-significant in Cox regression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CaptionedFigure"/>
        <w:spacing w:line="480" w:lineRule="auto"/>
      </w:pPr>
      <w:r>
        <w:rPr>
          <w:rFonts w:ascii="Times New Roman" w:hAnsi="Times New Roman"/>
          <w:b w:val="0"/>
          <w:color w:val="000000"/>
          <w:sz w:val="22"/>
        </w:rPr>
        <w:drawing>
          <wp:inline>
            <wp:extent cx="5334000" cy="2667000"/>
            <wp:effectExtent b="0" l="0" r="0" t="0"/>
            <wp:docPr descr="Figure 4" title="" id="22" name="Picture"/>
            <a:graphic>
              <a:graphicData uri="http://schemas.openxmlformats.org/drawingml/2006/picture">
                <pic:pic>
                  <pic:nvPicPr>
                    <pic:cNvPr descr="figures/Fig4_JTM.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4</w:t>
      </w:r>
    </w:p>
    <w:p>
      <w:pPr>
        <w:pStyle w:val="BodyText"/>
        <w:spacing w:line="480" w:lineRule="auto"/>
        <w:jc w:val="left"/>
      </w:pPr>
      <w:r>
        <w:rPr>
          <w:rFonts w:ascii="Times New Roman" w:hAnsi="Times New Roman"/>
          <w:b/>
          <w:bCs/>
          <w:color w:val="000000"/>
          <w:sz w:val="18"/>
        </w:rPr>
        <w:t xml:space="preserve">Fig. 4 | TATS exploratory clinical association and hub gene significance.</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Kaplan–Meier overall survival curves for TATS (median split) in the GSE141198 HCC cohort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94 events). Log-rank</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0.303; Cox HR = 1.68, 95% CI [0.67, 4.21],</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0.265. TATS was not significantly associated with overall survival.</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24"/>
    <w:bookmarkStart w:id="28" w:name="Xf77b5fd22659b51cc58db1acf92e254d9aa3f77"/>
    <w:p>
      <w:pPr>
        <w:pStyle w:val="Heading3"/>
        <w:spacing w:line="480" w:lineRule="auto"/>
      </w:pPr>
      <w:r>
        <w:rPr>
          <w:rFonts w:ascii="Times New Roman" w:hAnsi="Times New Roman"/>
          <w:b/>
          <w:color w:val="000000"/>
          <w:sz w:val="22"/>
        </w:rPr>
        <w:t xml:space="preserve">Regulatory associations with translation-related transcriptional programs</w:t>
      </w:r>
    </w:p>
    <w:p>
      <w:pPr>
        <w:pStyle w:val="FirstParagraph"/>
        <w:spacing w:line="480" w:lineRule="auto"/>
      </w:pPr>
      <w:r>
        <w:rPr>
          <w:rFonts w:ascii="Times New Roman" w:hAnsi="Times New Roman"/>
          <w:b w:val="0"/>
          <w:color w:val="000000"/>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480" w:lineRule="auto"/>
      </w:pPr>
      <w:r>
        <w:rPr>
          <w:rFonts w:ascii="Times New Roman" w:hAnsi="Times New Roman"/>
          <w:b w:val="0"/>
          <w:color w:val="000000"/>
          <w:sz w:val="22"/>
        </w:rPr>
        <w:t xml:space="preserve">At the pathway activity level,</w:t>
      </w:r>
      <w:r>
        <w:rPr>
          <w:rFonts w:ascii="Times New Roman" w:hAnsi="Times New Roman"/>
          <w:b w:val="0"/>
          <w:color w:val="000000"/>
          <w:sz w:val="22"/>
        </w:rPr>
        <w:t xml:space="preserve"> </w:t>
      </w:r>
      <w:r>
        <w:rPr>
          <w:rFonts w:ascii="Times New Roman" w:hAnsi="Times New Roman"/>
          <w:b w:val="0"/>
          <w:bCs/>
          <w:color w:val="000000"/>
          <w:sz w:val="22"/>
        </w:rPr>
        <w:t xml:space="preserve">MYC target pathway activity showed the strongest overall correlation with TATS</w:t>
      </w:r>
      <w:r>
        <w:rPr>
          <w:rFonts w:ascii="Times New Roman" w:hAnsi="Times New Roman"/>
          <w:b w:val="0"/>
          <w:color w:val="000000"/>
          <w:sz w:val="22"/>
        </w:rPr>
        <w:t xml:space="preserve"> </w:t>
      </w:r>
      <w:r>
        <w:rPr>
          <w:rFonts w:ascii="Times New Roman" w:hAnsi="Times New Roman"/>
          <w:b w:val="0"/>
          <w:color w:val="000000"/>
          <w:sz w:val="22"/>
        </w:rPr>
        <w:t xml:space="preserve">(MYC Targets V2: ρ = +0.753,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MYC Targets V1: ρ = +0.459,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(Additional file 11: Table S7).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(Additional file 11: Table S7).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and MTORC1 Signaling (ρ = +0.335,</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pathway activities were also positively associated with TATS, consistent with the proliferative association of translation-related transcriptional remodeling.</w:t>
      </w:r>
    </w:p>
    <w:p>
      <w:pPr>
        <w:pStyle w:val="BodyText"/>
        <w:spacing w:line="480" w:lineRule="auto"/>
      </w:pPr>
      <w:r>
        <w:rPr>
          <w:rFonts w:ascii="Times New Roman" w:hAnsi="Times New Roman"/>
          <w:b w:val="0"/>
          <w:color w:val="000000"/>
          <w:sz w:val="22"/>
        </w:rPr>
        <w:t xml:space="preserve">At the individual TF expression level, eleven of nineteen TFs were significantly correlated with TATS at FDR &lt; 0.05. Among these,</w:t>
      </w:r>
      <w:r>
        <w:rPr>
          <w:rFonts w:ascii="Times New Roman" w:hAnsi="Times New Roman"/>
          <w:b w:val="0"/>
          <w:color w:val="000000"/>
          <w:sz w:val="22"/>
        </w:rPr>
        <w:t xml:space="preserve"> </w:t>
      </w:r>
      <w:r>
        <w:rPr>
          <w:rFonts w:ascii="Times New Roman" w:hAnsi="Times New Roman"/>
          <w:b w:val="0"/>
          <w:bCs/>
          <w:color w:val="000000"/>
          <w:sz w:val="22"/>
        </w:rPr>
        <w:t xml:space="preserve">ATF4 showed the strongest association among individual TF transcripts</w:t>
      </w:r>
      <w:r>
        <w:rPr>
          <w:rFonts w:ascii="Times New Roman" w:hAnsi="Times New Roman"/>
          <w:b w:val="0"/>
          <w:color w:val="000000"/>
          <w:sz w:val="22"/>
        </w:rPr>
        <w:t xml:space="preserve"> </w:t>
      </w:r>
      <w:r>
        <w:rPr>
          <w:rFonts w:ascii="Times New Roman" w:hAnsi="Times New Roman"/>
          <w:b w:val="0"/>
          <w:color w:val="000000"/>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Additional file 10: Table S6.</w:t>
      </w:r>
    </w:p>
    <w:p>
      <w:pPr>
        <w:pStyle w:val="BodyText"/>
        <w:spacing w:line="480" w:lineRule="auto"/>
      </w:pPr>
      <w:r>
        <w:rPr>
          <w:rFonts w:ascii="Times New Roman" w:hAnsi="Times New Roman"/>
          <w:b w:val="0"/>
          <w:color w:val="000000"/>
          <w:sz w:val="22"/>
        </w:rPr>
        <w:t xml:space="preserve">These results identify two associated transcriptional dimensions linked to translation-related transcriptional programs in HCC: (i)</w:t>
      </w:r>
      <w:r>
        <w:rPr>
          <w:rFonts w:ascii="Times New Roman" w:hAnsi="Times New Roman"/>
          <w:b w:val="0"/>
          <w:color w:val="000000"/>
          <w:sz w:val="22"/>
        </w:rPr>
        <w:t xml:space="preserve"> </w:t>
      </w:r>
      <w:r>
        <w:rPr>
          <w:rFonts w:ascii="Times New Roman" w:hAnsi="Times New Roman"/>
          <w:b w:val="0"/>
          <w:bCs/>
          <w:color w:val="000000"/>
          <w:sz w:val="22"/>
        </w:rPr>
        <w:t xml:space="preserve">proliferative demand</w:t>
      </w:r>
      <w:r>
        <w:rPr>
          <w:rFonts w:ascii="Times New Roman" w:hAnsi="Times New Roman"/>
          <w:b w:val="0"/>
          <w:color w:val="000000"/>
          <w:sz w:val="22"/>
        </w:rPr>
        <w:t xml:space="preserve"> </w:t>
      </w:r>
      <w:r>
        <w:rPr>
          <w:rFonts w:ascii="Times New Roman" w:hAnsi="Times New Roman"/>
          <w:b w:val="0"/>
          <w:color w:val="000000"/>
          <w:sz w:val="22"/>
        </w:rPr>
        <w:t xml:space="preserve">— MYC target pathway activity (ρ = +0.753), reflecting the association between proliferative signaling and translation-related transcriptional programs; and (ii)</w:t>
      </w:r>
      <w:r>
        <w:rPr>
          <w:rFonts w:ascii="Times New Roman" w:hAnsi="Times New Roman"/>
          <w:b w:val="0"/>
          <w:color w:val="000000"/>
          <w:sz w:val="22"/>
        </w:rPr>
        <w:t xml:space="preserve"> </w:t>
      </w:r>
      <w:r>
        <w:rPr>
          <w:rFonts w:ascii="Times New Roman" w:hAnsi="Times New Roman"/>
          <w:b w:val="0"/>
          <w:bCs/>
          <w:color w:val="000000"/>
          <w:sz w:val="22"/>
        </w:rPr>
        <w:t xml:space="preserve">stress-responsive signaling</w:t>
      </w:r>
      <w:r>
        <w:rPr>
          <w:rFonts w:ascii="Times New Roman" w:hAnsi="Times New Roman"/>
          <w:b w:val="0"/>
          <w:color w:val="000000"/>
          <w:sz w:val="22"/>
        </w:rPr>
        <w:t xml:space="preserve"> </w:t>
      </w:r>
      <w:r>
        <w:rPr>
          <w:rFonts w:ascii="Times New Roman" w:hAnsi="Times New Roman"/>
          <w:b w:val="0"/>
          <w:color w:val="000000"/>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CaptionedFigure"/>
        <w:spacing w:line="480" w:lineRule="auto"/>
      </w:pPr>
      <w:r>
        <w:rPr>
          <w:rFonts w:ascii="Times New Roman" w:hAnsi="Times New Roman"/>
          <w:b w:val="0"/>
          <w:color w:val="000000"/>
          <w:sz w:val="22"/>
        </w:rPr>
        <w:drawing>
          <wp:inline>
            <wp:extent cx="5334000" cy="5065706"/>
            <wp:effectExtent b="0" l="0" r="0" t="0"/>
            <wp:docPr descr="Figure 5" title="" id="26" name="Picture"/>
            <a:graphic>
              <a:graphicData uri="http://schemas.openxmlformats.org/drawingml/2006/picture">
                <pic:pic>
                  <pic:nvPicPr>
                    <pic:cNvPr descr="figures/Fig5_JTM.png" id="27" name="Picture"/>
                    <pic:cNvPicPr>
                      <a:picLocks noChangeArrowheads="1" noChangeAspect="1"/>
                    </pic:cNvPicPr>
                  </pic:nvPicPr>
                  <pic:blipFill>
                    <a:blip r:embed="rId25"/>
                    <a:stretch>
                      <a:fillRect/>
                    </a:stretch>
                  </pic:blipFill>
                  <pic:spPr bwMode="auto">
                    <a:xfrm>
                      <a:off x="0" y="0"/>
                      <a:ext cx="5334000" cy="5065706"/>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5</w:t>
      </w:r>
    </w:p>
    <w:p>
      <w:pPr>
        <w:pStyle w:val="BodyText"/>
        <w:spacing w:line="480" w:lineRule="auto"/>
        <w:jc w:val="left"/>
      </w:pPr>
      <w:r>
        <w:rPr>
          <w:rFonts w:ascii="Times New Roman" w:hAnsi="Times New Roman"/>
          <w:b/>
          <w:bCs/>
          <w:color w:val="000000"/>
          <w:sz w:val="18"/>
        </w:rPr>
        <w:t xml:space="preserve">Fig. 5 | Transcription factor associations, pathway activity, and conceptual model of translation-related transcriptional remodeling in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Spearman correlation of 19 candidate transcription factors with TATS in GSE141198 tumor samples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Spearman correlation of Hallmark pathway ssGSEA scores with TATS. MYC Targets V2 pathway activity shows the strongest overall association (ρ = +0.753,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28"/>
    <w:bookmarkEnd w:id="29"/>
    <w:bookmarkStart w:id="30" w:name="discussion"/>
    <w:p>
      <w:pPr>
        <w:pStyle w:val="Heading2"/>
        <w:spacing w:line="480" w:lineRule="auto"/>
      </w:pPr>
      <w:r>
        <w:rPr>
          <w:rFonts w:ascii="Times New Roman" w:hAnsi="Times New Roman"/>
          <w:b/>
          <w:color w:val="000000"/>
          <w:sz w:val="22"/>
        </w:rPr>
        <w:t xml:space="preserve">Discussion</w:t>
      </w:r>
    </w:p>
    <w:p>
      <w:pPr>
        <w:pStyle w:val="FirstParagraph"/>
        <w:spacing w:line="480" w:lineRule="auto"/>
      </w:pPr>
      <w:r>
        <w:rPr>
          <w:rFonts w:ascii="Times New Roman" w:hAnsi="Times New Roman"/>
          <w:b w:val="0"/>
          <w:color w:val="000000"/>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480" w:lineRule="auto"/>
      </w:pPr>
      <w:r>
        <w:rPr>
          <w:rFonts w:ascii="Times New Roman" w:hAnsi="Times New Roman"/>
          <w:b w:val="0"/>
          <w:color w:val="000000"/>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b w:val="0"/>
          <w:color w:val="000000"/>
          <w:sz w:val="22"/>
        </w:rPr>
        <w:t xml:space="preserve"> </w:t>
      </w:r>
      <w:r>
        <w:rPr>
          <w:rFonts w:ascii="Times New Roman" w:hAnsi="Times New Roman"/>
          <w:b w:val="0"/>
          <w:color w:val="000000"/>
          <w:sz w:val="22"/>
        </w:rPr>
        <w:t xml:space="preserve">“conserved module”</w:t>
      </w:r>
      <w:r>
        <w:rPr>
          <w:rFonts w:ascii="Times New Roman" w:hAnsi="Times New Roman"/>
          <w:b w:val="0"/>
          <w:color w:val="000000"/>
          <w:sz w:val="22"/>
        </w:rPr>
        <w:t xml:space="preserve"> </w:t>
      </w:r>
      <w:r>
        <w:rPr>
          <w:rFonts w:ascii="Times New Roman" w:hAnsi="Times New Roman"/>
          <w:b w:val="0"/>
          <w:color w:val="000000"/>
          <w:sz w:val="22"/>
        </w:rPr>
        <w:t xml:space="preserve">model and provides a more nuanced lens for cross-disease transcriptomic comparisons.</w:t>
      </w:r>
    </w:p>
    <w:p>
      <w:pPr>
        <w:pStyle w:val="BodyText"/>
        <w:spacing w:line="480" w:lineRule="auto"/>
      </w:pPr>
      <w:r>
        <w:rPr>
          <w:rFonts w:ascii="Times New Roman" w:hAnsi="Times New Roman"/>
          <w:b w:val="0"/>
          <w:color w:val="000000"/>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480" w:lineRule="auto"/>
      </w:pPr>
      <w:r>
        <w:rPr>
          <w:rFonts w:ascii="Times New Roman" w:hAnsi="Times New Roman"/>
          <w:b w:val="0"/>
          <w:color w:val="000000"/>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b w:val="0"/>
          <w:color w:val="000000"/>
          <w:sz w:val="22"/>
          <w:vertAlign w:val="superscript"/>
        </w:rPr>
        <w:t xmlns:ns92="http://schemas.xmlsoap.org/soap/envelope/" ns92:space="preserve">[19,20,21]</w:t>
      </w:r>
      <w:r>
        <w:rPr>
          <w:rFonts w:ascii="Times New Roman" w:hAnsi="Times New Roman"/>
          <w:b w:val="0"/>
          <w:color w:val="000000"/>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480" w:lineRule="auto"/>
      </w:pPr>
      <w:r>
        <w:rPr>
          <w:rFonts w:ascii="Times New Roman" w:hAnsi="Times New Roman"/>
          <w:b w:val="0"/>
          <w:color w:val="000000"/>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b w:val="0"/>
          <w:color w:val="000000"/>
          <w:sz w:val="22"/>
          <w:vertAlign w:val="superscript"/>
        </w:rPr>
        <w:t xmlns:ns108="http://schemas.xmlsoap.org/soap/envelope/" ns108:space="preserve">[8,12,22]</w:t>
      </w:r>
      <w:r>
        <w:rPr>
          <w:rFonts w:ascii="Times New Roman" w:hAnsi="Times New Roman"/>
          <w:b w:val="0"/>
          <w:color w:val="000000"/>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b w:val="0"/>
          <w:color w:val="000000"/>
          <w:sz w:val="22"/>
          <w:vertAlign w:val="superscript"/>
        </w:rPr>
        <w:t xmlns:ns100="http://schemas.xmlsoap.org/soap/envelope/" ns100:space="preserve">[23,24,25]</w:t>
      </w:r>
      <w:r>
        <w:rPr>
          <w:rFonts w:ascii="Times New Roman" w:hAnsi="Times New Roman"/>
          <w:b w:val="0"/>
          <w:color w:val="000000"/>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480" w:lineRule="auto"/>
      </w:pPr>
      <w:r>
        <w:rPr>
          <w:rFonts w:ascii="Times New Roman" w:hAnsi="Times New Roman"/>
          <w:b w:val="0"/>
          <w:color w:val="000000"/>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Cox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480" w:lineRule="auto"/>
      </w:pPr>
      <w:r>
        <w:rPr>
          <w:rFonts w:ascii="Times New Roman" w:hAnsi="Times New Roman"/>
          <w:b w:val="0"/>
          <w:color w:val="000000"/>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b w:val="0"/>
          <w:color w:val="000000"/>
          <w:sz w:val="22"/>
          <w:vertAlign w:val="superscript"/>
        </w:rPr>
        <w:t xmlns:ns116="http://schemas.xmlsoap.org/soap/envelope/" ns116:space="preserve">[26]</w:t>
      </w:r>
      <w:r>
        <w:rPr>
          <w:rFonts w:ascii="Times New Roman" w:hAnsi="Times New Roman"/>
          <w:b w:val="0"/>
          <w:color w:val="000000"/>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summary</w:t>
      </w:r>
      <w:r>
        <w:rPr>
          <w:rFonts w:ascii="Times New Roman" w:hAnsi="Times New Roman"/>
          <w:b w:val="0"/>
          <w:color w:val="000000"/>
          <w:sz w:val="22"/>
        </w:rPr>
        <w:t xml:space="preserve"> </w:t>
      </w:r>
      <w:r>
        <w:rPr>
          <w:rFonts w:ascii="Times New Roman" w:hAnsi="Times New Roman"/>
          <w:b w:val="0"/>
          <w:color w:val="000000"/>
          <w:sz w:val="22"/>
        </w:rPr>
        <w:t xml:space="preserve">threshold calibration; the gene-level overlap quantification reported here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30"/>
    <w:bookmarkStart w:id="31" w:name="conclusion"/>
    <w:p>
      <w:pPr>
        <w:pStyle w:val="Heading2"/>
        <w:spacing w:line="480" w:lineRule="auto"/>
      </w:pPr>
      <w:r>
        <w:rPr>
          <w:rFonts w:ascii="Times New Roman" w:hAnsi="Times New Roman"/>
          <w:b/>
          <w:color w:val="000000"/>
          <w:sz w:val="22"/>
        </w:rPr>
        <w:t xml:space="preserve">Conclusion</w:t>
      </w:r>
    </w:p>
    <w:p>
      <w:pPr>
        <w:pStyle w:val="FirstParagraph"/>
        <w:spacing w:line="480" w:lineRule="auto"/>
      </w:pPr>
      <w:r>
        <w:rPr>
          <w:rFonts w:ascii="Times New Roman" w:hAnsi="Times New Roman"/>
          <w:b w:val="0"/>
          <w:color w:val="000000"/>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31"/>
    <w:bookmarkStart w:id="42" w:name="methods"/>
    <w:p>
      <w:pPr>
        <w:pStyle w:val="Heading2"/>
        <w:spacing w:line="480" w:lineRule="auto"/>
      </w:pPr>
      <w:r>
        <w:rPr>
          <w:rFonts w:ascii="Times New Roman" w:hAnsi="Times New Roman"/>
          <w:b/>
          <w:color w:val="000000"/>
          <w:sz w:val="22"/>
        </w:rPr>
        <w:t xml:space="preserve">Methods</w:t>
      </w:r>
    </w:p>
    <w:bookmarkStart w:id="32" w:name="data-acquisition-and-preprocessing"/>
    <w:p>
      <w:pPr>
        <w:pStyle w:val="Heading3"/>
        <w:spacing w:line="480" w:lineRule="auto"/>
      </w:pPr>
      <w:r>
        <w:rPr>
          <w:rFonts w:ascii="Times New Roman" w:hAnsi="Times New Roman"/>
          <w:b/>
          <w:color w:val="000000"/>
          <w:sz w:val="22"/>
        </w:rPr>
        <w:t xml:space="preserve">Data acquisition and preprocessing</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480" w:lineRule="auto"/>
      </w:pPr>
      <w:r>
        <w:rPr>
          <w:rFonts w:ascii="Times New Roman" w:hAnsi="Times New Roman"/>
          <w:b w:val="0"/>
          <w:color w:val="000000"/>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480" w:lineRule="auto"/>
      </w:pPr>
      <w:r>
        <w:rPr>
          <w:rFonts w:ascii="Times New Roman" w:hAnsi="Times New Roman"/>
          <w:b w:val="0"/>
          <w:bCs/>
          <w:color w:val="000000"/>
          <w:sz w:val="22"/>
        </w:rPr>
        <w:t xml:space="preserve">GSE57338 (HF).</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480" w:lineRule="auto"/>
      </w:pPr>
      <w:r>
        <w:rPr>
          <w:rFonts w:ascii="Times New Roman" w:hAnsi="Times New Roman"/>
          <w:b w:val="0"/>
          <w:bCs/>
          <w:color w:val="000000"/>
          <w:sz w:val="22"/>
        </w:rPr>
        <w:t xml:space="preserve">TCGA-LIHC (HCC discovery set).</w:t>
      </w:r>
      <w:r>
        <w:rPr>
          <w:rFonts w:ascii="Times New Roman" w:hAnsi="Times New Roman"/>
          <w:b w:val="0"/>
          <w:color w:val="000000"/>
          <w:sz w:val="22"/>
        </w:rPr>
        <w:t xml:space="preserve"> </w:t>
      </w:r>
      <w:r>
        <w:rPr>
          <w:rFonts w:ascii="Times New Roman" w:hAnsi="Times New Roman"/>
          <w:b w:val="0"/>
          <w:color w:val="000000"/>
          <w:sz w:val="22"/>
        </w:rPr>
        <w:t xml:space="preserve">Downloaded from the TCGA GDC portal,</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424 samples (initially 371 tumor + 50 normal + 3 recurrent tumor), RNA-seq (Illumina), using</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assay(se, "unstranded")</w:t>
      </w:r>
      <w:r>
        <w:rPr>
          <w:rFonts w:ascii="Times New Roman" w:hAnsi="Times New Roman"/>
          <w:b w:val="0"/>
          <w:color w:val="000000"/>
          <w:sz w:val="22"/>
        </w:rPr>
        <w:t xml:space="preserve"> </w:t>
      </w:r>
      <w:r>
        <w:rPr>
          <w:rFonts w:ascii="Times New Roman" w:hAnsi="Times New Roman"/>
          <w:b w:val="0"/>
          <w:color w:val="000000"/>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421 (371 tumor vs. 50 normal). DESeq2 variance stabilizing transformation (VST) normalization was applied using the vst function</w:t>
      </w:r>
      <w:r>
        <w:rPr>
          <w:rFonts w:ascii="Times New Roman" w:hAnsi="Times New Roman"/>
          <w:b w:val="0"/>
          <w:color w:val="000000"/>
          <w:sz w:val="22"/>
          <w:vertAlign w:val="superscript"/>
        </w:rPr>
        <w:t xmlns:ns124="http://schemas.xmlsoap.org/soap/envelope/" ns124:space="preserve">[13]</w:t>
      </w:r>
      <w:r>
        <w:rPr>
          <w:rFonts w:ascii="Times New Roman" w:hAnsi="Times New Roman"/>
          <w:b w:val="0"/>
          <w:color w:val="000000"/>
          <w:sz w:val="22"/>
        </w:rPr>
        <w:t xmlns:ns127="http://schemas.xmlsoap.org/soap/envelope/" ns127:space="preserve"> with</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blind = TRUE</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nsub = 1000</w:t>
      </w:r>
      <w:r>
        <w:rPr>
          <w:rFonts w:ascii="Times New Roman" w:hAnsi="Times New Roman"/>
          <w:b w:val="0"/>
          <w:color w:val="000000"/>
          <w:sz w:val="22"/>
        </w:rPr>
        <w:t xml:space="preserve"> </w:t>
      </w:r>
      <w:r>
        <w:rPr>
          <w:rFonts w:ascii="Times New Roman" w:hAnsi="Times New Roman"/>
          <w:b w:val="0"/>
          <w:color w:val="000000"/>
          <w:sz w:val="22"/>
        </w:rPr>
        <w:t xml:space="preserve">parameters (design = ~ 1), following filtering for genes with counts ≥ 10 in at least 20% of samples. Ensembl IDs were converted to gene symbols via org.Hs.eg.db.</w:t>
      </w:r>
    </w:p>
    <w:p>
      <w:pPr>
        <w:pStyle w:val="BodyText"/>
        <w:spacing w:line="480" w:lineRule="auto"/>
      </w:pPr>
      <w:r>
        <w:rPr>
          <w:rFonts w:ascii="Times New Roman" w:hAnsi="Times New Roman"/>
          <w:b w:val="0"/>
          <w:bCs/>
          <w:color w:val="000000"/>
          <w:sz w:val="22"/>
        </w:rPr>
        <w:t xml:space="preserve">GSE141198 (HCC validation set).</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HCC tumors (RNA-seq), 94 OS events. Processing pipeline identical to TCGA-LIHC.</w:t>
      </w:r>
    </w:p>
    <w:p>
      <w:pPr>
        <w:pStyle w:val="BodyText"/>
        <w:spacing w:line="480" w:lineRule="auto"/>
      </w:pPr>
      <w:r>
        <w:rPr>
          <w:rFonts w:ascii="Times New Roman" w:hAnsi="Times New Roman"/>
          <w:b w:val="0"/>
          <w:bCs/>
          <w:color w:val="000000"/>
          <w:sz w:val="22"/>
        </w:rPr>
        <w:t xml:space="preserve">GSE14520 and GSE76427 (external validation).</w:t>
      </w:r>
      <w:r>
        <w:rPr>
          <w:rFonts w:ascii="Times New Roman" w:hAnsi="Times New Roman"/>
          <w:b w:val="0"/>
          <w:color w:val="000000"/>
          <w:sz w:val="22"/>
        </w:rPr>
        <w:t xml:space="preserve"> </w:t>
      </w:r>
      <w:r>
        <w:rPr>
          <w:rFonts w:ascii="Times New Roman" w:hAnsi="Times New Roman"/>
          <w:b w:val="0"/>
          <w:color w:val="000000"/>
          <w:sz w:val="22"/>
        </w:rPr>
        <w:t xml:space="preserve">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HCC tumors, GPL3921 Affymetrix HT Human Genome U133A Array)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HCC tumors, GPL10558 Illumina HumanHT-12 V4.0) were downloaded from GEO for external TATS validation. Processing and TATS calculation were performed identically across all validation cohorts.</w:t>
      </w:r>
    </w:p>
    <w:bookmarkEnd w:id="32"/>
    <w:bookmarkStart w:id="33" w:name="wgcna-co-expression-network-analysis"/>
    <w:p>
      <w:pPr>
        <w:pStyle w:val="Heading3"/>
        <w:spacing w:line="480" w:lineRule="auto"/>
      </w:pPr>
      <w:r>
        <w:rPr>
          <w:rFonts w:ascii="Times New Roman" w:hAnsi="Times New Roman"/>
          <w:b/>
          <w:color w:val="000000"/>
          <w:sz w:val="22"/>
        </w:rPr>
        <w:t xml:space="preserve">WGCNA co-expression network analysis</w:t>
      </w:r>
    </w:p>
    <w:p>
      <w:pPr>
        <w:pStyle w:val="FirstParagraph"/>
        <w:spacing w:line="480" w:lineRule="auto"/>
      </w:pPr>
      <w:r>
        <w:rPr>
          <w:rFonts w:ascii="Times New Roman" w:hAnsi="Times New Roman"/>
          <w:b w:val="0"/>
          <w:color w:val="000000"/>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b w:val="0"/>
          <w:color w:val="000000"/>
          <w:sz w:val="22"/>
          <w:vertAlign w:val="superscript"/>
        </w:rPr>
        <w:t xmlns:ns132="http://schemas.xmlsoap.org/soap/envelope/" ns132:space="preserve">[14,15]</w:t>
      </w:r>
      <w:r>
        <w:rPr>
          <w:rFonts w:ascii="Times New Roman" w:hAnsi="Times New Roman"/>
          <w:b w:val="0"/>
          <w:color w:val="000000"/>
          <w:sz w:val="22"/>
        </w:rPr>
        <w:t xmlns:ns135="http://schemas.xmlsoap.org/soap/envelope/" ns135:space="preserve">. The soft threshold β was selected to best approximate the scale-free topology criterion (targeting R² ≈ 0.85; GSE57338: β = 17, signed R² = 0.865; GSE141198: β = 4, R² = 0.84; Additional file 3: Figure S3).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480" w:lineRule="auto"/>
      </w:pPr>
      <w:r>
        <w:rPr>
          <w:rFonts w:ascii="Times New Roman" w:hAnsi="Times New Roman"/>
          <w:b w:val="0"/>
          <w:color w:val="000000"/>
          <w:sz w:val="22"/>
        </w:rPr>
        <w:t xml:space="preserve">For GSE57338, a manual stepwise procedure was used: Pearson correlation (stats::cor) → signed adjacency matrix [(0.5 × (1 + cor))^β] → TOM similarity (WGCNA::TOMsimilarity,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 hierarchical clustering (hclust, method =</w:t>
      </w:r>
      <w:r>
        <w:rPr>
          <w:rFonts w:ascii="Times New Roman" w:hAnsi="Times New Roman"/>
          <w:b w:val="0"/>
          <w:color w:val="000000"/>
          <w:sz w:val="22"/>
        </w:rPr>
        <w:t xml:space="preserve"> </w:t>
      </w:r>
      <w:r>
        <w:rPr>
          <w:rFonts w:ascii="Times New Roman" w:hAnsi="Times New Roman"/>
          <w:b w:val="0"/>
          <w:color w:val="000000"/>
          <w:sz w:val="22"/>
        </w:rPr>
        <w:t xml:space="preserve">“average”</w:t>
      </w:r>
      <w:r>
        <w:rPr>
          <w:rFonts w:ascii="Times New Roman" w:hAnsi="Times New Roman"/>
          <w:b w:val="0"/>
          <w:color w:val="000000"/>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minModuleSize = 30, mergeCutHeight = 0.25,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pamRespectsDendro = FALSE, maxBlockSize = 6,000, randomSeed = 42).</w:t>
      </w:r>
    </w:p>
    <w:p>
      <w:pPr>
        <w:pStyle w:val="BodyText"/>
        <w:spacing w:line="480" w:lineRule="auto"/>
      </w:pPr>
      <w:r>
        <w:rPr>
          <w:rFonts w:ascii="Times New Roman" w:hAnsi="Times New Roman"/>
          <w:b w:val="0"/>
          <w:bCs/>
          <w:color w:val="000000"/>
          <w:sz w:val="22"/>
        </w:rPr>
        <w:t xml:space="preserve">Translation-related module identification.</w:t>
      </w:r>
      <w:r>
        <w:rPr>
          <w:rFonts w:ascii="Times New Roman" w:hAnsi="Times New Roman"/>
          <w:b w:val="0"/>
          <w:color w:val="000000"/>
          <w:sz w:val="22"/>
        </w:rPr>
        <w:t xml:space="preserve"> </w:t>
      </w:r>
      <w:r>
        <w:rPr>
          <w:rFonts w:ascii="Times New Roman" w:hAnsi="Times New Roman"/>
          <w:b w:val="0"/>
          <w:color w:val="000000"/>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b w:val="0"/>
          <w:color w:val="000000"/>
          <w:sz w:val="22"/>
          <w:vertAlign w:val="superscript"/>
        </w:rPr>
        <w:t xmlns:ns140="http://schemas.xmlsoap.org/soap/envelope/" ns140:space="preserve">[16]</w:t>
      </w:r>
      <w:r>
        <w:rPr>
          <w:rFonts w:ascii="Times New Roman" w:hAnsi="Times New Roman"/>
          <w:b w:val="0"/>
          <w:color w:val="000000"/>
          <w:sz w:val="22"/>
        </w:rPr>
        <w:t xmlns:ns143="http://schemas.xmlsoap.org/soap/envelope/" ns143:space="preserve"> (enrichGO, ont =</w:t>
      </w:r>
      <w:r>
        <w:rPr>
          <w:rFonts w:ascii="Times New Roman" w:hAnsi="Times New Roman"/>
          <w:b w:val="0"/>
          <w:color w:val="000000"/>
          <w:sz w:val="22"/>
        </w:rPr>
        <w:t xml:space="preserve"> </w:t>
      </w:r>
      <w:r>
        <w:rPr>
          <w:rFonts w:ascii="Times New Roman" w:hAnsi="Times New Roman"/>
          <w:b w:val="0"/>
          <w:color w:val="000000"/>
          <w:sz w:val="22"/>
        </w:rPr>
        <w:t xml:space="preserve">“BP”</w:t>
      </w:r>
      <w:r>
        <w:rPr>
          <w:rFonts w:ascii="Times New Roman" w:hAnsi="Times New Roman"/>
          <w:b w:val="0"/>
          <w:color w:val="000000"/>
          <w:sz w:val="22"/>
        </w:rPr>
        <w:t xml:space="preserve">, pAdjustMethod =</w:t>
      </w:r>
      <w:r>
        <w:rPr>
          <w:rFonts w:ascii="Times New Roman" w:hAnsi="Times New Roman"/>
          <w:b w:val="0"/>
          <w:color w:val="000000"/>
          <w:sz w:val="22"/>
        </w:rPr>
        <w:t xml:space="preserve"> </w:t>
      </w:r>
      <w:r>
        <w:rPr>
          <w:rFonts w:ascii="Times New Roman" w:hAnsi="Times New Roman"/>
          <w:b w:val="0"/>
          <w:color w:val="000000"/>
          <w:sz w:val="22"/>
        </w:rPr>
        <w:t xml:space="preserve">“BH”</w:t>
      </w:r>
      <w:r>
        <w:rPr>
          <w:rFonts w:ascii="Times New Roman" w:hAnsi="Times New Roman"/>
          <w:b w:val="0"/>
          <w:color w:val="000000"/>
          <w:sz w:val="22"/>
        </w:rPr>
        <w:t xml:space="preserve">, qvalueCutoff = 0.1). A module-level translation enrichment score was computed as: (number of significantly enriched GO terms matching translation-related keywords [</w:t>
      </w:r>
      <w:r>
        <w:rPr>
          <w:rFonts w:ascii="Times New Roman" w:hAnsi="Times New Roman"/>
          <w:b w:val="0"/>
          <w:color w:val="000000"/>
          <w:sz w:val="22"/>
        </w:rPr>
        <w:t xml:space="preserve">“translation|ribosom|peptide|ribonucleoprotein|rRNA|translational”</w:t>
      </w:r>
      <w:r>
        <w:rPr>
          <w:rFonts w:ascii="Times New Roman" w:hAnsi="Times New Roman"/>
          <w:b w:val="0"/>
          <w:color w:val="000000"/>
          <w:sz w:val="22"/>
        </w:rPr>
        <w:t xml:space="preserve">]) × (−log</w:t>
      </w:r>
      <w:r>
        <w:rPr>
          <w:rFonts w:ascii="Times New Roman" w:hAnsi="Times New Roman"/>
          <w:b w:val="0"/>
          <w:color w:val="000000"/>
          <w:sz w:val="22"/>
        </w:rPr>
        <w:t xml:space="preserve">10</w:t>
      </w:r>
      <w:r>
        <w:rPr>
          <w:rFonts w:ascii="Times New Roman" w:hAnsi="Times New Roman"/>
          <w:b w:val="0"/>
          <w:color w:val="000000"/>
          <w:sz w:val="22"/>
        </w:rPr>
        <w:t xml:space="preserve"> </w:t>
      </w:r>
      <w:r>
        <w:rPr>
          <w:rFonts w:ascii="Times New Roman" w:hAnsi="Times New Roman"/>
          <w:b w:val="0"/>
          <w:color w:val="000000"/>
          <w:sz w:val="22"/>
        </w:rPr>
        <w:t xml:space="preserve">of the best p.adjust among those terms). The module with the highest translation-enrichment score was designated the translation-related module. In this study,</w:t>
      </w:r>
      <w:r>
        <w:rPr>
          <w:rFonts w:ascii="Times New Roman" w:hAnsi="Times New Roman"/>
          <w:b w:val="0"/>
          <w:color w:val="000000"/>
          <w:sz w:val="22"/>
        </w:rPr>
        <w:t xml:space="preserve"> </w:t>
      </w:r>
      <w:r>
        <w:rPr>
          <w:rFonts w:ascii="Times New Roman" w:hAnsi="Times New Roman"/>
          <w:b w:val="0"/>
          <w:color w:val="000000"/>
          <w:sz w:val="22"/>
        </w:rPr>
        <w:t xml:space="preserve">“translation-related transcriptional programs”</w:t>
      </w:r>
      <w:r>
        <w:rPr>
          <w:rFonts w:ascii="Times New Roman" w:hAnsi="Times New Roman"/>
          <w:b w:val="0"/>
          <w:color w:val="000000"/>
          <w:sz w:val="22"/>
        </w:rPr>
        <w:t xml:space="preserve"> </w:t>
      </w:r>
      <w:r>
        <w:rPr>
          <w:rFonts w:ascii="Times New Roman" w:hAnsi="Times New Roman"/>
          <w:b w:val="0"/>
          <w:color w:val="000000"/>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was identified as the translation-related module using the same keyword-based functional annotation approach.</w:t>
      </w:r>
    </w:p>
    <w:p>
      <w:pPr>
        <w:pStyle w:val="BodyText"/>
        <w:spacing w:line="480" w:lineRule="auto"/>
      </w:pPr>
      <w:r>
        <w:rPr>
          <w:rFonts w:ascii="Times New Roman" w:hAnsi="Times New Roman"/>
          <w:b w:val="0"/>
          <w:bCs/>
          <w:color w:val="000000"/>
          <w:sz w:val="22"/>
        </w:rPr>
        <w:t xml:space="preserve">Hub gene identification.</w:t>
      </w:r>
      <w:r>
        <w:rPr>
          <w:rFonts w:ascii="Times New Roman" w:hAnsi="Times New Roman"/>
          <w:b w:val="0"/>
          <w:color w:val="000000"/>
          <w:sz w:val="22"/>
        </w:rPr>
        <w:t xml:space="preserve"> </w:t>
      </w:r>
      <w:r>
        <w:rPr>
          <w:rFonts w:ascii="Times New Roman" w:hAnsi="Times New Roman"/>
          <w:b w:val="0"/>
          <w:color w:val="000000"/>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480" w:lineRule="auto"/>
      </w:pPr>
      <w:r>
        <w:rPr>
          <w:rFonts w:ascii="Times New Roman" w:hAnsi="Times New Roman"/>
          <w:b w:val="0"/>
          <w:bCs/>
          <w:color w:val="000000"/>
          <w:sz w:val="22"/>
        </w:rPr>
        <w:t xml:space="preserve">Module internal robustness assessment.</w:t>
      </w:r>
      <w:r>
        <w:rPr>
          <w:rFonts w:ascii="Times New Roman" w:hAnsi="Times New Roman"/>
          <w:b w:val="0"/>
          <w:color w:val="000000"/>
          <w:sz w:val="22"/>
        </w:rPr>
        <w:t xml:space="preserve"> </w:t>
      </w:r>
      <w:r>
        <w:rPr>
          <w:rFonts w:ascii="Times New Roman" w:hAnsi="Times New Roman"/>
          <w:b w:val="0"/>
          <w:color w:val="000000"/>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-score and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33"/>
    <w:bookmarkStart w:id="34" w:name="ssgsea-pathway-activity-analysis"/>
    <w:p>
      <w:pPr>
        <w:pStyle w:val="Heading3"/>
        <w:spacing w:line="480" w:lineRule="auto"/>
      </w:pPr>
      <w:r>
        <w:rPr>
          <w:rFonts w:ascii="Times New Roman" w:hAnsi="Times New Roman"/>
          <w:b/>
          <w:color w:val="000000"/>
          <w:sz w:val="22"/>
        </w:rPr>
        <w:t xml:space="preserve">ssGSEA pathway activity analysis</w:t>
      </w:r>
    </w:p>
    <w:p>
      <w:pPr>
        <w:pStyle w:val="FirstParagraph"/>
        <w:spacing w:line="480" w:lineRule="auto"/>
      </w:pPr>
      <w:r>
        <w:rPr>
          <w:rFonts w:ascii="Times New Roman" w:hAnsi="Times New Roman"/>
          <w:b w:val="0"/>
          <w:color w:val="000000"/>
          <w:sz w:val="22"/>
        </w:rPr>
        <w:t xml:space="preserve">Gene set sources: msigdbr package (v26.1.0), including all 50 Hallmark gene sets (collection =</w:t>
      </w:r>
      <w:r>
        <w:rPr>
          <w:rFonts w:ascii="Times New Roman" w:hAnsi="Times New Roman"/>
          <w:b w:val="0"/>
          <w:color w:val="000000"/>
          <w:sz w:val="22"/>
        </w:rPr>
        <w:t xml:space="preserve"> </w:t>
      </w:r>
      <w:r>
        <w:rPr>
          <w:rFonts w:ascii="Times New Roman" w:hAnsi="Times New Roman"/>
          <w:b w:val="0"/>
          <w:color w:val="000000"/>
          <w:sz w:val="22"/>
        </w:rPr>
        <w:t xml:space="preserve">“H”</w:t>
      </w:r>
      <w:r>
        <w:rPr>
          <w:rFonts w:ascii="Times New Roman" w:hAnsi="Times New Roman"/>
          <w:b w:val="0"/>
          <w:color w:val="000000"/>
          <w:sz w:val="22"/>
        </w:rPr>
        <w:t xml:space="preserve">), KEGG ribosome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“CP:KEGG_MEDICUS”</w:t>
      </w:r>
      <w:r>
        <w:rPr>
          <w:rFonts w:ascii="Times New Roman" w:hAnsi="Times New Roman"/>
          <w:b w:val="0"/>
          <w:color w:val="000000"/>
          <w:sz w:val="22"/>
        </w:rPr>
        <w:t xml:space="preserve">, 1 set), and Reactome translation-related pathways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“CP:REACTOME”</w:t>
      </w:r>
      <w:r>
        <w:rPr>
          <w:rFonts w:ascii="Times New Roman" w:hAnsi="Times New Roman"/>
          <w:b w:val="0"/>
          <w:color w:val="000000"/>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480" w:lineRule="auto"/>
      </w:pPr>
      <w:r>
        <w:rPr>
          <w:rFonts w:ascii="Times New Roman" w:hAnsi="Times New Roman"/>
          <w:b w:val="0"/>
          <w:color w:val="000000"/>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b w:val="0"/>
          <w:color w:val="000000"/>
          <w:sz w:val="22"/>
          <w:vertAlign w:val="superscript"/>
        </w:rPr>
        <w:t xmlns:ns156="http://schemas.xmlsoap.org/soap/envelope/" ns156:space="preserve">[17]</w:t>
      </w:r>
      <w:r>
        <w:rPr>
          <w:rFonts w:ascii="Times New Roman" w:hAnsi="Times New Roman"/>
          <w:b w:val="0"/>
          <w:color w:val="000000"/>
          <w:sz w:val="22"/>
        </w:rPr>
        <w:t xmlns:ns159="http://schemas.xmlsoap.org/soap/envelope/" ns159:space="preserve">, which implements the ssGSEA algorithm originally described by Barbie et al.</w:t>
      </w:r>
      <w:r>
        <w:rPr>
          <w:rFonts w:ascii="Times New Roman" w:hAnsi="Times New Roman"/>
          <w:b w:val="0"/>
          <w:color w:val="000000"/>
          <w:sz w:val="22"/>
          <w:vertAlign w:val="superscript"/>
        </w:rPr>
        <w:t xmlns:ns148="http://schemas.xmlsoap.org/soap/envelope/" ns148:space="preserve">[18]</w:t>
      </w:r>
      <w:r>
        <w:rPr>
          <w:rFonts w:ascii="Times New Roman" w:hAnsi="Times New Roman"/>
          <w:b w:val="0"/>
          <w:color w:val="000000"/>
          <w:sz w:val="22"/>
        </w:rPr>
        <w:t xmlns:ns151="http://schemas.xmlsoap.org/soap/envelope/" ns151:space="preserve"> Disease-associated effect size for each pathway was calculated as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34"/>
    <w:bookmarkStart w:id="35" w:name="X15bfed6e2e4f310076a23810346badac46b91f2"/>
    <w:p>
      <w:pPr>
        <w:pStyle w:val="Heading3"/>
        <w:spacing w:line="480" w:lineRule="auto"/>
      </w:pPr>
      <w:r>
        <w:rPr>
          <w:rFonts w:ascii="Times New Roman" w:hAnsi="Times New Roman"/>
          <w:b/>
          <w:color w:val="000000"/>
          <w:sz w:val="22"/>
        </w:rPr>
        <w:t xml:space="preserve">Translation-associated transcriptional score (TATS) and survival analysis</w:t>
      </w:r>
    </w:p>
    <w:p>
      <w:pPr>
        <w:pStyle w:val="FirstParagraph"/>
        <w:spacing w:line="480" w:lineRule="auto"/>
      </w:pPr>
      <w:r>
        <w:rPr>
          <w:rFonts w:ascii="Times New Roman" w:hAnsi="Times New Roman"/>
          <w:b w:val="0"/>
          <w:color w:val="000000"/>
          <w:sz w:val="22"/>
        </w:rPr>
        <w:t xml:space="preserve">The translation-associated transcriptional score (TATS) was defined as the mean of z-scores of VST-normalized expression values for the green module genes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b w:val="0"/>
          <w:color w:val="000000"/>
          <w:sz w:val="22"/>
        </w:rPr>
        <w:t xml:space="preserve"> </w:t>
      </w:r>
      <w:r>
        <w:rPr>
          <w:rFonts w:ascii="Times New Roman" w:hAnsi="Times New Roman"/>
          <w:b w:val="0"/>
          <w:color w:val="000000"/>
          <w:sz w:val="22"/>
        </w:rPr>
        <w:t xml:space="preserve">“os days:ch1”</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Fonts w:ascii="Times New Roman" w:hAnsi="Times New Roman"/>
          <w:b w:val="0"/>
          <w:color w:val="000000"/>
          <w:sz w:val="22"/>
        </w:rPr>
        <w:t xml:space="preserve">“os status:ch1”</w:t>
      </w:r>
      <w:r>
        <w:rPr>
          <w:rFonts w:ascii="Times New Roman" w:hAnsi="Times New Roman"/>
          <w:b w:val="0"/>
          <w:color w:val="000000"/>
          <w:sz w:val="22"/>
        </w:rPr>
        <w:t xml:space="preserve"> </w:t>
      </w:r>
      <w:r>
        <w:rPr>
          <w:rFonts w:ascii="Times New Roman" w:hAnsi="Times New Roman"/>
          <w:b w:val="0"/>
          <w:color w:val="000000"/>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35"/>
    <w:bookmarkStart w:id="36" w:name="upstream-transcription-factor-analysis"/>
    <w:p>
      <w:pPr>
        <w:pStyle w:val="Heading3"/>
        <w:spacing w:line="480" w:lineRule="auto"/>
      </w:pPr>
      <w:r>
        <w:rPr>
          <w:rFonts w:ascii="Times New Roman" w:hAnsi="Times New Roman"/>
          <w:b/>
          <w:color w:val="000000"/>
          <w:sz w:val="22"/>
        </w:rPr>
        <w:t xml:space="preserve">Upstream transcription factor analysis</w:t>
      </w:r>
    </w:p>
    <w:p>
      <w:pPr>
        <w:pStyle w:val="FirstParagraph"/>
        <w:spacing w:line="480" w:lineRule="auto"/>
      </w:pPr>
      <w:r>
        <w:rPr>
          <w:rFonts w:ascii="Times New Roman" w:hAnsi="Times New Roman"/>
          <w:b w:val="0"/>
          <w:color w:val="000000"/>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480" w:lineRule="auto"/>
      </w:pPr>
      <w:r>
        <w:rPr>
          <w:rFonts w:ascii="Times New Roman" w:hAnsi="Times New Roman"/>
          <w:b w:val="0"/>
          <w:color w:val="000000"/>
          <w:sz w:val="22"/>
        </w:rPr>
        <w:t xml:space="preserve">Spearman correlation coefficients were computed between VST-normalized expression values of each TF and TATS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Benjamini–Hochberg (BH) false discovery rate (FDR) correction was applied across all 19 tests.</w:t>
      </w:r>
    </w:p>
    <w:bookmarkEnd w:id="36"/>
    <w:bookmarkStart w:id="37" w:name="direction-consistency-testing"/>
    <w:p>
      <w:pPr>
        <w:pStyle w:val="Heading3"/>
        <w:spacing w:line="480" w:lineRule="auto"/>
      </w:pPr>
      <w:r>
        <w:rPr>
          <w:rFonts w:ascii="Times New Roman" w:hAnsi="Times New Roman"/>
          <w:b/>
          <w:color w:val="000000"/>
          <w:sz w:val="22"/>
        </w:rPr>
        <w:t xml:space="preserve">Direction consistency testing</w:t>
      </w:r>
    </w:p>
    <w:p>
      <w:pPr>
        <w:pStyle w:val="FirstParagraph"/>
        <w:spacing w:line="480" w:lineRule="auto"/>
      </w:pP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fold-change (log</w:t>
      </w:r>
      <w:r>
        <w:rPr>
          <w:rFonts w:ascii="Times New Roman" w:hAnsi="Times New Roman"/>
          <w:b w:val="0"/>
          <w:color w:val="000000"/>
          <w:sz w:val="22"/>
        </w:rPr>
        <w:t xml:space="preserve">2</w:t>
      </w:r>
      <w:r>
        <w:rPr>
          <w:rFonts w:ascii="Times New Roman" w:hAnsi="Times New Roman"/>
          <w:b w:val="0"/>
          <w:color w:val="000000"/>
          <w:sz w:val="22"/>
        </w:rPr>
        <w:t xml:space="preserve">FC) values for translation-related module genes were obtained from TCGA-LIHC (tumor vs. normal, DESeq2) and GSE57338 (HF vs. non-failing, limma). Spearman correlation of cross-disease log</w:t>
      </w:r>
      <w:r>
        <w:rPr>
          <w:rFonts w:ascii="Times New Roman" w:hAnsi="Times New Roman"/>
          <w:b w:val="0"/>
          <w:color w:val="000000"/>
          <w:sz w:val="22"/>
        </w:rPr>
        <w:t xml:space="preserve">2</w:t>
      </w:r>
      <w:r>
        <w:rPr>
          <w:rFonts w:ascii="Times New Roman" w:hAnsi="Times New Roman"/>
          <w:b w:val="0"/>
          <w:color w:val="000000"/>
          <w:sz w:val="22"/>
        </w:rPr>
        <w:t xml:space="preserve">FC was used to assess directional consistency. Significance was evaluated by a 10,000-iteration permutation test (random seed = 42): the HCC-side log</w:t>
      </w:r>
      <w:r>
        <w:rPr>
          <w:rFonts w:ascii="Times New Roman" w:hAnsi="Times New Roman"/>
          <w:b w:val="0"/>
          <w:color w:val="000000"/>
          <w:sz w:val="22"/>
        </w:rPr>
        <w:t xml:space="preserve">2</w:t>
      </w:r>
      <w:r>
        <w:rPr>
          <w:rFonts w:ascii="Times New Roman" w:hAnsi="Times New Roman"/>
          <w:b w:val="0"/>
          <w:color w:val="000000"/>
          <w:sz w:val="22"/>
        </w:rPr>
        <w:t xml:space="preserve">FC vector was randomly shuffled in each iteration, and the one-sided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was computed as the proportion of permuted Spearman ρ values exceeding the observed ρ.</w:t>
      </w:r>
    </w:p>
    <w:bookmarkEnd w:id="37"/>
    <w:bookmarkStart w:id="38" w:name="large-language-model-usage"/>
    <w:p>
      <w:pPr>
        <w:pStyle w:val="Heading3"/>
        <w:spacing w:line="480" w:lineRule="auto"/>
      </w:pPr>
      <w:r>
        <w:rPr>
          <w:rFonts w:ascii="Times New Roman" w:hAnsi="Times New Roman"/>
          <w:b/>
          <w:color w:val="000000"/>
          <w:sz w:val="22"/>
        </w:rPr>
        <w:t xml:space="preserve">Large language model usage</w:t>
      </w:r>
    </w:p>
    <w:p>
      <w:pPr>
        <w:pStyle w:val="FirstParagraph"/>
        <w:spacing w:line="480" w:lineRule="auto"/>
      </w:pPr>
      <w:r>
        <w:rPr>
          <w:rFonts w:ascii="Times New Roman" w:hAnsi="Times New Roman"/>
          <w:b w:val="0"/>
          <w:color w:val="000000"/>
          <w:sz w:val="22"/>
        </w:rPr>
        <w:t xml:space="preserve">Generative AI tools (GPT-4) were used for English language editing and refinement of the manuscript text. No large language models or generative AI tools were used in the design, execution, or analysis of this study. All data analyses, statistical tests, and scientific conclusions were performed and verified by the authors, who assume full responsibility for the content of this manuscript.</w:t>
      </w:r>
    </w:p>
    <w:bookmarkEnd w:id="38"/>
    <w:bookmarkStart w:id="39" w:name="statistical-analysis"/>
    <w:p>
      <w:pPr>
        <w:pStyle w:val="Heading3"/>
        <w:spacing w:line="480" w:lineRule="auto"/>
      </w:pPr>
      <w:r>
        <w:rPr>
          <w:rFonts w:ascii="Times New Roman" w:hAnsi="Times New Roman"/>
          <w:b/>
          <w:color w:val="000000"/>
          <w:sz w:val="22"/>
        </w:rPr>
        <w:t xml:space="preserve">Statistical analysis</w:t>
      </w:r>
    </w:p>
    <w:p>
      <w:pPr>
        <w:pStyle w:val="FirstParagraph"/>
        <w:spacing w:line="480" w:lineRule="auto"/>
      </w:pPr>
      <w:r>
        <w:rPr>
          <w:rFonts w:ascii="Times New Roman" w:hAnsi="Times New Roman"/>
          <w:b w:val="0"/>
          <w:color w:val="000000"/>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39"/>
    <w:bookmarkStart w:id="40" w:name="Xc732e56844d6638cb1df5ac23b57142ab1c1c29"/>
    <w:p>
      <w:pPr>
        <w:pStyle w:val="Heading3"/>
        <w:spacing w:line="480" w:lineRule="auto"/>
      </w:pPr>
      <w:r>
        <w:rPr>
          <w:rFonts w:ascii="Times New Roman" w:hAnsi="Times New Roman"/>
          <w:b/>
          <w:color w:val="000000"/>
          <w:sz w:val="22"/>
        </w:rPr>
        <w:t xml:space="preserve">Robustness assessment across independent heart failure cohorts</w:t>
      </w:r>
    </w:p>
    <w:p>
      <w:pPr>
        <w:pStyle w:val="FirstParagraph"/>
        <w:spacing w:line="480" w:lineRule="auto"/>
      </w:pPr>
      <w:r>
        <w:rPr>
          <w:rFonts w:ascii="Times New Roman" w:hAnsi="Times New Roman"/>
          <w:b w:val="0"/>
          <w:color w:val="000000"/>
          <w:sz w:val="22"/>
        </w:rPr>
        <w:t xml:space="preserve">To assess the cross-cohort robustness of the mirror perturbation, an independent HF cohort (GSE116250;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14 non-failing donors, 37 dilated cardiomyopathy, 13 ischemic cardiomyopathy) was analyzed using the identical ssGSEA pipeline. RNA-seq RPKM values were log</w:t>
      </w:r>
      <w:r>
        <w:rPr>
          <w:rFonts w:ascii="Times New Roman" w:hAnsi="Times New Roman"/>
          <w:b w:val="0"/>
          <w:color w:val="000000"/>
          <w:sz w:val="22"/>
        </w:rPr>
        <w:t xml:space="preserve">2</w:t>
      </w:r>
      <w:r>
        <w:rPr>
          <w:rFonts w:ascii="Times New Roman" w:hAnsi="Times New Roman"/>
          <w:b w:val="0"/>
          <w:color w:val="000000"/>
          <w:sz w:val="22"/>
        </w:rPr>
        <w:t xml:space="preserve">-transformed, and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40"/>
    <w:bookmarkStart w:id="41" w:name="same-organ-disease-controls"/>
    <w:p>
      <w:pPr>
        <w:pStyle w:val="Heading3"/>
        <w:spacing w:line="480" w:lineRule="auto"/>
      </w:pPr>
      <w:r>
        <w:rPr>
          <w:rFonts w:ascii="Times New Roman" w:hAnsi="Times New Roman"/>
          <w:b/>
          <w:color w:val="000000"/>
          <w:sz w:val="22"/>
        </w:rPr>
        <w:t xml:space="preserve">Same-organ disease controls</w:t>
      </w:r>
    </w:p>
    <w:p>
      <w:pPr>
        <w:pStyle w:val="FirstParagraph"/>
        <w:spacing w:line="480" w:lineRule="auto"/>
      </w:pPr>
      <w:r>
        <w:rPr>
          <w:rFonts w:ascii="Times New Roman" w:hAnsi="Times New Roman"/>
          <w:b w:val="0"/>
          <w:color w:val="000000"/>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28 HCM,</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166 NF), as a cardiac disease comparison; and (ii) cirrhosis vs. normal liver (GSE89377;</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12 cirrhosis,</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41"/>
    <w:bookmarkEnd w:id="42"/>
    <w:bookmarkStart w:id="43" w:name="references"/>
    <w:p>
      <w:pPr>
        <w:pStyle w:val="Heading2"/>
        <w:spacing w:line="480" w:lineRule="auto"/>
      </w:pPr>
      <w:r>
        <w:rPr>
          <w:rFonts w:ascii="Times New Roman" w:hAnsi="Times New Roman"/>
          <w:b/>
          <w:color w:val="000000"/>
          <w:sz w:val="22"/>
        </w:rPr>
        <w:t xml:space="preserve">References</w:t>
      </w:r>
    </w:p>
    <w:p>
      <w:pPr>
        <w:numPr>
          <w:ilvl w:val="0"/>
          <w:numId w:val="1001"/>
        </w:numPr>
        <w:spacing w:line="480" w:lineRule="auto"/>
      </w:pPr>
      <w:r>
        <w:rPr>
          <w:rFonts w:ascii="Times New Roman" w:hAnsi="Times New Roman"/>
          <w:b w:val="0"/>
          <w:color w:val="000000"/>
          <w:sz w:val="22"/>
        </w:rPr>
        <w:t xml:space="preserve">Mericskay, M., Zuurbier, C. J., Lopaschuk, G. D. &amp; Taegtmeyer, H. Cardiac intermediary metabolism in heart failure: substrate use, signalling roles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22</w:t>
      </w:r>
      <w:r>
        <w:rPr>
          <w:rFonts w:ascii="Times New Roman" w:hAnsi="Times New Roman"/>
          <w:b w:val="0"/>
          <w:color w:val="000000"/>
          <w:sz w:val="22"/>
        </w:rPr>
        <w:t xml:space="preserve">, 704–727 (2025).</w:t>
      </w:r>
    </w:p>
    <w:p>
      <w:pPr>
        <w:numPr>
          <w:ilvl w:val="0"/>
          <w:numId w:val="1001"/>
        </w:numPr>
        <w:spacing w:line="480" w:lineRule="auto"/>
      </w:pPr>
      <w:r>
        <w:rPr>
          <w:rFonts w:ascii="Times New Roman" w:hAnsi="Times New Roman"/>
          <w:b w:val="0"/>
          <w:color w:val="000000"/>
          <w:sz w:val="22"/>
        </w:rPr>
        <w:t xml:space="preserve">Abdellatif, M., Rainer, P. P., Sedej, S. &amp; Kroemer, G. Hallmarks of cardiovascular ageing.</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754–777 (2023).</w:t>
      </w:r>
    </w:p>
    <w:p>
      <w:pPr>
        <w:numPr>
          <w:ilvl w:val="0"/>
          <w:numId w:val="1001"/>
        </w:numPr>
        <w:spacing w:line="480" w:lineRule="auto"/>
      </w:pPr>
      <w:r>
        <w:rPr>
          <w:rFonts w:ascii="Times New Roman" w:hAnsi="Times New Roman"/>
          <w:b w:val="0"/>
          <w:color w:val="000000"/>
          <w:sz w:val="22"/>
        </w:rPr>
        <w:t xml:space="preserve">Lu, X., Paliogiannis, P., Calvisi, D. F. &amp; Chen, X. Role of the mammalian target of rapamycin pathway in liver cancer: from molecular genetics to targeted therapies.</w:t>
      </w:r>
      <w:r>
        <w:rPr>
          <w:rFonts w:ascii="Times New Roman" w:hAnsi="Times New Roman"/>
          <w:b w:val="0"/>
          <w:color w:val="000000"/>
          <w:sz w:val="22"/>
        </w:rPr>
        <w:t xml:space="preserve"> </w:t>
      </w:r>
      <w:r>
        <w:rPr>
          <w:rFonts w:ascii="Times New Roman" w:hAnsi="Times New Roman"/>
          <w:b w:val="0"/>
          <w:i/>
          <w:iCs/>
          <w:color w:val="000000"/>
          <w:sz w:val="22"/>
        </w:rPr>
        <w:t xml:space="preserve">Hepatology</w:t>
      </w:r>
      <w:r>
        <w:rPr>
          <w:rFonts w:ascii="Times New Roman" w:hAnsi="Times New Roman"/>
          <w:b w:val="0"/>
          <w:color w:val="000000"/>
          <w:sz w:val="22"/>
        </w:rPr>
        <w:t xml:space="preserve"> </w:t>
      </w:r>
      <w:r>
        <w:rPr>
          <w:rFonts w:ascii="Times New Roman" w:hAnsi="Times New Roman"/>
          <w:b w:val="0"/>
          <w:bCs/>
          <w:color w:val="000000"/>
          <w:sz w:val="22"/>
        </w:rPr>
        <w:t xml:space="preserve">73</w:t>
      </w:r>
      <w:r>
        <w:rPr>
          <w:rFonts w:ascii="Times New Roman" w:hAnsi="Times New Roman"/>
          <w:b w:val="0"/>
          <w:color w:val="000000"/>
          <w:sz w:val="22"/>
        </w:rPr>
        <w:t xml:space="preserve">, 49–61 (2021).</w:t>
      </w:r>
    </w:p>
    <w:p>
      <w:pPr>
        <w:numPr>
          <w:ilvl w:val="0"/>
          <w:numId w:val="1001"/>
        </w:numPr>
        <w:spacing w:line="480" w:lineRule="auto"/>
      </w:pPr>
      <w:r>
        <w:rPr>
          <w:rFonts w:ascii="Times New Roman" w:hAnsi="Times New Roman"/>
          <w:b w:val="0"/>
          <w:color w:val="000000"/>
          <w:sz w:val="22"/>
        </w:rPr>
        <w:t xml:space="preserve">Llovet, J. M. et al. Molecular pathogenesis and systemic therapies for hepatocellular carcinoma.</w:t>
      </w:r>
      <w:r>
        <w:rPr>
          <w:rFonts w:ascii="Times New Roman" w:hAnsi="Times New Roman"/>
          <w:b w:val="0"/>
          <w:color w:val="000000"/>
          <w:sz w:val="22"/>
        </w:rPr>
        <w:t xml:space="preserve"> </w:t>
      </w:r>
      <w:r>
        <w:rPr>
          <w:rFonts w:ascii="Times New Roman" w:hAnsi="Times New Roman"/>
          <w:b w:val="0"/>
          <w:i/>
          <w:iCs/>
          <w:color w:val="000000"/>
          <w:sz w:val="22"/>
        </w:rPr>
        <w:t xml:space="preserve">Nat. Cancer</w:t>
      </w:r>
      <w:r>
        <w:rPr>
          <w:rFonts w:ascii="Times New Roman" w:hAnsi="Times New Roman"/>
          <w:b w:val="0"/>
          <w:color w:val="000000"/>
          <w:sz w:val="22"/>
        </w:rPr>
        <w:t xml:space="preserve"> </w:t>
      </w:r>
      <w:r>
        <w:rPr>
          <w:rFonts w:ascii="Times New Roman" w:hAnsi="Times New Roman"/>
          <w:b w:val="0"/>
          <w:bCs/>
          <w:color w:val="000000"/>
          <w:sz w:val="22"/>
        </w:rPr>
        <w:t xml:space="preserve">3</w:t>
      </w:r>
      <w:r>
        <w:rPr>
          <w:rFonts w:ascii="Times New Roman" w:hAnsi="Times New Roman"/>
          <w:b w:val="0"/>
          <w:color w:val="000000"/>
          <w:sz w:val="22"/>
        </w:rPr>
        <w:t xml:space="preserve">, 386–401 (2022).</w:t>
      </w:r>
    </w:p>
    <w:p>
      <w:pPr>
        <w:numPr>
          <w:ilvl w:val="0"/>
          <w:numId w:val="1001"/>
        </w:numPr>
        <w:spacing w:line="480" w:lineRule="auto"/>
      </w:pPr>
      <w:r>
        <w:rPr>
          <w:rFonts w:ascii="Times New Roman" w:hAnsi="Times New Roman"/>
          <w:b w:val="0"/>
          <w:color w:val="000000"/>
          <w:sz w:val="22"/>
        </w:rPr>
        <w:t xml:space="preserve">Lanzer, J. D. et al. A cross-study transcriptional patient map of heart failure defines conserved multicellular coordination in cardiac remodeling.</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3560 (2025).</w:t>
      </w:r>
    </w:p>
    <w:p>
      <w:pPr>
        <w:numPr>
          <w:ilvl w:val="0"/>
          <w:numId w:val="1001"/>
        </w:numPr>
        <w:spacing w:line="480" w:lineRule="auto"/>
      </w:pPr>
      <w:r>
        <w:rPr>
          <w:rFonts w:ascii="Times New Roman" w:hAnsi="Times New Roman"/>
          <w:b w:val="0"/>
          <w:color w:val="000000"/>
          <w:sz w:val="22"/>
        </w:rPr>
        <w:t xml:space="preserve">Xie, S., Xu, M., Deng, W. &amp; Tang, Q. Metabolic landscape in cardiac aging: insights into molecular biology and therapeutic implications.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114 (2023).</w:t>
      </w:r>
    </w:p>
    <w:p>
      <w:pPr>
        <w:numPr>
          <w:ilvl w:val="0"/>
          <w:numId w:val="1001"/>
        </w:numPr>
        <w:spacing w:line="480" w:lineRule="auto"/>
      </w:pPr>
      <w:r>
        <w:rPr>
          <w:rFonts w:ascii="Times New Roman" w:hAnsi="Times New Roman"/>
          <w:b w:val="0"/>
          <w:color w:val="000000"/>
          <w:sz w:val="22"/>
        </w:rPr>
        <w:t xml:space="preserve">Brito Querido, J., Díaz-López, I. &amp; Ramakrishnan, V. The molecular basis of translation initiation and its regulation in eukaryotes.</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25</w:t>
      </w:r>
      <w:r>
        <w:rPr>
          <w:rFonts w:ascii="Times New Roman" w:hAnsi="Times New Roman"/>
          <w:b w:val="0"/>
          <w:color w:val="000000"/>
          <w:sz w:val="22"/>
        </w:rPr>
        <w:t xml:space="preserve">, 168–186 (2024).</w:t>
      </w:r>
    </w:p>
    <w:p>
      <w:pPr>
        <w:numPr>
          <w:ilvl w:val="0"/>
          <w:numId w:val="1001"/>
        </w:numPr>
        <w:spacing w:line="480" w:lineRule="auto"/>
      </w:pPr>
      <w:r>
        <w:rPr>
          <w:rFonts w:ascii="Times New Roman" w:hAnsi="Times New Roman"/>
          <w:b w:val="0"/>
          <w:color w:val="000000"/>
          <w:sz w:val="22"/>
        </w:rPr>
        <w:t xml:space="preserve">Jiao, L. et al. Ribosome biogenesis in disease: new players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15 (2023).</w:t>
      </w:r>
    </w:p>
    <w:p>
      <w:pPr>
        <w:numPr>
          <w:ilvl w:val="0"/>
          <w:numId w:val="1001"/>
        </w:numPr>
        <w:spacing w:line="480" w:lineRule="auto"/>
      </w:pPr>
      <w:r>
        <w:rPr>
          <w:rFonts w:ascii="Times New Roman" w:hAnsi="Times New Roman"/>
          <w:b w:val="0"/>
          <w:color w:val="000000"/>
          <w:sz w:val="22"/>
        </w:rPr>
        <w:t xml:space="preserve">Jia, X. et al. Protein translation: biological processes and therapeutic strategies for human diseases.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44 (2024).</w:t>
      </w:r>
    </w:p>
    <w:p>
      <w:pPr>
        <w:numPr>
          <w:ilvl w:val="0"/>
          <w:numId w:val="1001"/>
        </w:numPr>
        <w:spacing w:line="480" w:lineRule="auto"/>
      </w:pPr>
      <w:r>
        <w:rPr>
          <w:rFonts w:ascii="Times New Roman" w:hAnsi="Times New Roman"/>
          <w:b w:val="0"/>
          <w:color w:val="000000"/>
          <w:sz w:val="22"/>
        </w:rPr>
        <w:t xml:space="preserve">Goul, C., Peruzzo, R. &amp; Zoncu, R. The molecular basis of nutrient sensing and signalling by mTORC1 in metabolism regulation and disease.</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24</w:t>
      </w:r>
      <w:r>
        <w:rPr>
          <w:rFonts w:ascii="Times New Roman" w:hAnsi="Times New Roman"/>
          <w:b w:val="0"/>
          <w:color w:val="000000"/>
          <w:sz w:val="22"/>
        </w:rPr>
        <w:t xml:space="preserve">, 857–875 (2023).</w:t>
      </w:r>
    </w:p>
    <w:p>
      <w:pPr>
        <w:numPr>
          <w:ilvl w:val="0"/>
          <w:numId w:val="1001"/>
        </w:numPr>
        <w:spacing w:line="480" w:lineRule="auto"/>
      </w:pPr>
      <w:r>
        <w:rPr>
          <w:rFonts w:ascii="Times New Roman" w:hAnsi="Times New Roman"/>
          <w:b w:val="0"/>
          <w:color w:val="000000"/>
          <w:sz w:val="22"/>
        </w:rPr>
        <w:t xml:space="preserve">Bartish, M. et al. The role of eIF4F-driven mRNA translation in regulating the tumour microenvironment.</w:t>
      </w:r>
      <w:r>
        <w:rPr>
          <w:rFonts w:ascii="Times New Roman" w:hAnsi="Times New Roman"/>
          <w:b w:val="0"/>
          <w:color w:val="000000"/>
          <w:sz w:val="22"/>
        </w:rPr>
        <w:t xml:space="preserve"> </w:t>
      </w:r>
      <w:r>
        <w:rPr>
          <w:rFonts w:ascii="Times New Roman" w:hAnsi="Times New Roman"/>
          <w:b w:val="0"/>
          <w:i/>
          <w:iCs/>
          <w:color w:val="000000"/>
          <w:sz w:val="22"/>
        </w:rPr>
        <w:t xml:space="preserve">Nat. Rev. Cancer</w:t>
      </w:r>
      <w:r>
        <w:rPr>
          <w:rFonts w:ascii="Times New Roman" w:hAnsi="Times New Roman"/>
          <w:b w:val="0"/>
          <w:color w:val="000000"/>
          <w:sz w:val="22"/>
        </w:rPr>
        <w:t xml:space="preserve"> </w:t>
      </w:r>
      <w:r>
        <w:rPr>
          <w:rFonts w:ascii="Times New Roman" w:hAnsi="Times New Roman"/>
          <w:b w:val="0"/>
          <w:bCs/>
          <w:color w:val="000000"/>
          <w:sz w:val="22"/>
        </w:rPr>
        <w:t xml:space="preserve">23</w:t>
      </w:r>
      <w:r>
        <w:rPr>
          <w:rFonts w:ascii="Times New Roman" w:hAnsi="Times New Roman"/>
          <w:b w:val="0"/>
          <w:color w:val="000000"/>
          <w:sz w:val="22"/>
        </w:rPr>
        <w:t xml:space="preserve">, 408–425 (2023).</w:t>
      </w:r>
    </w:p>
    <w:p>
      <w:pPr>
        <w:numPr>
          <w:ilvl w:val="0"/>
          <w:numId w:val="1001"/>
        </w:numPr>
        <w:spacing w:line="480" w:lineRule="auto"/>
      </w:pPr>
      <w:r>
        <w:rPr>
          <w:rFonts w:ascii="Times New Roman" w:hAnsi="Times New Roman"/>
          <w:b w:val="0"/>
          <w:color w:val="000000"/>
          <w:sz w:val="22"/>
        </w:rPr>
        <w:t xml:space="preserve">Jakobsen, S. T. &amp; Siersbæk, R. Transcriptional regulation by MYC: an emerging new model.</w:t>
      </w:r>
      <w:r>
        <w:rPr>
          <w:rFonts w:ascii="Times New Roman" w:hAnsi="Times New Roman"/>
          <w:b w:val="0"/>
          <w:color w:val="000000"/>
          <w:sz w:val="22"/>
        </w:rPr>
        <w:t xml:space="preserve"> </w:t>
      </w:r>
      <w:r>
        <w:rPr>
          <w:rFonts w:ascii="Times New Roman" w:hAnsi="Times New Roman"/>
          <w:b w:val="0"/>
          <w:i/>
          <w:iCs/>
          <w:color w:val="000000"/>
          <w:sz w:val="22"/>
        </w:rPr>
        <w:t xml:space="preserve">Oncogene</w:t>
      </w:r>
      <w:r>
        <w:rPr>
          <w:rFonts w:ascii="Times New Roman" w:hAnsi="Times New Roman"/>
          <w:b w:val="0"/>
          <w:color w:val="000000"/>
          <w:sz w:val="22"/>
        </w:rPr>
        <w:t xml:space="preserve"> </w:t>
      </w:r>
      <w:r>
        <w:rPr>
          <w:rFonts w:ascii="Times New Roman" w:hAnsi="Times New Roman"/>
          <w:b w:val="0"/>
          <w:bCs/>
          <w:color w:val="000000"/>
          <w:sz w:val="22"/>
        </w:rPr>
        <w:t xml:space="preserve">44</w:t>
      </w:r>
      <w:r>
        <w:rPr>
          <w:rFonts w:ascii="Times New Roman" w:hAnsi="Times New Roman"/>
          <w:b w:val="0"/>
          <w:color w:val="000000"/>
          <w:sz w:val="22"/>
        </w:rPr>
        <w:t xml:space="preserve">, 1–7 (2025).</w:t>
      </w:r>
    </w:p>
    <w:p>
      <w:pPr>
        <w:numPr>
          <w:ilvl w:val="0"/>
          <w:numId w:val="1001"/>
        </w:numPr>
        <w:spacing w:line="480" w:lineRule="auto"/>
      </w:pPr>
      <w:r>
        <w:rPr>
          <w:rFonts w:ascii="Times New Roman" w:hAnsi="Times New Roman"/>
          <w:b w:val="0"/>
          <w:color w:val="000000"/>
          <w:sz w:val="22"/>
        </w:rPr>
        <w:t xml:space="preserve">Love, M. I., Huber, W. &amp; Anders, S. Moderated estimation of fold change and dispersion for RNA-seq data with DESeq2.</w:t>
      </w:r>
      <w:r>
        <w:rPr>
          <w:rFonts w:ascii="Times New Roman" w:hAnsi="Times New Roman"/>
          <w:b w:val="0"/>
          <w:color w:val="000000"/>
          <w:sz w:val="22"/>
        </w:rPr>
        <w:t xml:space="preserve"> </w:t>
      </w:r>
      <w:r>
        <w:rPr>
          <w:rFonts w:ascii="Times New Roman" w:hAnsi="Times New Roman"/>
          <w:b w:val="0"/>
          <w:i/>
          <w:iCs/>
          <w:color w:val="000000"/>
          <w:sz w:val="22"/>
        </w:rPr>
        <w:t xml:space="preserve">Genome Biol.</w:t>
      </w:r>
      <w:r>
        <w:rPr>
          <w:rFonts w:ascii="Times New Roman" w:hAnsi="Times New Roman"/>
          <w:b w:val="0"/>
          <w:color w:val="000000"/>
          <w:sz w:val="22"/>
        </w:rPr>
        <w:t xml:space="preserve"> </w:t>
      </w:r>
      <w:r>
        <w:rPr>
          <w:rFonts w:ascii="Times New Roman" w:hAnsi="Times New Roman"/>
          <w:b w:val="0"/>
          <w:bCs/>
          <w:color w:val="000000"/>
          <w:sz w:val="22"/>
        </w:rPr>
        <w:t xml:space="preserve">15</w:t>
      </w:r>
      <w:r>
        <w:rPr>
          <w:rFonts w:ascii="Times New Roman" w:hAnsi="Times New Roman"/>
          <w:b w:val="0"/>
          <w:color w:val="000000"/>
          <w:sz w:val="22"/>
        </w:rPr>
        <w:t xml:space="preserve">, 550 (2014).</w:t>
      </w:r>
    </w:p>
    <w:p>
      <w:pPr>
        <w:numPr>
          <w:ilvl w:val="0"/>
          <w:numId w:val="1001"/>
        </w:numPr>
        <w:spacing w:line="480" w:lineRule="auto"/>
      </w:pPr>
      <w:r>
        <w:rPr>
          <w:rFonts w:ascii="Times New Roman" w:hAnsi="Times New Roman"/>
          <w:b w:val="0"/>
          <w:color w:val="000000"/>
          <w:sz w:val="22"/>
        </w:rPr>
        <w:t xml:space="preserve">Zhang, B. &amp; Horvath, S. A general framework for weighted gene co-expression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Stat. Appl. Genet. Mol. Biol.</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Article 17 (2005).</w:t>
      </w:r>
    </w:p>
    <w:p>
      <w:pPr>
        <w:numPr>
          <w:ilvl w:val="0"/>
          <w:numId w:val="1001"/>
        </w:numPr>
        <w:spacing w:line="480" w:lineRule="auto"/>
      </w:pPr>
      <w:r>
        <w:rPr>
          <w:rFonts w:ascii="Times New Roman" w:hAnsi="Times New Roman"/>
          <w:b w:val="0"/>
          <w:color w:val="000000"/>
          <w:sz w:val="22"/>
        </w:rPr>
        <w:t xml:space="preserve">Langfelder, P. &amp; Horvath, S. WGCNA: an R package for weighted correlation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559 (2008).</w:t>
      </w:r>
    </w:p>
    <w:p>
      <w:pPr>
        <w:numPr>
          <w:ilvl w:val="0"/>
          <w:numId w:val="1001"/>
        </w:numPr>
        <w:spacing w:line="480" w:lineRule="auto"/>
      </w:pPr>
      <w:r>
        <w:rPr>
          <w:rFonts w:ascii="Times New Roman" w:hAnsi="Times New Roman"/>
          <w:b w:val="0"/>
          <w:color w:val="000000"/>
          <w:sz w:val="22"/>
        </w:rPr>
        <w:t xml:space="preserve">Wu, T. et al. clusterProfiler 4.0: a universal enrichment tool for interpreting omics data.</w:t>
      </w:r>
      <w:r>
        <w:rPr>
          <w:rFonts w:ascii="Times New Roman" w:hAnsi="Times New Roman"/>
          <w:b w:val="0"/>
          <w:color w:val="000000"/>
          <w:sz w:val="22"/>
        </w:rPr>
        <w:t xml:space="preserve"> </w:t>
      </w:r>
      <w:r>
        <w:rPr>
          <w:rFonts w:ascii="Times New Roman" w:hAnsi="Times New Roman"/>
          <w:b w:val="0"/>
          <w:i/>
          <w:iCs/>
          <w:color w:val="000000"/>
          <w:sz w:val="22"/>
        </w:rPr>
        <w:t xml:space="preserve">Innovation</w:t>
      </w:r>
      <w:r>
        <w:rPr>
          <w:rFonts w:ascii="Times New Roman" w:hAnsi="Times New Roman"/>
          <w:b w:val="0"/>
          <w:color w:val="000000"/>
          <w:sz w:val="22"/>
        </w:rPr>
        <w:t xml:space="preserve"> </w:t>
      </w:r>
      <w:r>
        <w:rPr>
          <w:rFonts w:ascii="Times New Roman" w:hAnsi="Times New Roman"/>
          <w:b w:val="0"/>
          <w:bCs/>
          <w:color w:val="000000"/>
          <w:sz w:val="22"/>
        </w:rPr>
        <w:t xml:space="preserve">2</w:t>
      </w:r>
      <w:r>
        <w:rPr>
          <w:rFonts w:ascii="Times New Roman" w:hAnsi="Times New Roman"/>
          <w:b w:val="0"/>
          <w:color w:val="000000"/>
          <w:sz w:val="22"/>
        </w:rPr>
        <w:t xml:space="preserve">, 100141 (2021).</w:t>
      </w:r>
    </w:p>
    <w:p>
      <w:pPr>
        <w:numPr>
          <w:ilvl w:val="0"/>
          <w:numId w:val="1001"/>
        </w:numPr>
        <w:spacing w:line="480" w:lineRule="auto"/>
      </w:pPr>
      <w:r>
        <w:rPr>
          <w:rFonts w:ascii="Times New Roman" w:hAnsi="Times New Roman"/>
          <w:b w:val="0"/>
          <w:color w:val="000000"/>
          <w:sz w:val="22"/>
        </w:rPr>
        <w:t xml:space="preserve">Hänzelmann, S., Castelo, R. &amp; Guinney, J. GSVA: gene set variation analysis for microarray and RNA-seq data.</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7 (2013).</w:t>
      </w:r>
    </w:p>
    <w:p>
      <w:pPr>
        <w:numPr>
          <w:ilvl w:val="0"/>
          <w:numId w:val="1001"/>
        </w:numPr>
        <w:spacing w:line="480" w:lineRule="auto"/>
      </w:pPr>
      <w:r>
        <w:rPr>
          <w:rFonts w:ascii="Times New Roman" w:hAnsi="Times New Roman"/>
          <w:b w:val="0"/>
          <w:color w:val="000000"/>
          <w:sz w:val="22"/>
        </w:rPr>
        <w:t xml:space="preserve">Barbie, D. A. et al. Systematic RNA interference reveals that oncogenic KRAS-driven cancers require TBK1.</w:t>
      </w:r>
      <w:r>
        <w:rPr>
          <w:rFonts w:ascii="Times New Roman" w:hAnsi="Times New Roman"/>
          <w:b w:val="0"/>
          <w:color w:val="000000"/>
          <w:sz w:val="22"/>
        </w:rPr>
        <w:t xml:space="preserve"> </w:t>
      </w:r>
      <w:r>
        <w:rPr>
          <w:rFonts w:ascii="Times New Roman" w:hAnsi="Times New Roman"/>
          <w:b w:val="0"/>
          <w:i/>
          <w:iCs/>
          <w:color w:val="000000"/>
          <w:sz w:val="22"/>
        </w:rPr>
        <w:t xml:space="preserve">Nature</w:t>
      </w:r>
      <w:r>
        <w:rPr>
          <w:rFonts w:ascii="Times New Roman" w:hAnsi="Times New Roman"/>
          <w:b w:val="0"/>
          <w:color w:val="000000"/>
          <w:sz w:val="22"/>
        </w:rPr>
        <w:t xml:space="preserve"> </w:t>
      </w:r>
      <w:r>
        <w:rPr>
          <w:rFonts w:ascii="Times New Roman" w:hAnsi="Times New Roman"/>
          <w:b w:val="0"/>
          <w:bCs/>
          <w:color w:val="000000"/>
          <w:sz w:val="22"/>
        </w:rPr>
        <w:t xml:space="preserve">462</w:t>
      </w:r>
      <w:r>
        <w:rPr>
          <w:rFonts w:ascii="Times New Roman" w:hAnsi="Times New Roman"/>
          <w:b w:val="0"/>
          <w:color w:val="000000"/>
          <w:sz w:val="22"/>
        </w:rPr>
        <w:t xml:space="preserve">, 108–112 (2009).</w:t>
      </w:r>
    </w:p>
    <w:p>
      <w:pPr>
        <w:numPr>
          <w:ilvl w:val="0"/>
          <w:numId w:val="1001"/>
        </w:numPr>
        <w:spacing w:line="480" w:lineRule="auto"/>
      </w:pPr>
      <w:r>
        <w:rPr>
          <w:rFonts w:ascii="Times New Roman" w:hAnsi="Times New Roman"/>
          <w:b w:val="0"/>
          <w:color w:val="000000"/>
          <w:sz w:val="22"/>
        </w:rPr>
        <w:t xml:space="preserve">Ritterhoff, J. &amp; Tian, R. Metabolic mechanisms in physiological and pathological cardiac hypertrophy: new paradigms and challenges.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739–753 (2023).</w:t>
      </w:r>
    </w:p>
    <w:p>
      <w:pPr>
        <w:numPr>
          <w:ilvl w:val="0"/>
          <w:numId w:val="1001"/>
        </w:numPr>
        <w:spacing w:line="480" w:lineRule="auto"/>
      </w:pPr>
      <w:r>
        <w:rPr>
          <w:rFonts w:ascii="Times New Roman" w:hAnsi="Times New Roman"/>
          <w:b w:val="0"/>
          <w:color w:val="000000"/>
          <w:sz w:val="22"/>
        </w:rPr>
        <w:t xml:space="preserve">Costa-Mattioli, M. &amp; Walter, P. The integrated stress response: from mechanism to disease.</w:t>
      </w:r>
      <w:r>
        <w:rPr>
          <w:rFonts w:ascii="Times New Roman" w:hAnsi="Times New Roman"/>
          <w:b w:val="0"/>
          <w:color w:val="000000"/>
          <w:sz w:val="22"/>
        </w:rPr>
        <w:t xml:space="preserve"> </w:t>
      </w:r>
      <w:r>
        <w:rPr>
          <w:rFonts w:ascii="Times New Roman" w:hAnsi="Times New Roman"/>
          <w:b w:val="0"/>
          <w:i/>
          <w:iCs/>
          <w:color w:val="000000"/>
          <w:sz w:val="22"/>
        </w:rPr>
        <w:t xml:space="preserve">Science</w:t>
      </w:r>
      <w:r>
        <w:rPr>
          <w:rFonts w:ascii="Times New Roman" w:hAnsi="Times New Roman"/>
          <w:b w:val="0"/>
          <w:color w:val="000000"/>
          <w:sz w:val="22"/>
        </w:rPr>
        <w:t xml:space="preserve"> </w:t>
      </w:r>
      <w:r>
        <w:rPr>
          <w:rFonts w:ascii="Times New Roman" w:hAnsi="Times New Roman"/>
          <w:b w:val="0"/>
          <w:bCs/>
          <w:color w:val="000000"/>
          <w:sz w:val="22"/>
        </w:rPr>
        <w:t xml:space="preserve">368</w:t>
      </w:r>
      <w:r>
        <w:rPr>
          <w:rFonts w:ascii="Times New Roman" w:hAnsi="Times New Roman"/>
          <w:b w:val="0"/>
          <w:color w:val="000000"/>
          <w:sz w:val="22"/>
        </w:rPr>
        <w:t xml:space="preserve">, eaat5314 (2020).</w:t>
      </w:r>
    </w:p>
    <w:p>
      <w:pPr>
        <w:numPr>
          <w:ilvl w:val="0"/>
          <w:numId w:val="1001"/>
        </w:numPr>
        <w:spacing w:line="480" w:lineRule="auto"/>
      </w:pPr>
      <w:r>
        <w:rPr>
          <w:rFonts w:ascii="Times New Roman" w:hAnsi="Times New Roman"/>
          <w:b w:val="0"/>
          <w:color w:val="000000"/>
          <w:sz w:val="22"/>
        </w:rPr>
        <w:t xml:space="preserve">Wek, R. C., Anthony, T. G. &amp; Staschke, K. A. Surviving and adapting to stress: translational control and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Antioxid. Redox Signal.</w:t>
      </w:r>
      <w:r>
        <w:rPr>
          <w:rFonts w:ascii="Times New Roman" w:hAnsi="Times New Roman"/>
          <w:b w:val="0"/>
          <w:color w:val="000000"/>
          <w:sz w:val="22"/>
        </w:rPr>
        <w:t xml:space="preserve"> </w:t>
      </w:r>
      <w:r>
        <w:rPr>
          <w:rFonts w:ascii="Times New Roman" w:hAnsi="Times New Roman"/>
          <w:b w:val="0"/>
          <w:bCs/>
          <w:color w:val="000000"/>
          <w:sz w:val="22"/>
        </w:rPr>
        <w:t xml:space="preserve">39</w:t>
      </w:r>
      <w:r>
        <w:rPr>
          <w:rFonts w:ascii="Times New Roman" w:hAnsi="Times New Roman"/>
          <w:b w:val="0"/>
          <w:color w:val="000000"/>
          <w:sz w:val="22"/>
        </w:rPr>
        <w:t xml:space="preserve">, 351–373 (2023).</w:t>
      </w:r>
    </w:p>
    <w:p>
      <w:pPr>
        <w:numPr>
          <w:ilvl w:val="0"/>
          <w:numId w:val="1001"/>
        </w:numPr>
        <w:spacing w:line="480" w:lineRule="auto"/>
      </w:pPr>
      <w:r>
        <w:rPr>
          <w:rFonts w:ascii="Times New Roman" w:hAnsi="Times New Roman"/>
          <w:b w:val="0"/>
          <w:color w:val="000000"/>
          <w:sz w:val="22"/>
        </w:rPr>
        <w:t xml:space="preserve">Ramalho, S., Dopler, A. &amp; Faller, W. J. Ribosome specialization in cancer: a spotlight on ribosomal proteins.</w:t>
      </w:r>
      <w:r>
        <w:rPr>
          <w:rFonts w:ascii="Times New Roman" w:hAnsi="Times New Roman"/>
          <w:b w:val="0"/>
          <w:color w:val="000000"/>
          <w:sz w:val="22"/>
        </w:rPr>
        <w:t xml:space="preserve"> </w:t>
      </w:r>
      <w:r>
        <w:rPr>
          <w:rFonts w:ascii="Times New Roman" w:hAnsi="Times New Roman"/>
          <w:b w:val="0"/>
          <w:i/>
          <w:iCs/>
          <w:color w:val="000000"/>
          <w:sz w:val="22"/>
        </w:rPr>
        <w:t xml:space="preserve">NAR Cancer</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zcae029 (2024).</w:t>
      </w:r>
    </w:p>
    <w:p>
      <w:pPr>
        <w:numPr>
          <w:ilvl w:val="0"/>
          <w:numId w:val="1001"/>
        </w:numPr>
        <w:spacing w:line="480" w:lineRule="auto"/>
      </w:pPr>
      <w:r>
        <w:rPr>
          <w:rFonts w:ascii="Times New Roman" w:hAnsi="Times New Roman"/>
          <w:b w:val="0"/>
          <w:color w:val="000000"/>
          <w:sz w:val="22"/>
        </w:rPr>
        <w:t xml:space="preserve">Lu, H. J., Koju, N. &amp; Sheng, R. Mammalian integrated stress responses in stressed organelles and their functions.</w:t>
      </w:r>
      <w:r>
        <w:rPr>
          <w:rFonts w:ascii="Times New Roman" w:hAnsi="Times New Roman"/>
          <w:b w:val="0"/>
          <w:color w:val="000000"/>
          <w:sz w:val="22"/>
        </w:rPr>
        <w:t xml:space="preserve"> </w:t>
      </w:r>
      <w:r>
        <w:rPr>
          <w:rFonts w:ascii="Times New Roman" w:hAnsi="Times New Roman"/>
          <w:b w:val="0"/>
          <w:i/>
          <w:iCs/>
          <w:color w:val="000000"/>
          <w:sz w:val="22"/>
        </w:rPr>
        <w:t xml:space="preserve">Acta Pharmacol. Sin.</w:t>
      </w:r>
      <w:r>
        <w:rPr>
          <w:rFonts w:ascii="Times New Roman" w:hAnsi="Times New Roman"/>
          <w:b w:val="0"/>
          <w:color w:val="000000"/>
          <w:sz w:val="22"/>
        </w:rPr>
        <w:t xml:space="preserve"> </w:t>
      </w:r>
      <w:r>
        <w:rPr>
          <w:rFonts w:ascii="Times New Roman" w:hAnsi="Times New Roman"/>
          <w:b w:val="0"/>
          <w:bCs/>
          <w:color w:val="000000"/>
          <w:sz w:val="22"/>
        </w:rPr>
        <w:t xml:space="preserve">45</w:t>
      </w:r>
      <w:r>
        <w:rPr>
          <w:rFonts w:ascii="Times New Roman" w:hAnsi="Times New Roman"/>
          <w:b w:val="0"/>
          <w:color w:val="000000"/>
          <w:sz w:val="22"/>
        </w:rPr>
        <w:t xml:space="preserve">, 1095–1114 (2024).</w:t>
      </w:r>
    </w:p>
    <w:p>
      <w:pPr>
        <w:numPr>
          <w:ilvl w:val="0"/>
          <w:numId w:val="1001"/>
        </w:numPr>
        <w:spacing w:line="480" w:lineRule="auto"/>
      </w:pPr>
      <w:r>
        <w:rPr>
          <w:rFonts w:ascii="Times New Roman" w:hAnsi="Times New Roman"/>
          <w:b w:val="0"/>
          <w:color w:val="000000"/>
          <w:sz w:val="22"/>
        </w:rPr>
        <w:t xml:space="preserve">Neill, G. &amp; Masson, G. R. A stay of execution: ATF4 regulation and potential outcomes for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Front. Mol. Neurosci.</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1112253 (2023).</w:t>
      </w:r>
    </w:p>
    <w:p>
      <w:pPr>
        <w:numPr>
          <w:ilvl w:val="0"/>
          <w:numId w:val="1001"/>
        </w:numPr>
        <w:spacing w:line="480" w:lineRule="auto"/>
      </w:pPr>
      <w:r>
        <w:rPr>
          <w:rFonts w:ascii="Times New Roman" w:hAnsi="Times New Roman"/>
          <w:b w:val="0"/>
          <w:color w:val="000000"/>
          <w:sz w:val="22"/>
        </w:rPr>
        <w:t xml:space="preserve">Lines, C. L., McGrath, M. J., Dorwart, T. &amp; Conn, C. S. The integrated stress response in cancer progression: a force for plasticity and resistance.</w:t>
      </w:r>
      <w:r>
        <w:rPr>
          <w:rFonts w:ascii="Times New Roman" w:hAnsi="Times New Roman"/>
          <w:b w:val="0"/>
          <w:color w:val="000000"/>
          <w:sz w:val="22"/>
        </w:rPr>
        <w:t xml:space="preserve"> </w:t>
      </w:r>
      <w:r>
        <w:rPr>
          <w:rFonts w:ascii="Times New Roman" w:hAnsi="Times New Roman"/>
          <w:b w:val="0"/>
          <w:i/>
          <w:iCs/>
          <w:color w:val="000000"/>
          <w:sz w:val="22"/>
        </w:rPr>
        <w:t xml:space="preserve">Front. Oncol.</w:t>
      </w:r>
      <w:r>
        <w:rPr>
          <w:rFonts w:ascii="Times New Roman" w:hAnsi="Times New Roman"/>
          <w:b w:val="0"/>
          <w:color w:val="000000"/>
          <w:sz w:val="22"/>
        </w:rPr>
        <w:t xml:space="preserve"> </w:t>
      </w:r>
      <w:r>
        <w:rPr>
          <w:rFonts w:ascii="Times New Roman" w:hAnsi="Times New Roman"/>
          <w:b w:val="0"/>
          <w:bCs/>
          <w:color w:val="000000"/>
          <w:sz w:val="22"/>
        </w:rPr>
        <w:t xml:space="preserve">13</w:t>
      </w:r>
      <w:r>
        <w:rPr>
          <w:rFonts w:ascii="Times New Roman" w:hAnsi="Times New Roman"/>
          <w:b w:val="0"/>
          <w:color w:val="000000"/>
          <w:sz w:val="22"/>
        </w:rPr>
        <w:t xml:space="preserve">, 1206561 (2023).</w:t>
      </w:r>
    </w:p>
    <w:p>
      <w:pPr>
        <w:numPr>
          <w:ilvl w:val="0"/>
          <w:numId w:val="1001"/>
        </w:numPr>
        <w:spacing w:line="480" w:lineRule="auto"/>
      </w:pPr>
      <w:r>
        <w:rPr>
          <w:rFonts w:ascii="Times New Roman" w:hAnsi="Times New Roman"/>
          <w:b w:val="0"/>
          <w:color w:val="000000"/>
          <w:sz w:val="22"/>
        </w:rPr>
        <w:t xml:space="preserve">Shiraishi, C. et al. RPL3L-containing ribosomes determine translation elongation dynamics required for cardiac function.</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2131 (2023).</w:t>
      </w:r>
    </w:p>
    <w:bookmarkEnd w:id="43"/>
    <w:bookmarkStart w:id="51" w:name="declarations"/>
    <w:p>
      <w:pPr>
        <w:pStyle w:val="Heading2"/>
        <w:spacing w:line="480" w:lineRule="auto"/>
      </w:pPr>
      <w:r>
        <w:rPr>
          <w:rFonts w:ascii="Times New Roman" w:hAnsi="Times New Roman"/>
          <w:b/>
          <w:color w:val="000000"/>
          <w:sz w:val="22"/>
        </w:rPr>
        <w:t xml:space="preserve">Declarations</w:t>
      </w:r>
    </w:p>
    <w:bookmarkStart w:id="44" w:name="Xd182db0490b2de20bd2b4e4cc8698599182035f"/>
    <w:p>
      <w:pPr>
        <w:pStyle w:val="Heading3"/>
        <w:spacing w:line="480" w:lineRule="auto"/>
      </w:pPr>
      <w:r>
        <w:rPr>
          <w:rFonts w:ascii="Times New Roman" w:hAnsi="Times New Roman"/>
          <w:b/>
          <w:color w:val="000000"/>
          <w:sz w:val="22"/>
        </w:rPr>
        <w:t xml:space="preserve">Ethics approval and consent to participate</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bookmarkEnd w:id="44"/>
    <w:bookmarkStart w:id="45" w:name="consent-for-publication"/>
    <w:p>
      <w:pPr>
        <w:pStyle w:val="Heading3"/>
        <w:spacing w:line="480" w:lineRule="auto"/>
      </w:pPr>
      <w:r>
        <w:rPr>
          <w:rFonts w:ascii="Times New Roman" w:hAnsi="Times New Roman"/>
          <w:b/>
          <w:color w:val="000000"/>
          <w:sz w:val="22"/>
        </w:rPr>
        <w:t xml:space="preserve">Consent for publication</w:t>
      </w:r>
    </w:p>
    <w:p>
      <w:pPr>
        <w:pStyle w:val="FirstParagraph"/>
        <w:spacing w:line="480" w:lineRule="auto"/>
      </w:pPr>
      <w:r>
        <w:rPr>
          <w:rFonts w:ascii="Times New Roman" w:hAnsi="Times New Roman"/>
          <w:b w:val="0"/>
          <w:color w:val="000000"/>
          <w:sz w:val="22"/>
        </w:rPr>
        <w:t xml:space="preserve">Not applicable.</w:t>
      </w:r>
    </w:p>
    <w:bookmarkEnd w:id="45"/>
    <w:bookmarkStart w:id="46" w:name="availability-of-data-and-materials"/>
    <w:p>
      <w:pPr>
        <w:pStyle w:val="Heading3"/>
        <w:spacing w:line="480" w:lineRule="auto"/>
      </w:pPr>
      <w:r>
        <w:rPr>
          <w:rFonts w:ascii="Times New Roman" w:hAnsi="Times New Roman"/>
          <w:b/>
          <w:color w:val="000000"/>
          <w:sz w:val="22"/>
        </w:rPr>
        <w:t xml:space="preserve">Availability of data and materials</w:t>
      </w:r>
    </w:p>
    <w:p>
      <w:pPr>
        <w:pStyle w:val="FirstParagraph"/>
        <w:spacing w:line="480" w:lineRule="auto"/>
      </w:pPr>
      <w:r>
        <w:rPr>
          <w:rFonts w:ascii="Times New Roman" w:hAnsi="Times New Roman"/>
          <w:b w:val="0"/>
          <w:color w:val="000000"/>
          <w:sz w:val="22"/>
        </w:rPr>
        <w:t xml:space="preserve">All datasets used in this study are publicly available: GSE57338, GSE141198, GSE14520, and GSE76427 from the Gene Expression Omnibus (https://www.ncbi.nlm.nih.gov/geo/); TCGA-LIHC from the GDC Data Portal (https://portal.gdc.cancer.gov/). Analysis code is publicly available at https://github.com/zxy048/translation-mirror-hf-hcc (project name: translation-mirror-hf-hcc). The repository contains the complete WGCNA, ssGSEA, TF correlation, and direction consistency analysis pipelines. Programming language: R and Python. License: MIT. An archived version will be deposited in Zenodo with a permanent DOI upon acceptance.</w:t>
      </w:r>
    </w:p>
    <w:bookmarkEnd w:id="46"/>
    <w:bookmarkStart w:id="47" w:name="competing-interests"/>
    <w:p>
      <w:pPr>
        <w:pStyle w:val="Heading3"/>
        <w:spacing w:line="480" w:lineRule="auto"/>
      </w:pPr>
      <w:r>
        <w:rPr>
          <w:rFonts w:ascii="Times New Roman" w:hAnsi="Times New Roman"/>
          <w:b/>
          <w:color w:val="000000"/>
          <w:sz w:val="22"/>
        </w:rPr>
        <w:t xml:space="preserve">Competing interests</w:t>
      </w:r>
    </w:p>
    <w:p>
      <w:pPr>
        <w:pStyle w:val="FirstParagraph"/>
        <w:spacing w:line="480" w:lineRule="auto"/>
      </w:pPr>
      <w:r>
        <w:rPr>
          <w:rFonts w:ascii="Times New Roman" w:hAnsi="Times New Roman"/>
          <w:b w:val="0"/>
          <w:color w:val="000000"/>
          <w:sz w:val="22"/>
        </w:rPr>
        <w:t xml:space="preserve">The authors declare that they have no competing interests.</w:t>
      </w:r>
    </w:p>
    <w:bookmarkEnd w:id="47"/>
    <w:bookmarkStart w:id="48" w:name="funding"/>
    <w:p>
      <w:pPr>
        <w:pStyle w:val="Heading3"/>
        <w:spacing w:line="480" w:lineRule="auto"/>
      </w:pPr>
      <w:r>
        <w:rPr>
          <w:rFonts w:ascii="Times New Roman" w:hAnsi="Times New Roman"/>
          <w:b/>
          <w:color w:val="000000"/>
          <w:sz w:val="22"/>
        </w:rPr>
        <w:t xml:space="preserve">Funding</w:t>
      </w:r>
    </w:p>
    <w:p>
      <w:pPr>
        <w:pStyle w:val="FirstParagraph"/>
        <w:spacing w:line="480" w:lineRule="auto"/>
      </w:pPr>
      <w:r>
        <w:rPr>
          <w:rFonts w:ascii="Times New Roman" w:hAnsi="Times New Roman"/>
          <w:b w:val="0"/>
          <w:color w:val="000000"/>
          <w:sz w:val="22"/>
        </w:rPr>
        <w:t xml:space="preserve">This research did not receive any specific grant from funding agencies in the public, commercial, or not-for-profit sectors.</w:t>
      </w:r>
    </w:p>
    <w:bookmarkEnd w:id="48"/>
    <w:bookmarkStart w:id="49" w:name="authors-contributions"/>
    <w:p>
      <w:pPr>
        <w:pStyle w:val="Heading3"/>
        <w:spacing w:line="480" w:lineRule="auto"/>
      </w:pPr>
      <w:r>
        <w:rPr>
          <w:rFonts w:ascii="Times New Roman" w:hAnsi="Times New Roman"/>
          <w:b/>
          <w:color w:val="000000"/>
          <w:sz w:val="22"/>
        </w:rPr>
        <w:t xml:space="preserve">Authors’ contributions</w:t>
      </w:r>
    </w:p>
    <w:p>
      <w:pPr>
        <w:pStyle w:val="FirstParagraph"/>
        <w:spacing w:line="480" w:lineRule="auto"/>
      </w:pPr>
      <w:r>
        <w:rPr>
          <w:rFonts w:ascii="Times New Roman" w:hAnsi="Times New Roman"/>
          <w:b w:val="0"/>
          <w:color w:val="000000"/>
          <w:sz w:val="22"/>
        </w:rPr>
        <w:t xml:space="preserve">Y.H.: Writing – original draft, Visualization, Software, Methodology, Investigation, Formal analysis, Data curation, Conceptualization. Y.L.: Methodology, Data curation, Formal analysis, Writing – review &amp; editing. X.L.: Data curation, Investigation, Writing – review &amp; editing. X.W.: Writing – review &amp; editing, Supervision, Conceptualization. J.W.: Writing – review &amp; editing, Supervision, Project administration, Methodology, Conceptualization. All authors have read and approved the final version of the manuscript.</w:t>
      </w:r>
    </w:p>
    <w:bookmarkEnd w:id="49"/>
    <w:bookmarkStart w:id="50" w:name="acknowledgements"/>
    <w:p>
      <w:pPr>
        <w:pStyle w:val="Heading3"/>
        <w:spacing w:line="480" w:lineRule="auto"/>
      </w:pPr>
      <w:r>
        <w:rPr>
          <w:rFonts w:ascii="Times New Roman" w:hAnsi="Times New Roman"/>
          <w:b/>
          <w:color w:val="000000"/>
          <w:sz w:val="22"/>
        </w:rPr>
        <w:t xml:space="preserve">Acknowledgements</w:t>
      </w:r>
    </w:p>
    <w:p>
      <w:pPr>
        <w:pStyle w:val="FirstParagraph"/>
        <w:spacing w:line="480" w:lineRule="auto"/>
      </w:pPr>
      <w:r>
        <w:rPr>
          <w:rFonts w:ascii="Times New Roman" w:hAnsi="Times New Roman"/>
          <w:b w:val="0"/>
          <w:color w:val="000000"/>
          <w:sz w:val="22"/>
        </w:rPr>
        <w:t xml:space="preserve">We thank all TCGA, GEO, and MSigDB database researchers and patients involved in the datasets used in this study, for their willingness to share relevant data and their contributions to medical progress.</w:t>
      </w:r>
    </w:p>
    <w:bookmarkEnd w:id="50"/>
    <w:bookmarkEnd w:id="51"/>
    <w:bookmarkStart w:id="52" w:name="additional-files"/>
    <w:p>
      <w:pPr>
        <w:pStyle w:val="Heading2"/>
        <w:spacing w:line="480" w:lineRule="auto"/>
      </w:pPr>
      <w:r>
        <w:rPr>
          <w:rFonts w:ascii="Times New Roman" w:hAnsi="Times New Roman"/>
          <w:b/>
          <w:color w:val="000000"/>
          <w:sz w:val="22"/>
        </w:rPr>
        <w:t xml:space="preserve">Additional files</w:t>
      </w:r>
    </w:p>
    <w:p>
      <w:pPr>
        <w:pStyle w:val="FirstParagraph"/>
        <w:spacing w:line="480" w:lineRule="auto"/>
      </w:pPr>
      <w:r>
        <w:rPr>
          <w:rFonts w:ascii="Times New Roman" w:hAnsi="Times New Roman"/>
          <w:b w:val="0"/>
          <w:bCs/>
          <w:color w:val="000000"/>
          <w:sz w:val="22"/>
        </w:rPr>
        <w:t xml:space="preserve">Additional file 1: Figure S1.</w:t>
      </w:r>
      <w:r>
        <w:rPr>
          <w:rFonts w:ascii="Times New Roman" w:hAnsi="Times New Roman"/>
          <w:b w:val="0"/>
          <w:color w:val="000000"/>
          <w:sz w:val="22"/>
        </w:rPr>
        <w:t xml:space="preserve"> </w:t>
      </w:r>
      <w:r>
        <w:rPr>
          <w:rFonts w:ascii="Times New Roman" w:hAnsi="Times New Roman"/>
          <w:b w:val="0"/>
          <w:color w:val="000000"/>
          <w:sz w:val="22"/>
        </w:rPr>
        <w:t xml:space="preserve">Green module hub gene identification. Module Membership vs. Gene Significance scatter plot for the HF green module (227 genes). Hub genes (red) satisfy |GS| &gt; 0.2 and |MM| &gt; 0.8 (dual criteria). (PNG)</w:t>
      </w:r>
    </w:p>
    <w:p>
      <w:pPr>
        <w:pStyle w:val="BodyText"/>
        <w:spacing w:line="480" w:lineRule="auto"/>
      </w:pPr>
      <w:r>
        <w:rPr>
          <w:rFonts w:ascii="Times New Roman" w:hAnsi="Times New Roman"/>
          <w:b w:val="0"/>
          <w:bCs/>
          <w:color w:val="000000"/>
          <w:sz w:val="22"/>
        </w:rPr>
        <w:t xml:space="preserve">Additional file 2: Figure S2.</w:t>
      </w:r>
      <w:r>
        <w:rPr>
          <w:rFonts w:ascii="Times New Roman" w:hAnsi="Times New Roman"/>
          <w:b w:val="0"/>
          <w:color w:val="000000"/>
          <w:sz w:val="22"/>
        </w:rPr>
        <w:t xml:space="preserve"> </w:t>
      </w:r>
      <w:r>
        <w:rPr>
          <w:rFonts w:ascii="Times New Roman" w:hAnsi="Times New Roman"/>
          <w:b w:val="0"/>
          <w:color w:val="000000"/>
          <w:sz w:val="22"/>
        </w:rPr>
        <w:t xml:space="preserve">TATS exploratory survival analysis by etiology subgroup. Kaplan–Meier overall survival curves for TATS (median split) in GSE141198 stratified by HBV, HCV, and NBNC etiology subgroups. (PNG)</w:t>
      </w:r>
    </w:p>
    <w:p>
      <w:pPr>
        <w:pStyle w:val="BodyText"/>
        <w:spacing w:line="480" w:lineRule="auto"/>
      </w:pPr>
      <w:r>
        <w:rPr>
          <w:rFonts w:ascii="Times New Roman" w:hAnsi="Times New Roman"/>
          <w:b w:val="0"/>
          <w:bCs/>
          <w:color w:val="000000"/>
          <w:sz w:val="22"/>
        </w:rPr>
        <w:t xml:space="preserve">Additional file 3: Figure S3.</w:t>
      </w:r>
      <w:r>
        <w:rPr>
          <w:rFonts w:ascii="Times New Roman" w:hAnsi="Times New Roman"/>
          <w:b w:val="0"/>
          <w:color w:val="000000"/>
          <w:sz w:val="22"/>
        </w:rPr>
        <w:t xml:space="preserve"> </w:t>
      </w:r>
      <w:r>
        <w:rPr>
          <w:rFonts w:ascii="Times New Roman" w:hAnsi="Times New Roman"/>
          <w:b w:val="0"/>
          <w:color w:val="000000"/>
          <w:sz w:val="22"/>
        </w:rPr>
        <w:t xml:space="preserve">Soft threshold selection for WGCNA. Scale-free topology fit index (R²) and mean connectivity as a function of soft-threshold power β.</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GSE141198 (HCC, RNA-seq, β = 4).</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GSE57338 (HF, microarray, β = 17, signed R² = 0.865). (PNG)</w:t>
      </w:r>
    </w:p>
    <w:p>
      <w:pPr>
        <w:pStyle w:val="BodyText"/>
        <w:spacing w:line="480" w:lineRule="auto"/>
      </w:pPr>
      <w:r>
        <w:rPr>
          <w:rFonts w:ascii="Times New Roman" w:hAnsi="Times New Roman"/>
          <w:b w:val="0"/>
          <w:bCs/>
          <w:color w:val="000000"/>
          <w:sz w:val="22"/>
        </w:rPr>
        <w:t xml:space="preserve">Additional file 4: Figure S4.</w:t>
      </w:r>
      <w:r>
        <w:rPr>
          <w:rFonts w:ascii="Times New Roman" w:hAnsi="Times New Roman"/>
          <w:b w:val="0"/>
          <w:color w:val="000000"/>
          <w:sz w:val="22"/>
        </w:rPr>
        <w:t xml:space="preserve"> </w:t>
      </w:r>
      <w:r>
        <w:rPr>
          <w:rFonts w:ascii="Times New Roman" w:hAnsi="Times New Roman"/>
          <w:b w:val="0"/>
          <w:color w:val="000000"/>
          <w:sz w:val="22"/>
        </w:rPr>
        <w:t xml:space="preserve">Green module internal robustness and cross-disease coherence assessment.</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Intra-modular TOM distribution for the green module (227 genes, red) versus null expectation from 10,000 random gene sets of equal size (gray).</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Gene-level jackknife resampling (90% retention, 100 iterations) assessing connectivity stability (CV = 1.6%).</w:t>
      </w:r>
      <w:r>
        <w:rPr>
          <w:rFonts w:ascii="Times New Roman" w:hAnsi="Times New Roman"/>
          <w:b w:val="0"/>
          <w:color w:val="000000"/>
          <w:sz w:val="22"/>
        </w:rPr>
        <w:t xml:space="preserve"> </w:t>
      </w:r>
      <w:r>
        <w:rPr>
          <w:rFonts w:ascii="Times New Roman" w:hAnsi="Times New Roman"/>
          <w:b w:val="0"/>
          <w:bCs/>
          <w:color w:val="000000"/>
          <w:sz w:val="22"/>
        </w:rPr>
        <w:t xml:space="preserve">(c)</w:t>
      </w:r>
      <w:r>
        <w:rPr>
          <w:rFonts w:ascii="Times New Roman" w:hAnsi="Times New Roman"/>
          <w:b w:val="0"/>
          <w:color w:val="000000"/>
          <w:sz w:val="22"/>
        </w:rPr>
        <w:t xml:space="preserve"> </w:t>
      </w:r>
      <w:r>
        <w:rPr>
          <w:rFonts w:ascii="Times New Roman" w:hAnsi="Times New Roman"/>
          <w:b w:val="0"/>
          <w:color w:val="000000"/>
          <w:sz w:val="22"/>
        </w:rPr>
        <w:t xml:space="preserve">Cross-disease coherence: mean absolute pairwise Pearson correlation of green module genes in the independent GSE141198 expression matrix (red) versus 1,000 random gene sets (gray). (PNG)</w:t>
      </w:r>
    </w:p>
    <w:p>
      <w:pPr>
        <w:pStyle w:val="BodyText"/>
        <w:spacing w:line="480" w:lineRule="auto"/>
      </w:pPr>
      <w:r>
        <w:rPr>
          <w:rFonts w:ascii="Times New Roman" w:hAnsi="Times New Roman"/>
          <w:b w:val="0"/>
          <w:bCs/>
          <w:color w:val="000000"/>
          <w:sz w:val="22"/>
        </w:rPr>
        <w:t xml:space="preserve">Additional file 5: Table S1.</w:t>
      </w:r>
      <w:r>
        <w:rPr>
          <w:rFonts w:ascii="Times New Roman" w:hAnsi="Times New Roman"/>
          <w:b w:val="0"/>
          <w:color w:val="000000"/>
          <w:sz w:val="22"/>
        </w:rPr>
        <w:t xml:space="preserve"> </w:t>
      </w:r>
      <w:r>
        <w:rPr>
          <w:rFonts w:ascii="Times New Roman" w:hAnsi="Times New Roman"/>
          <w:b w:val="0"/>
          <w:color w:val="000000"/>
          <w:sz w:val="22"/>
        </w:rPr>
        <w:t xml:space="preserve">HF green module gene list (227 genes) with module membership and gene significance statistics. (CSV)</w:t>
      </w:r>
    </w:p>
    <w:p>
      <w:pPr>
        <w:pStyle w:val="BodyText"/>
        <w:spacing w:line="480" w:lineRule="auto"/>
      </w:pPr>
      <w:r>
        <w:rPr>
          <w:rFonts w:ascii="Times New Roman" w:hAnsi="Times New Roman"/>
          <w:b w:val="0"/>
          <w:bCs/>
          <w:color w:val="000000"/>
          <w:sz w:val="22"/>
        </w:rPr>
        <w:t xml:space="preserve">Additional file 6: Table S2.</w:t>
      </w:r>
      <w:r>
        <w:rPr>
          <w:rFonts w:ascii="Times New Roman" w:hAnsi="Times New Roman"/>
          <w:b w:val="0"/>
          <w:color w:val="000000"/>
          <w:sz w:val="22"/>
        </w:rPr>
        <w:t xml:space="preserve"> </w:t>
      </w:r>
      <w:r>
        <w:rPr>
          <w:rFonts w:ascii="Times New Roman" w:hAnsi="Times New Roman"/>
          <w:b w:val="0"/>
          <w:color w:val="000000"/>
          <w:sz w:val="22"/>
        </w:rPr>
        <w:t xml:space="preserve">Complete ssGSEA pathway effect sizes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for all 81 pathways in HF and HCC. (CSV)</w:t>
      </w:r>
    </w:p>
    <w:p>
      <w:pPr>
        <w:pStyle w:val="BodyText"/>
        <w:spacing w:line="480" w:lineRule="auto"/>
      </w:pPr>
      <w:r>
        <w:rPr>
          <w:rFonts w:ascii="Times New Roman" w:hAnsi="Times New Roman"/>
          <w:b w:val="0"/>
          <w:bCs/>
          <w:color w:val="000000"/>
          <w:sz w:val="22"/>
        </w:rPr>
        <w:t xml:space="preserve">Additional file 7: Table S3.</w:t>
      </w:r>
      <w:r>
        <w:rPr>
          <w:rFonts w:ascii="Times New Roman" w:hAnsi="Times New Roman"/>
          <w:b w:val="0"/>
          <w:color w:val="000000"/>
          <w:sz w:val="22"/>
        </w:rPr>
        <w:t xml:space="preserve"> </w:t>
      </w: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FC and FDR for translation-related module genes. (CSV)</w:t>
      </w:r>
    </w:p>
    <w:p>
      <w:pPr>
        <w:pStyle w:val="BodyText"/>
        <w:spacing w:line="480" w:lineRule="auto"/>
      </w:pPr>
      <w:r>
        <w:rPr>
          <w:rFonts w:ascii="Times New Roman" w:hAnsi="Times New Roman"/>
          <w:b w:val="0"/>
          <w:bCs/>
          <w:color w:val="000000"/>
          <w:sz w:val="22"/>
        </w:rPr>
        <w:t xml:space="preserve">Additional file 8: Table S4.</w:t>
      </w:r>
      <w:r>
        <w:rPr>
          <w:rFonts w:ascii="Times New Roman" w:hAnsi="Times New Roman"/>
          <w:b w:val="0"/>
          <w:color w:val="000000"/>
          <w:sz w:val="22"/>
        </w:rPr>
        <w:t xml:space="preserve"> </w:t>
      </w:r>
      <w:r>
        <w:rPr>
          <w:rFonts w:ascii="Times New Roman" w:hAnsi="Times New Roman"/>
          <w:b w:val="0"/>
          <w:color w:val="000000"/>
          <w:sz w:val="22"/>
        </w:rPr>
        <w:t xml:space="preserve">Translation-related pathways showing mirror perturbation (HF↓ HCC↑) with binomial test statistics. (CSV)</w:t>
      </w:r>
    </w:p>
    <w:p>
      <w:pPr>
        <w:pStyle w:val="BodyText"/>
        <w:spacing w:line="480" w:lineRule="auto"/>
      </w:pPr>
      <w:r>
        <w:rPr>
          <w:rFonts w:ascii="Times New Roman" w:hAnsi="Times New Roman"/>
          <w:b w:val="0"/>
          <w:bCs/>
          <w:color w:val="000000"/>
          <w:sz w:val="22"/>
        </w:rPr>
        <w:t xml:space="preserve">Additional file 9: Table S5.</w:t>
      </w:r>
      <w:r>
        <w:rPr>
          <w:rFonts w:ascii="Times New Roman" w:hAnsi="Times New Roman"/>
          <w:b w:val="0"/>
          <w:color w:val="000000"/>
          <w:sz w:val="22"/>
        </w:rPr>
        <w:t xml:space="preserve"> </w:t>
      </w:r>
      <w:r>
        <w:rPr>
          <w:rFonts w:ascii="Times New Roman" w:hAnsi="Times New Roman"/>
          <w:b w:val="0"/>
          <w:color w:val="000000"/>
          <w:sz w:val="22"/>
        </w:rPr>
        <w:t xml:space="preserve">GO Biological Process enrichment results for the HF green module (clusterProfiler, BH-adjusted). (CSV)</w:t>
      </w:r>
    </w:p>
    <w:p>
      <w:pPr>
        <w:pStyle w:val="BodyText"/>
        <w:spacing w:line="480" w:lineRule="auto"/>
      </w:pPr>
      <w:r>
        <w:rPr>
          <w:rFonts w:ascii="Times New Roman" w:hAnsi="Times New Roman"/>
          <w:b w:val="0"/>
          <w:bCs/>
          <w:color w:val="000000"/>
          <w:sz w:val="22"/>
        </w:rPr>
        <w:t xml:space="preserve">Additional file 10: Table S6.</w:t>
      </w:r>
      <w:r>
        <w:rPr>
          <w:rFonts w:ascii="Times New Roman" w:hAnsi="Times New Roman"/>
          <w:b w:val="0"/>
          <w:color w:val="000000"/>
          <w:sz w:val="22"/>
        </w:rPr>
        <w:t xml:space="preserve"> </w:t>
      </w:r>
      <w:r>
        <w:rPr>
          <w:rFonts w:ascii="Times New Roman" w:hAnsi="Times New Roman"/>
          <w:b w:val="0"/>
          <w:color w:val="000000"/>
          <w:sz w:val="22"/>
        </w:rPr>
        <w:t xml:space="preserve">Complete TF–TATS Spearman correlation statistics for all 19 candidate transcription factors. (CSV)</w:t>
      </w:r>
    </w:p>
    <w:p>
      <w:pPr>
        <w:pStyle w:val="BodyText"/>
        <w:spacing w:line="480" w:lineRule="auto"/>
      </w:pPr>
      <w:r>
        <w:rPr>
          <w:rFonts w:ascii="Times New Roman" w:hAnsi="Times New Roman"/>
          <w:b w:val="0"/>
          <w:bCs/>
          <w:color w:val="000000"/>
          <w:sz w:val="22"/>
        </w:rPr>
        <w:t xml:space="preserve">Additional file 11: Table S7.</w:t>
      </w:r>
      <w:r>
        <w:rPr>
          <w:rFonts w:ascii="Times New Roman" w:hAnsi="Times New Roman"/>
          <w:b w:val="0"/>
          <w:color w:val="000000"/>
          <w:sz w:val="22"/>
        </w:rPr>
        <w:t xml:space="preserve"> </w:t>
      </w:r>
      <w:r>
        <w:rPr>
          <w:rFonts w:ascii="Times New Roman" w:hAnsi="Times New Roman"/>
          <w:b w:val="0"/>
          <w:color w:val="000000"/>
          <w:sz w:val="22"/>
        </w:rPr>
        <w:t xml:space="preserve">Gene overlap analysis between TATS gene set and Hallmark pathway gene sets, with de-overlap sensitivity analysis. (CSV)</w:t>
      </w:r>
    </w:p>
    <w:bookmarkEnd w:id="52"/>
    <w:bookmarkEnd w:id="53"/>
    <w:sectPr>
      <w:footnotePr>
        <w:numRestart w:val="eachSect"/>
      </w:footnotePr>
      <w:pgSz w:w="11906" w:h="16838"/>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480" w:lineRule="auto"/>
    </w:pPr>
    <w:rPr>
      <w:rFonts w:ascii="Times New Roman" w:hAnsi="Times New Roman"/>
      <w:b w:val="0"/>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480" w:lineRule="auto"/>
      <w:outlineLvl w:val="1"/>
    </w:pPr>
    <w:rPr>
      <w:rFonts w:asciiTheme="majorHAnsi" w:cstheme="majorBidi" w:eastAsiaTheme="majorEastAsia" w:hAnsiTheme="majorHAnsi" w:ascii="Times New Roman" w:hAnsi="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480" w:lineRule="auto"/>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7" Type="http://schemas.openxmlformats.org/officeDocument/2006/relationships/image" Target="media/rId17.png"/><Relationship Id="rId21" Type="http://schemas.openxmlformats.org/officeDocument/2006/relationships/image" Target="media/rId21.png"/><Relationship Id="rId25" Type="http://schemas.openxmlformats.org/officeDocument/2006/relationships/image" Target="media/rId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2026-08-05T15:46:55Z</dcterms:created>
  <dcterms:modified xsi:type="dcterms:W3CDTF">2026-08-05T15:46:55Z</dcterms:modified>
</cp:coreProperties>
</file>

<file path=docProps/custom.xml><?xml version="1.0" encoding="utf-8"?>
<Properties xmlns="http://schemas.openxmlformats.org/officeDocument/2006/custom-properties" xmlns:vt="http://schemas.openxmlformats.org/officeDocument/2006/docPropsVTypes"/>
</file>