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eefefa1a8d5dbb69c6c6115ed26e4b3163d59b"/>
    <w:p>
      <w:pPr>
        <w:pStyle w:val="Heading1"/>
        <w:spacing w:line="48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480" w:lineRule="auto"/>
      </w:pPr>
      <w:r>
        <w:rPr>
          <w:rFonts w:ascii="Times New Roman" w:hAnsi="Times New Roman"/>
          <w:b w:val="0"/>
          <w:color w:val="000000"/>
          <w:sz w:val="22"/>
        </w:rPr>
        <w:t xml:space="preserve">Yuhe Hong</w:t>
      </w: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(ORCID: 0009-0008-5028-0035), Yili Liu</w:t>
      </w:r>
      <w:r>
        <w:rPr>
          <w:rFonts w:ascii="Times New Roman" w:hAnsi="Times New Roman"/>
          <w:b w:val="0"/>
          <w:color w:val="000000"/>
          <w:sz w:val="22"/>
        </w:rPr>
        <w:t xml:space="preserve">1</w:t>
      </w:r>
      <w:r>
        <w:rPr>
          <w:rFonts w:ascii="Times New Roman" w:hAnsi="Times New Roman"/>
          <w:b w:val="0"/>
          <w:color w:val="000000"/>
          <w:sz w:val="22"/>
        </w:rPr>
        <w:t xml:space="preserve">, Xianqi Li</w:t>
      </w:r>
      <w:r>
        <w:rPr>
          <w:rFonts w:ascii="Times New Roman" w:hAnsi="Times New Roman"/>
          <w:b w:val="0"/>
          <w:color w:val="000000"/>
          <w:sz w:val="22"/>
        </w:rPr>
        <w:t xml:space="preserve">1</w:t>
      </w:r>
      <w:r>
        <w:rPr>
          <w:rFonts w:ascii="Times New Roman" w:hAnsi="Times New Roman"/>
          <w:b w:val="0"/>
          <w:color w:val="000000"/>
          <w:sz w:val="22"/>
        </w:rPr>
        <w:t xml:space="preserve">, Xin Wu</w:t>
      </w:r>
      <w:r>
        <w:rPr>
          <w:rFonts w:ascii="Times New Roman" w:hAnsi="Times New Roman"/>
          <w:b w:val="0"/>
          <w:color w:val="000000"/>
          <w:sz w:val="22"/>
        </w:rPr>
        <w:t xml:space="preserve">3</w:t>
      </w:r>
      <w:r>
        <w:rPr>
          <w:rFonts w:ascii="Times New Roman" w:hAnsi="Times New Roman"/>
          <w:b w:val="0"/>
          <w:i/>
          <w:iCs/>
          <w:color w:val="000000"/>
          <w:sz w:val="22"/>
        </w:rPr>
        <w:t xml:space="preserve">, Junhong Wang</w:t>
      </w:r>
      <w:r>
        <w:rPr>
          <w:rFonts w:ascii="Times New Roman" w:hAnsi="Times New Roman"/>
          <w:b w:val="0"/>
          <w:i/>
          <w:iCs/>
          <w:color w:val="000000"/>
          <w:sz w:val="22"/>
        </w:rPr>
        <w:t xml:space="preserve">1,2</w:t>
      </w:r>
      <w:r>
        <w:rPr>
          <w:rFonts w:ascii="Times New Roman" w:hAnsi="Times New Roman"/>
          <w:b w:val="0"/>
          <w:color w:val="000000"/>
          <w:sz w:val="22"/>
        </w:rPr>
        <w:t xml:space="preserve"> </w:t>
      </w:r>
      <w:r>
        <w:rPr>
          <w:rFonts w:ascii="Times New Roman" w:hAnsi="Times New Roman"/>
          <w:b w:val="0"/>
          <w:color w:val="000000"/>
          <w:sz w:val="22"/>
        </w:rPr>
        <w:t xml:space="preserve">(ORCID: 0000-0003-2314-1810)</w:t>
      </w:r>
    </w:p>
    <w:p>
      <w:pPr>
        <w:pStyle w:val="BodyText"/>
        <w:spacing w:line="480" w:lineRule="auto"/>
      </w:pP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The First Affiliated Hospital of Nanjing Medical University, Nanjing, China</w:t>
      </w:r>
    </w:p>
    <w:p>
      <w:pPr>
        <w:pStyle w:val="BodyText"/>
        <w:spacing w:line="480" w:lineRule="auto"/>
      </w:pP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Liyang People’s Hospital, Liyang, China</w:t>
      </w:r>
    </w:p>
    <w:p>
      <w:pPr>
        <w:pStyle w:val="BodyText"/>
        <w:spacing w:line="480" w:lineRule="auto"/>
      </w:pPr>
      <w:r>
        <w:rPr>
          <w:rFonts w:ascii="Times New Roman" w:hAnsi="Times New Roman"/>
          <w:b w:val="0"/>
          <w:color w:val="000000"/>
          <w:sz w:val="22"/>
        </w:rPr>
        <w:t xml:space="preserve">3</w:t>
      </w:r>
      <w:r>
        <w:rPr>
          <w:rFonts w:ascii="Times New Roman" w:hAnsi="Times New Roman"/>
          <w:b w:val="0"/>
          <w:color w:val="000000"/>
          <w:sz w:val="22"/>
        </w:rPr>
        <w:t xml:space="preserve"> </w:t>
      </w:r>
      <w:r>
        <w:rPr>
          <w:rFonts w:ascii="Times New Roman" w:hAnsi="Times New Roman"/>
          <w:b w:val="0"/>
          <w:color w:val="000000"/>
          <w:sz w:val="22"/>
        </w:rPr>
        <w:t xml:space="preserve">Department of Reproduction Medicine, The First Affiliated Hospital of Nanjing Medical University, Nanjing, China</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Co-corresponding authors. Email: wuxin0220@aliyun.com (X.W.); wangjunhong@jsph.org.cn (J.W.)</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313) and HCC (GSE141198,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148) transcriptomes identified translation-related modules with limited gene-level overlap (62/227 genes; Fisher’s OR = 1.7,</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0.039). Despite distinct network architecture, 24 of 33 translation-related pathways showed mirror perturbation between diseases (Spearman ρ = −0.598,</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48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48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48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48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480" w:lineRule="auto"/>
      </w:pPr>
      <w:r>
        <w:rPr>
          <w:rFonts w:ascii="Times New Roman" w:hAnsi="Times New Roman"/>
          <w:b/>
          <w:color w:val="000000"/>
          <w:sz w:val="22"/>
        </w:rPr>
        <w:t xml:space="preserve">Results</w:t>
      </w:r>
    </w:p>
    <w:bookmarkStart w:id="12" w:name="X29130612508969c7e43315de124d00ce5662986"/>
    <w:p>
      <w:pPr>
        <w:pStyle w:val="Heading3"/>
        <w:spacing w:line="48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48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Additional file 3: Figure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48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(Additional file 9: Table S5).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480" w:lineRule="auto"/>
      </w:pPr>
      <w:r>
        <w:rPr>
          <w:rFonts w:ascii="Times New Roman" w:hAnsi="Times New Roman"/>
          <w:b w:val="0"/>
          <w:color w:val="000000"/>
          <w:sz w:val="22"/>
        </w:rPr>
        <w:t xml:space="preserve">Hub genes were defined post hoc using dual criteria of |Gene Significance| &gt; 0.2 and |Module Membership| &gt; 0.8 within the green module (Additional file 1: Figure S1). The top ten hub genes ranked by the product of |GS| × |MM| are listed in Additional file 5: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48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48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Additional file 4: Figure S4), rather than an artifact of the β = 17 soft-threshold parameter. We next examined whether this disease-context-dependent network organization is accompanied by oppositely directed pathway-level changes.</w:t>
      </w:r>
    </w:p>
    <w:p>
      <w:pPr>
        <w:pStyle w:val="CaptionedFigure"/>
        <w:spacing w:line="480" w:lineRule="auto"/>
      </w:pPr>
      <w:r>
        <w:rPr>
          <w:rFonts w:ascii="Times New Roman" w:hAnsi="Times New Roman"/>
          <w:b w:val="0"/>
          <w:color w:val="000000"/>
          <w:sz w:val="22"/>
        </w:rPr>
        <w:drawing>
          <wp:inline>
            <wp:extent cx="5334000" cy="4000500"/>
            <wp:effectExtent b="0" l="0" r="0" t="0"/>
            <wp:docPr descr="Figure 1" title="" id="10" name="Picture"/>
            <a:graphic>
              <a:graphicData uri="http://schemas.openxmlformats.org/drawingml/2006/picture">
                <pic:pic>
                  <pic:nvPicPr>
                    <pic:cNvPr descr="figures/Fig1_JTM.png" id="11" name="Picture"/>
                    <pic:cNvPicPr>
                      <a:picLocks noChangeArrowheads="1" noChangeAspect="1"/>
                    </pic:cNvPicPr>
                  </pic:nvPicPr>
                  <pic:blipFill>
                    <a:blip r:embed="rId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1</w:t>
      </w:r>
    </w:p>
    <w:p>
      <w:pPr>
        <w:pStyle w:val="BodyText"/>
        <w:spacing w:line="48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12"/>
    <w:bookmarkStart w:id="16" w:name="X0bb7cd2088651e3c7dc8f36f72b41334090cbe7"/>
    <w:p>
      <w:pPr>
        <w:pStyle w:val="Heading3"/>
        <w:spacing w:line="480" w:lineRule="auto"/>
      </w:pPr>
      <w:r>
        <w:rPr>
          <w:rFonts w:ascii="Times New Roman" w:hAnsi="Times New Roman"/>
          <w:b/>
          <w:color w:val="000000"/>
          <w:sz w:val="22"/>
        </w:rPr>
        <w:t xml:space="preserve">Opposite pathway-level perturbation of translation-related programs between HF and HCC</w:t>
      </w:r>
    </w:p>
    <w:p>
      <w:pPr>
        <w:pStyle w:val="FirstParagraph"/>
        <w:spacing w:line="48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48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Additional file 6: Table S2.</w:t>
      </w:r>
    </w:p>
    <w:p>
      <w:pPr>
        <w:pStyle w:val="BodyText"/>
        <w:spacing w:line="48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Additional file 8: Table S4). The remaining nine pathways were enriched for mitochondrial translation or miRNA-mediated translational regulation rather than canonical cytoplasmic translation pathways (Additional file 6: Table S2).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48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480" w:lineRule="auto"/>
      </w:pPr>
      <w:r>
        <w:rPr>
          <w:rFonts w:ascii="Times New Roman" w:hAnsi="Times New Roman"/>
          <w:b w:val="0"/>
          <w:color w:val="000000"/>
          <w:sz w:val="22"/>
        </w:rPr>
        <w:drawing>
          <wp:inline>
            <wp:extent cx="5334000" cy="4266137"/>
            <wp:effectExtent b="0" l="0" r="0" t="0"/>
            <wp:docPr descr="Figure 2" title="" id="14" name="Picture"/>
            <a:graphic>
              <a:graphicData uri="http://schemas.openxmlformats.org/drawingml/2006/picture">
                <pic:pic>
                  <pic:nvPicPr>
                    <pic:cNvPr descr="figures/Fig2_JTM.png" id="15" name="Picture"/>
                    <pic:cNvPicPr>
                      <a:picLocks noChangeArrowheads="1" noChangeAspect="1"/>
                    </pic:cNvPicPr>
                  </pic:nvPicPr>
                  <pic:blipFill>
                    <a:blip r:embed="rId13"/>
                    <a:stretch>
                      <a:fillRect/>
                    </a:stretch>
                  </pic:blipFill>
                  <pic:spPr bwMode="auto">
                    <a:xfrm>
                      <a:off x="0" y="0"/>
                      <a:ext cx="5334000" cy="4266137"/>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2</w:t>
      </w:r>
    </w:p>
    <w:p>
      <w:pPr>
        <w:pStyle w:val="BodyText"/>
        <w:spacing w:line="48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480" w:lineRule="auto"/>
      </w:pPr>
      <w:r>
        <w:rPr>
          <w:rFonts w:ascii="Times New Roman" w:hAnsi="Times New Roman"/>
          <w:b/>
          <w:color w:val="000000"/>
          <w:sz w:val="22"/>
        </w:rPr>
        <w:t xml:space="preserve">Disease and cohort context influence the magnitude of translation-related remodeling</w:t>
      </w:r>
    </w:p>
    <w:p>
      <w:pPr>
        <w:pStyle w:val="FirstParagraph"/>
        <w:spacing w:line="48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48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48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480" w:lineRule="auto"/>
      </w:pPr>
      <w:r>
        <w:rPr>
          <w:rFonts w:ascii="Times New Roman" w:hAnsi="Times New Roman"/>
          <w:b w:val="0"/>
          <w:color w:val="000000"/>
          <w:sz w:val="22"/>
        </w:rPr>
        <w:drawing>
          <wp:inline>
            <wp:extent cx="5334000" cy="4571620"/>
            <wp:effectExtent b="0" l="0" r="0" t="0"/>
            <wp:docPr descr="Figure 3" title="" id="18" name="Picture"/>
            <a:graphic>
              <a:graphicData uri="http://schemas.openxmlformats.org/drawingml/2006/picture">
                <pic:pic>
                  <pic:nvPicPr>
                    <pic:cNvPr descr="figures/Fig3_JTM.png" id="19" name="Picture"/>
                    <pic:cNvPicPr>
                      <a:picLocks noChangeArrowheads="1" noChangeAspect="1"/>
                    </pic:cNvPicPr>
                  </pic:nvPicPr>
                  <pic:blipFill>
                    <a:blip r:embed="rId17"/>
                    <a:stretch>
                      <a:fillRect/>
                    </a:stretch>
                  </pic:blipFill>
                  <pic:spPr bwMode="auto">
                    <a:xfrm>
                      <a:off x="0" y="0"/>
                      <a:ext cx="5334000" cy="457162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3</w:t>
      </w:r>
    </w:p>
    <w:p>
      <w:pPr>
        <w:pStyle w:val="BodyText"/>
        <w:spacing w:line="48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480" w:lineRule="auto"/>
      </w:pPr>
      <w:r>
        <w:rPr>
          <w:rFonts w:ascii="Times New Roman" w:hAnsi="Times New Roman"/>
          <w:b/>
          <w:color w:val="000000"/>
          <w:sz w:val="22"/>
        </w:rPr>
        <w:t xml:space="preserve">Exploratory assessment of TATS clinical associations</w:t>
      </w:r>
    </w:p>
    <w:p>
      <w:pPr>
        <w:pStyle w:val="FirstParagraph"/>
        <w:spacing w:line="48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48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480" w:lineRule="auto"/>
      </w:pPr>
      <w:r>
        <w:rPr>
          <w:rFonts w:ascii="Times New Roman" w:hAnsi="Times New Roman"/>
          <w:b w:val="0"/>
          <w:color w:val="000000"/>
          <w:sz w:val="22"/>
        </w:rPr>
        <w:drawing>
          <wp:inline>
            <wp:extent cx="5334000" cy="2667000"/>
            <wp:effectExtent b="0" l="0" r="0" t="0"/>
            <wp:docPr descr="Figure 4" title="" id="22" name="Picture"/>
            <a:graphic>
              <a:graphicData uri="http://schemas.openxmlformats.org/drawingml/2006/picture">
                <pic:pic>
                  <pic:nvPicPr>
                    <pic:cNvPr descr="figures/Fig4_JTM.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4</w:t>
      </w:r>
    </w:p>
    <w:p>
      <w:pPr>
        <w:pStyle w:val="BodyText"/>
        <w:spacing w:line="48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480" w:lineRule="auto"/>
      </w:pPr>
      <w:r>
        <w:rPr>
          <w:rFonts w:ascii="Times New Roman" w:hAnsi="Times New Roman"/>
          <w:b/>
          <w:color w:val="000000"/>
          <w:sz w:val="22"/>
        </w:rPr>
        <w:t xml:space="preserve">Regulatory associations with translation-related transcriptional programs</w:t>
      </w:r>
    </w:p>
    <w:p>
      <w:pPr>
        <w:pStyle w:val="FirstParagraph"/>
        <w:spacing w:line="48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48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(Additional file 11: Table S7).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(Additional file 11: Table S7).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48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Additional file 10: Table S6.</w:t>
      </w:r>
    </w:p>
    <w:p>
      <w:pPr>
        <w:pStyle w:val="BodyText"/>
        <w:spacing w:line="48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480" w:lineRule="auto"/>
      </w:pPr>
      <w:r>
        <w:rPr>
          <w:rFonts w:ascii="Times New Roman" w:hAnsi="Times New Roman"/>
          <w:b w:val="0"/>
          <w:color w:val="000000"/>
          <w:sz w:val="22"/>
        </w:rPr>
        <w:drawing>
          <wp:inline>
            <wp:extent cx="5334000" cy="5065706"/>
            <wp:effectExtent b="0" l="0" r="0" t="0"/>
            <wp:docPr descr="Figure 5" title="" id="26" name="Picture"/>
            <a:graphic>
              <a:graphicData uri="http://schemas.openxmlformats.org/drawingml/2006/picture">
                <pic:pic>
                  <pic:nvPicPr>
                    <pic:cNvPr descr="figures/Fig5_JTM.png" id="27" name="Picture"/>
                    <pic:cNvPicPr>
                      <a:picLocks noChangeArrowheads="1" noChangeAspect="1"/>
                    </pic:cNvPicPr>
                  </pic:nvPicPr>
                  <pic:blipFill>
                    <a:blip r:embed="rId25"/>
                    <a:stretch>
                      <a:fillRect/>
                    </a:stretch>
                  </pic:blipFill>
                  <pic:spPr bwMode="auto">
                    <a:xfrm>
                      <a:off x="0" y="0"/>
                      <a:ext cx="5334000" cy="5065706"/>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5</w:t>
      </w:r>
    </w:p>
    <w:p>
      <w:pPr>
        <w:pStyle w:val="BodyText"/>
        <w:spacing w:line="48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480" w:lineRule="auto"/>
      </w:pPr>
      <w:r>
        <w:rPr>
          <w:rFonts w:ascii="Times New Roman" w:hAnsi="Times New Roman"/>
          <w:b/>
          <w:color w:val="000000"/>
          <w:sz w:val="22"/>
        </w:rPr>
        <w:t xml:space="preserve">Discussion</w:t>
      </w:r>
    </w:p>
    <w:p>
      <w:pPr>
        <w:pStyle w:val="FirstParagraph"/>
        <w:spacing w:line="48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48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48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48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48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48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48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480" w:lineRule="auto"/>
      </w:pPr>
      <w:r>
        <w:rPr>
          <w:rFonts w:ascii="Times New Roman" w:hAnsi="Times New Roman"/>
          <w:b/>
          <w:color w:val="000000"/>
          <w:sz w:val="22"/>
        </w:rPr>
        <w:t xml:space="preserve">Conclusion</w:t>
      </w:r>
    </w:p>
    <w:p>
      <w:pPr>
        <w:pStyle w:val="FirstParagraph"/>
        <w:spacing w:line="48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480" w:lineRule="auto"/>
      </w:pPr>
      <w:r>
        <w:rPr>
          <w:rFonts w:ascii="Times New Roman" w:hAnsi="Times New Roman"/>
          <w:b/>
          <w:color w:val="000000"/>
          <w:sz w:val="22"/>
        </w:rPr>
        <w:t xml:space="preserve">Methods</w:t>
      </w:r>
    </w:p>
    <w:bookmarkStart w:id="32" w:name="data-acquisition-and-preprocessing"/>
    <w:p>
      <w:pPr>
        <w:pStyle w:val="Heading3"/>
        <w:spacing w:line="480" w:lineRule="auto"/>
      </w:pPr>
      <w:r>
        <w:rPr>
          <w:rFonts w:ascii="Times New Roman" w:hAnsi="Times New Roman"/>
          <w:b/>
          <w:color w:val="000000"/>
          <w:sz w:val="22"/>
        </w:rPr>
        <w:t xml:space="preserve">Data acquisition and preprocessing</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48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48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48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48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48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480" w:lineRule="auto"/>
      </w:pPr>
      <w:r>
        <w:rPr>
          <w:rFonts w:ascii="Times New Roman" w:hAnsi="Times New Roman"/>
          <w:b/>
          <w:color w:val="000000"/>
          <w:sz w:val="22"/>
        </w:rPr>
        <w:t xml:space="preserve">WGCNA co-expression network analysis</w:t>
      </w:r>
    </w:p>
    <w:p>
      <w:pPr>
        <w:pStyle w:val="FirstParagraph"/>
        <w:spacing w:line="48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Additional file 3: Figure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48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48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48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48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480" w:lineRule="auto"/>
      </w:pPr>
      <w:r>
        <w:rPr>
          <w:rFonts w:ascii="Times New Roman" w:hAnsi="Times New Roman"/>
          <w:b/>
          <w:color w:val="000000"/>
          <w:sz w:val="22"/>
        </w:rPr>
        <w:t xml:space="preserve">ssGSEA pathway activity analysis</w:t>
      </w:r>
    </w:p>
    <w:p>
      <w:pPr>
        <w:pStyle w:val="FirstParagraph"/>
        <w:spacing w:line="48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48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480" w:lineRule="auto"/>
      </w:pPr>
      <w:r>
        <w:rPr>
          <w:rFonts w:ascii="Times New Roman" w:hAnsi="Times New Roman"/>
          <w:b/>
          <w:color w:val="000000"/>
          <w:sz w:val="22"/>
        </w:rPr>
        <w:t xml:space="preserve">Translation-associated transcriptional score (TATS) and survival analysis</w:t>
      </w:r>
    </w:p>
    <w:p>
      <w:pPr>
        <w:pStyle w:val="FirstParagraph"/>
        <w:spacing w:line="48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480" w:lineRule="auto"/>
      </w:pPr>
      <w:r>
        <w:rPr>
          <w:rFonts w:ascii="Times New Roman" w:hAnsi="Times New Roman"/>
          <w:b/>
          <w:color w:val="000000"/>
          <w:sz w:val="22"/>
        </w:rPr>
        <w:t xml:space="preserve">Upstream transcription factor analysis</w:t>
      </w:r>
    </w:p>
    <w:p>
      <w:pPr>
        <w:pStyle w:val="FirstParagraph"/>
        <w:spacing w:line="48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48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36"/>
    <w:bookmarkStart w:id="37" w:name="direction-consistency-testing"/>
    <w:p>
      <w:pPr>
        <w:pStyle w:val="Heading3"/>
        <w:spacing w:line="480" w:lineRule="auto"/>
      </w:pPr>
      <w:r>
        <w:rPr>
          <w:rFonts w:ascii="Times New Roman" w:hAnsi="Times New Roman"/>
          <w:b/>
          <w:color w:val="000000"/>
          <w:sz w:val="22"/>
        </w:rPr>
        <w:t xml:space="preserve">Direction consistency testing</w:t>
      </w:r>
    </w:p>
    <w:p>
      <w:pPr>
        <w:pStyle w:val="FirstParagraph"/>
        <w:spacing w:line="48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37"/>
    <w:bookmarkStart w:id="38" w:name="large-language-model-usage"/>
    <w:p>
      <w:pPr>
        <w:pStyle w:val="Heading3"/>
        <w:spacing w:line="480" w:lineRule="auto"/>
      </w:pPr>
      <w:r>
        <w:rPr>
          <w:rFonts w:ascii="Times New Roman" w:hAnsi="Times New Roman"/>
          <w:b/>
          <w:color w:val="000000"/>
          <w:sz w:val="22"/>
        </w:rPr>
        <w:t xml:space="preserve">Large language model usage</w:t>
      </w:r>
    </w:p>
    <w:p>
      <w:pPr>
        <w:pStyle w:val="FirstParagraph"/>
        <w:spacing w:line="480" w:lineRule="auto"/>
      </w:pPr>
      <w:r>
        <w:rPr>
          <w:rFonts w:ascii="Times New Roman" w:hAnsi="Times New Roman"/>
          <w:b w:val="0"/>
          <w:color w:val="000000"/>
          <w:sz w:val="22"/>
        </w:rPr>
        <w:t xml:space="preserve">No large language models or generative AI tools were used in the design, execution, analysis, or writing of this study. All data analyses, statistical tests, and manuscript composition were performed by the authors.</w:t>
      </w:r>
    </w:p>
    <w:bookmarkEnd w:id="38"/>
    <w:bookmarkStart w:id="39" w:name="statistical-analysis"/>
    <w:p>
      <w:pPr>
        <w:pStyle w:val="Heading3"/>
        <w:spacing w:line="480" w:lineRule="auto"/>
      </w:pPr>
      <w:r>
        <w:rPr>
          <w:rFonts w:ascii="Times New Roman" w:hAnsi="Times New Roman"/>
          <w:b/>
          <w:color w:val="000000"/>
          <w:sz w:val="22"/>
        </w:rPr>
        <w:t xml:space="preserve">Statistical analysis</w:t>
      </w:r>
    </w:p>
    <w:p>
      <w:pPr>
        <w:pStyle w:val="FirstParagraph"/>
        <w:spacing w:line="48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480" w:lineRule="auto"/>
      </w:pPr>
      <w:r>
        <w:rPr>
          <w:rFonts w:ascii="Times New Roman" w:hAnsi="Times New Roman"/>
          <w:b/>
          <w:color w:val="000000"/>
          <w:sz w:val="22"/>
        </w:rPr>
        <w:t xml:space="preserve">Robustness assessment across independent heart failure cohorts</w:t>
      </w:r>
    </w:p>
    <w:p>
      <w:pPr>
        <w:pStyle w:val="FirstParagraph"/>
        <w:spacing w:line="48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480" w:lineRule="auto"/>
      </w:pPr>
      <w:r>
        <w:rPr>
          <w:rFonts w:ascii="Times New Roman" w:hAnsi="Times New Roman"/>
          <w:b/>
          <w:color w:val="000000"/>
          <w:sz w:val="22"/>
        </w:rPr>
        <w:t xml:space="preserve">Same-organ disease controls</w:t>
      </w:r>
    </w:p>
    <w:p>
      <w:pPr>
        <w:pStyle w:val="FirstParagraph"/>
        <w:spacing w:line="48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availability-of-data-and-materials"/>
    <w:p>
      <w:pPr>
        <w:pStyle w:val="Heading2"/>
        <w:spacing w:line="480" w:lineRule="auto"/>
      </w:pPr>
      <w:r>
        <w:rPr>
          <w:rFonts w:ascii="Times New Roman" w:hAnsi="Times New Roman"/>
          <w:b/>
          <w:color w:val="000000"/>
          <w:sz w:val="22"/>
        </w:rPr>
        <w:t xml:space="preserve">Availability of data and materials</w:t>
      </w:r>
    </w:p>
    <w:p>
      <w:pPr>
        <w:pStyle w:val="FirstParagraph"/>
        <w:spacing w:line="480" w:lineRule="auto"/>
      </w:pPr>
      <w:r>
        <w:rPr>
          <w:rFonts w:ascii="Times New Roman" w:hAnsi="Times New Roman"/>
          <w:b w:val="0"/>
          <w:color w:val="000000"/>
          <w:sz w:val="22"/>
        </w:rPr>
        <w:t xml:space="preserve">All datasets used in this study are publicly available: GSE57338, GSE141198, GSE14520, and GSE76427 from the Gene Expression Omnibus (https://www.ncbi.nlm.nih.gov/geo/); TCGA-LIHC from the GDC Data Portal (https://portal.gdc.cancer.gov/).</w:t>
      </w:r>
    </w:p>
    <w:p>
      <w:pPr>
        <w:pStyle w:val="BodyText"/>
        <w:spacing w:line="480" w:lineRule="auto"/>
      </w:pPr>
      <w:r>
        <w:rPr>
          <w:rFonts w:ascii="Times New Roman" w:hAnsi="Times New Roman"/>
          <w:b w:val="0"/>
          <w:color w:val="000000"/>
          <w:sz w:val="22"/>
        </w:rPr>
        <w:t xml:space="preserve">Analysis code has been deposited in a GitHub repository and is accessible via an anonymous link during peer review: https://anonymous.4open.science/r/translation-mirror-hf-hcc-4622/. The repository (project name: translation-mirror-hf-hcc) contains the complete WGCNA, ssGSEA, TF correlation, and direction consistency analysis pipelines. Programming language: R and Python. License: MIT. Upon acceptance, the repository will be made publicly available and assigned a permanent DOI through Zenodo.</w:t>
      </w:r>
    </w:p>
    <w:bookmarkEnd w:id="43"/>
    <w:bookmarkStart w:id="44" w:name="references"/>
    <w:p>
      <w:pPr>
        <w:pStyle w:val="Heading2"/>
        <w:spacing w:line="480" w:lineRule="auto"/>
      </w:pPr>
      <w:r>
        <w:rPr>
          <w:rFonts w:ascii="Times New Roman" w:hAnsi="Times New Roman"/>
          <w:b/>
          <w:color w:val="000000"/>
          <w:sz w:val="22"/>
        </w:rPr>
        <w:t xml:space="preserve">References</w:t>
      </w:r>
    </w:p>
    <w:p>
      <w:pPr>
        <w:numPr>
          <w:ilvl w:val="0"/>
          <w:numId w:val="1001"/>
        </w:numPr>
        <w:spacing w:line="48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48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48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48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48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48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48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48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48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48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48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48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48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48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48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48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48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48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48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48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48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48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48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48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48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48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44"/>
    <w:bookmarkStart w:id="51" w:name="declarations"/>
    <w:p>
      <w:pPr>
        <w:pStyle w:val="Heading2"/>
        <w:spacing w:line="480" w:lineRule="auto"/>
      </w:pPr>
      <w:r>
        <w:rPr>
          <w:rFonts w:ascii="Times New Roman" w:hAnsi="Times New Roman"/>
          <w:b/>
          <w:color w:val="000000"/>
          <w:sz w:val="22"/>
        </w:rPr>
        <w:t xml:space="preserve">Declarations</w:t>
      </w:r>
    </w:p>
    <w:bookmarkStart w:id="45" w:name="Xd182db0490b2de20bd2b4e4cc8698599182035f"/>
    <w:p>
      <w:pPr>
        <w:pStyle w:val="Heading3"/>
        <w:spacing w:line="480" w:lineRule="auto"/>
      </w:pPr>
      <w:r>
        <w:rPr>
          <w:rFonts w:ascii="Times New Roman" w:hAnsi="Times New Roman"/>
          <w:b/>
          <w:color w:val="000000"/>
          <w:sz w:val="22"/>
        </w:rPr>
        <w:t xml:space="preserve">Ethics approval and consent to participate</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bookmarkEnd w:id="45"/>
    <w:bookmarkStart w:id="46" w:name="consent-for-publication"/>
    <w:p>
      <w:pPr>
        <w:pStyle w:val="Heading3"/>
        <w:spacing w:line="480" w:lineRule="auto"/>
      </w:pPr>
      <w:r>
        <w:rPr>
          <w:rFonts w:ascii="Times New Roman" w:hAnsi="Times New Roman"/>
          <w:b/>
          <w:color w:val="000000"/>
          <w:sz w:val="22"/>
        </w:rPr>
        <w:t xml:space="preserve">Consent for publication</w:t>
      </w:r>
    </w:p>
    <w:p>
      <w:pPr>
        <w:pStyle w:val="FirstParagraph"/>
        <w:spacing w:line="480" w:lineRule="auto"/>
      </w:pPr>
      <w:r>
        <w:rPr>
          <w:rFonts w:ascii="Times New Roman" w:hAnsi="Times New Roman"/>
          <w:b w:val="0"/>
          <w:color w:val="000000"/>
          <w:sz w:val="22"/>
        </w:rPr>
        <w:t xml:space="preserve">Not applicable.</w:t>
      </w:r>
    </w:p>
    <w:bookmarkEnd w:id="46"/>
    <w:bookmarkStart w:id="47" w:name="competing-interests"/>
    <w:p>
      <w:pPr>
        <w:pStyle w:val="Heading3"/>
        <w:spacing w:line="480" w:lineRule="auto"/>
      </w:pPr>
      <w:r>
        <w:rPr>
          <w:rFonts w:ascii="Times New Roman" w:hAnsi="Times New Roman"/>
          <w:b/>
          <w:color w:val="000000"/>
          <w:sz w:val="22"/>
        </w:rPr>
        <w:t xml:space="preserve">Competing interests</w:t>
      </w:r>
    </w:p>
    <w:p>
      <w:pPr>
        <w:pStyle w:val="FirstParagraph"/>
        <w:spacing w:line="480" w:lineRule="auto"/>
      </w:pPr>
      <w:r>
        <w:rPr>
          <w:rFonts w:ascii="Times New Roman" w:hAnsi="Times New Roman"/>
          <w:b w:val="0"/>
          <w:color w:val="000000"/>
          <w:sz w:val="22"/>
        </w:rPr>
        <w:t xml:space="preserve">The authors declare that they have no competing interests.</w:t>
      </w:r>
    </w:p>
    <w:bookmarkEnd w:id="47"/>
    <w:bookmarkStart w:id="48" w:name="funding"/>
    <w:p>
      <w:pPr>
        <w:pStyle w:val="Heading3"/>
        <w:spacing w:line="480" w:lineRule="auto"/>
      </w:pPr>
      <w:r>
        <w:rPr>
          <w:rFonts w:ascii="Times New Roman" w:hAnsi="Times New Roman"/>
          <w:b/>
          <w:color w:val="000000"/>
          <w:sz w:val="22"/>
        </w:rPr>
        <w:t xml:space="preserve">Funding</w:t>
      </w:r>
    </w:p>
    <w:p>
      <w:pPr>
        <w:pStyle w:val="FirstParagraph"/>
        <w:spacing w:line="48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48"/>
    <w:bookmarkStart w:id="49" w:name="authors-contributions"/>
    <w:p>
      <w:pPr>
        <w:pStyle w:val="Heading3"/>
        <w:spacing w:line="480" w:lineRule="auto"/>
      </w:pPr>
      <w:r>
        <w:rPr>
          <w:rFonts w:ascii="Times New Roman" w:hAnsi="Times New Roman"/>
          <w:b/>
          <w:color w:val="000000"/>
          <w:sz w:val="22"/>
        </w:rPr>
        <w:t xml:space="preserve">Authors’ contributions</w:t>
      </w:r>
    </w:p>
    <w:p>
      <w:pPr>
        <w:pStyle w:val="FirstParagraph"/>
        <w:spacing w:line="480" w:lineRule="auto"/>
      </w:pPr>
      <w:r>
        <w:rPr>
          <w:rFonts w:ascii="Times New Roman" w:hAnsi="Times New Roman"/>
          <w:b w:val="0"/>
          <w:color w:val="000000"/>
          <w:sz w:val="22"/>
        </w:rPr>
        <w:t xml:space="preserve">Y.H.: Writing – original draft, Visualization, Software, Methodology, Investigation, Formal analysis, Data curation, Conceptualization. Y.L.: Methodology, Data curation, Formal analysis, Writing – review &amp; editing. X.L.: Data curation, Investigation, Writing – review &amp; editing. X.W.: Writing – review &amp; editing, Supervision, Conceptualization. J.W.: Writing – review &amp; editing, Supervision, Project administration, Methodology, Conceptualization. All authors have read and approved the final version of the manuscript.</w:t>
      </w:r>
    </w:p>
    <w:bookmarkEnd w:id="49"/>
    <w:bookmarkStart w:id="50" w:name="acknowledgements"/>
    <w:p>
      <w:pPr>
        <w:pStyle w:val="Heading3"/>
        <w:spacing w:line="480" w:lineRule="auto"/>
      </w:pPr>
      <w:r>
        <w:rPr>
          <w:rFonts w:ascii="Times New Roman" w:hAnsi="Times New Roman"/>
          <w:b/>
          <w:color w:val="000000"/>
          <w:sz w:val="22"/>
        </w:rPr>
        <w:t xml:space="preserve">Acknowledgements</w:t>
      </w:r>
    </w:p>
    <w:p>
      <w:pPr>
        <w:pStyle w:val="FirstParagraph"/>
        <w:spacing w:line="48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50"/>
    <w:bookmarkEnd w:id="51"/>
    <w:bookmarkStart w:id="52" w:name="additional-files"/>
    <w:p>
      <w:pPr>
        <w:pStyle w:val="Heading2"/>
        <w:spacing w:line="480" w:lineRule="auto"/>
      </w:pPr>
      <w:r>
        <w:rPr>
          <w:rFonts w:ascii="Times New Roman" w:hAnsi="Times New Roman"/>
          <w:b/>
          <w:color w:val="000000"/>
          <w:sz w:val="22"/>
        </w:rPr>
        <w:t xml:space="preserve">Additional files</w:t>
      </w:r>
    </w:p>
    <w:p>
      <w:pPr>
        <w:pStyle w:val="FirstParagraph"/>
        <w:spacing w:line="480" w:lineRule="auto"/>
      </w:pPr>
      <w:r>
        <w:rPr>
          <w:rFonts w:ascii="Times New Roman" w:hAnsi="Times New Roman"/>
          <w:b w:val="0"/>
          <w:bCs/>
          <w:color w:val="000000"/>
          <w:sz w:val="22"/>
        </w:rPr>
        <w:t xml:space="preserve">Additional file 1: Figure S1.</w:t>
      </w:r>
      <w:r>
        <w:rPr>
          <w:rFonts w:ascii="Times New Roman" w:hAnsi="Times New Roman"/>
          <w:b w:val="0"/>
          <w:color w:val="000000"/>
          <w:sz w:val="22"/>
        </w:rPr>
        <w:t xml:space="preserve"> </w:t>
      </w:r>
      <w:r>
        <w:rPr>
          <w:rFonts w:ascii="Times New Roman" w:hAnsi="Times New Roman"/>
          <w:b w:val="0"/>
          <w:color w:val="000000"/>
          <w:sz w:val="22"/>
        </w:rPr>
        <w:t xml:space="preserve">Green module hub gene identification. Module Membership vs. Gene Significance scatter plot for the HF green module (227 genes). Hub genes (red) satisfy |GS| &gt; 0.2 and |MM| &gt; 0.8 (dual criteria). (PNG)</w:t>
      </w:r>
    </w:p>
    <w:p>
      <w:pPr>
        <w:pStyle w:val="BodyText"/>
        <w:spacing w:line="480" w:lineRule="auto"/>
      </w:pPr>
      <w:r>
        <w:rPr>
          <w:rFonts w:ascii="Times New Roman" w:hAnsi="Times New Roman"/>
          <w:b w:val="0"/>
          <w:bCs/>
          <w:color w:val="000000"/>
          <w:sz w:val="22"/>
        </w:rPr>
        <w:t xml:space="preserve">Additional file 2: Figure S2.</w:t>
      </w:r>
      <w:r>
        <w:rPr>
          <w:rFonts w:ascii="Times New Roman" w:hAnsi="Times New Roman"/>
          <w:b w:val="0"/>
          <w:color w:val="000000"/>
          <w:sz w:val="22"/>
        </w:rPr>
        <w:t xml:space="preserve"> </w:t>
      </w:r>
      <w:r>
        <w:rPr>
          <w:rFonts w:ascii="Times New Roman" w:hAnsi="Times New Roman"/>
          <w:b w:val="0"/>
          <w:color w:val="000000"/>
          <w:sz w:val="22"/>
        </w:rPr>
        <w:t xml:space="preserve">TATS exploratory survival analysis by etiology subgroup. Kaplan–Meier overall survival curves for TATS (median split) in GSE141198 stratified by HBV, HCV, and NBNC etiology subgroups. (PNG)</w:t>
      </w:r>
    </w:p>
    <w:p>
      <w:pPr>
        <w:pStyle w:val="BodyText"/>
        <w:spacing w:line="480" w:lineRule="auto"/>
      </w:pPr>
      <w:r>
        <w:rPr>
          <w:rFonts w:ascii="Times New Roman" w:hAnsi="Times New Roman"/>
          <w:b w:val="0"/>
          <w:bCs/>
          <w:color w:val="000000"/>
          <w:sz w:val="22"/>
        </w:rPr>
        <w:t xml:space="preserve">Additional file 3: Figure S3.</w:t>
      </w:r>
      <w:r>
        <w:rPr>
          <w:rFonts w:ascii="Times New Roman" w:hAnsi="Times New Roman"/>
          <w:b w:val="0"/>
          <w:color w:val="000000"/>
          <w:sz w:val="22"/>
        </w:rPr>
        <w:t xml:space="preserve"> </w:t>
      </w:r>
      <w:r>
        <w:rPr>
          <w:rFonts w:ascii="Times New Roman" w:hAnsi="Times New Roman"/>
          <w:b w:val="0"/>
          <w:color w:val="000000"/>
          <w:sz w:val="22"/>
        </w:rPr>
        <w:t xml:space="preserve">Soft threshold selection for WGCNA. 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 (PNG)</w:t>
      </w:r>
    </w:p>
    <w:p>
      <w:pPr>
        <w:pStyle w:val="BodyText"/>
        <w:spacing w:line="480" w:lineRule="auto"/>
      </w:pPr>
      <w:r>
        <w:rPr>
          <w:rFonts w:ascii="Times New Roman" w:hAnsi="Times New Roman"/>
          <w:b w:val="0"/>
          <w:bCs/>
          <w:color w:val="000000"/>
          <w:sz w:val="22"/>
        </w:rPr>
        <w:t xml:space="preserve">Additional file 4: Figure S4.</w:t>
      </w:r>
      <w:r>
        <w:rPr>
          <w:rFonts w:ascii="Times New Roman" w:hAnsi="Times New Roman"/>
          <w:b w:val="0"/>
          <w:color w:val="000000"/>
          <w:sz w:val="22"/>
        </w:rPr>
        <w:t xml:space="preserve"> </w:t>
      </w:r>
      <w:r>
        <w:rPr>
          <w:rFonts w:ascii="Times New Roman" w:hAnsi="Times New Roman"/>
          <w:b w:val="0"/>
          <w:color w:val="000000"/>
          <w:sz w:val="22"/>
        </w:rPr>
        <w:t xml:space="preserve">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 (PNG)</w:t>
      </w:r>
    </w:p>
    <w:p>
      <w:pPr>
        <w:pStyle w:val="BodyText"/>
        <w:spacing w:line="480" w:lineRule="auto"/>
      </w:pPr>
      <w:r>
        <w:rPr>
          <w:rFonts w:ascii="Times New Roman" w:hAnsi="Times New Roman"/>
          <w:b w:val="0"/>
          <w:bCs/>
          <w:color w:val="000000"/>
          <w:sz w:val="22"/>
        </w:rPr>
        <w:t xml:space="preserve">Additional file 5: Table S1.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 (CSV)</w:t>
      </w:r>
    </w:p>
    <w:p>
      <w:pPr>
        <w:pStyle w:val="BodyText"/>
        <w:spacing w:line="480" w:lineRule="auto"/>
      </w:pPr>
      <w:r>
        <w:rPr>
          <w:rFonts w:ascii="Times New Roman" w:hAnsi="Times New Roman"/>
          <w:b w:val="0"/>
          <w:bCs/>
          <w:color w:val="000000"/>
          <w:sz w:val="22"/>
        </w:rPr>
        <w:t xml:space="preserve">Additional file 6: Table S2.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 (CSV)</w:t>
      </w:r>
    </w:p>
    <w:p>
      <w:pPr>
        <w:pStyle w:val="BodyText"/>
        <w:spacing w:line="480" w:lineRule="auto"/>
      </w:pPr>
      <w:r>
        <w:rPr>
          <w:rFonts w:ascii="Times New Roman" w:hAnsi="Times New Roman"/>
          <w:b w:val="0"/>
          <w:bCs/>
          <w:color w:val="000000"/>
          <w:sz w:val="22"/>
        </w:rPr>
        <w:t xml:space="preserve">Additional file 7: Table S3.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 (CSV)</w:t>
      </w:r>
    </w:p>
    <w:p>
      <w:pPr>
        <w:pStyle w:val="BodyText"/>
        <w:spacing w:line="480" w:lineRule="auto"/>
      </w:pPr>
      <w:r>
        <w:rPr>
          <w:rFonts w:ascii="Times New Roman" w:hAnsi="Times New Roman"/>
          <w:b w:val="0"/>
          <w:bCs/>
          <w:color w:val="000000"/>
          <w:sz w:val="22"/>
        </w:rPr>
        <w:t xml:space="preserve">Additional file 8: Table S4.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 (CSV)</w:t>
      </w:r>
    </w:p>
    <w:p>
      <w:pPr>
        <w:pStyle w:val="BodyText"/>
        <w:spacing w:line="480" w:lineRule="auto"/>
      </w:pPr>
      <w:r>
        <w:rPr>
          <w:rFonts w:ascii="Times New Roman" w:hAnsi="Times New Roman"/>
          <w:b w:val="0"/>
          <w:bCs/>
          <w:color w:val="000000"/>
          <w:sz w:val="22"/>
        </w:rPr>
        <w:t xml:space="preserve">Additional file 9: Table S5.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 (CSV)</w:t>
      </w:r>
    </w:p>
    <w:p>
      <w:pPr>
        <w:pStyle w:val="BodyText"/>
        <w:spacing w:line="480" w:lineRule="auto"/>
      </w:pPr>
      <w:r>
        <w:rPr>
          <w:rFonts w:ascii="Times New Roman" w:hAnsi="Times New Roman"/>
          <w:b w:val="0"/>
          <w:bCs/>
          <w:color w:val="000000"/>
          <w:sz w:val="22"/>
        </w:rPr>
        <w:t xml:space="preserve">Additional file 10: Table S6.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 (CSV)</w:t>
      </w:r>
    </w:p>
    <w:p>
      <w:pPr>
        <w:pStyle w:val="BodyText"/>
        <w:spacing w:line="480" w:lineRule="auto"/>
      </w:pPr>
      <w:r>
        <w:rPr>
          <w:rFonts w:ascii="Times New Roman" w:hAnsi="Times New Roman"/>
          <w:b w:val="0"/>
          <w:bCs/>
          <w:color w:val="000000"/>
          <w:sz w:val="22"/>
        </w:rPr>
        <w:t xml:space="preserve">Additional file 11: Table S7.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 (CSV)</w:t>
      </w:r>
    </w:p>
    <w:bookmarkEnd w:id="52"/>
    <w:bookmarkEnd w:id="53"/>
    <w:sectPr>
      <w:footnotePr>
        <w:numRestart w:val="eachSect"/>
      </w:footnotePr>
      <w:pgSz w:w="11906" w:h="16838"/>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48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48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48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7" Type="http://schemas.openxmlformats.org/officeDocument/2006/relationships/image" Target="media/rId17.png"/><Relationship Id="rId21" Type="http://schemas.openxmlformats.org/officeDocument/2006/relationships/image" Target="media/rId21.png"/><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2026-08-05T15:30:00Z</dcterms:created>
  <dcterms:modified xsi:type="dcterms:W3CDTF">2026-08-05T15:30:00Z</dcterms:modified>
</cp:coreProperties>
</file>

<file path=docProps/custom.xml><?xml version="1.0" encoding="utf-8"?>
<Properties xmlns="http://schemas.openxmlformats.org/officeDocument/2006/custom-properties" xmlns:vt="http://schemas.openxmlformats.org/officeDocument/2006/docPropsVTypes"/>
</file>