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7e632deee82885000183a08fb9981d79ab05263"/>
    <w:p>
      <w:pPr>
        <w:pStyle w:val="Heading1"/>
      </w:pPr>
      <w:r>
        <w:t xml:space="preserve">Cover Letter — BBA Molecular Basis of Disease</w:t>
      </w:r>
    </w:p>
    <w:p>
      <w:pPr>
        <w:pStyle w:val="FirstParagraph"/>
      </w:pPr>
      <w:r>
        <w:rPr>
          <w:b/>
          <w:bCs/>
        </w:rPr>
        <w:t xml:space="preserve">Date:</w:t>
      </w:r>
      <w:r>
        <w:t xml:space="preserve"> </w:t>
      </w:r>
      <w:r>
        <w:t xml:space="preserve">August 6, 2026</w:t>
      </w:r>
    </w:p>
    <w:p>
      <w:pPr>
        <w:pStyle w:val="BodyText"/>
      </w:pPr>
      <w:r>
        <w:rPr>
          <w:b/>
          <w:bCs/>
        </w:rPr>
        <w:t xml:space="preserve">To:</w:t>
      </w:r>
      <w:r>
        <w:t xml:space="preserve"> </w:t>
      </w:r>
      <w:r>
        <w:t xml:space="preserve">Editor-in-Chief, BBA – Molecular Basis of Disease</w:t>
      </w:r>
    </w:p>
    <w:p>
      <w:r>
        <w:pict>
          <v:rect style="width:0;height:1.5pt" o:hralign="center" o:hrstd="t" o:hr="t"/>
        </w:pict>
      </w:r>
    </w:p>
    <w:p>
      <w:pPr>
        <w:pStyle w:val="FirstParagraph"/>
      </w:pPr>
      <w:r>
        <w:t xml:space="preserve">Dear Editor,</w:t>
      </w:r>
    </w:p>
    <w:p>
      <w:pPr>
        <w:pStyle w:val="BodyText"/>
      </w:pPr>
      <w:r>
        <w:t xml:space="preserve">We are pleased to submit our manuscript entitled</w:t>
      </w:r>
      <w:r>
        <w:t xml:space="preserve"> </w:t>
      </w:r>
      <w:r>
        <w:rPr>
          <w:b/>
          <w:bCs/>
        </w:rPr>
        <w:t xml:space="preserve">“Distinct networks drive mirror perturbation of translation-related transcription in heart failure and hepatocellular carcinoma”</w:t>
      </w:r>
      <w:r>
        <w:t xml:space="preserve"> </w:t>
      </w:r>
      <w:r>
        <w:t xml:space="preserve">for consideration for publication in BBA – Molecular Basis of Disease.</w:t>
      </w:r>
    </w:p>
    <w:bookmarkStart w:id="9" w:name="summary-of-the-study"/>
    <w:p>
      <w:pPr>
        <w:pStyle w:val="Heading2"/>
      </w:pPr>
      <w:r>
        <w:t xml:space="preserve">Summary of the Study</w:t>
      </w:r>
    </w:p>
    <w:p>
      <w:pPr>
        <w:pStyle w:val="FirstParagraph"/>
      </w:pPr>
      <w:r>
        <w:t xml:space="preserve">Heart failure (HF) and hepatocellular carcinoma (HCC) appear clinically divergent — one a chronic degenerative condition of the energy-depleted myocardium, the other an aggressive malignancy — yet both exhibit profound dysregulation of translation, the most energetically expensive step of gene expression, in opposite directions (suppression in HF, activation in HCC). Whether these opposite perturbations reflect a conserved transcriptional program or disease-specific programs converging on shared functional themes has remained unresolved.</w:t>
      </w:r>
    </w:p>
    <w:p>
      <w:pPr>
        <w:pStyle w:val="BodyText"/>
      </w:pPr>
      <w:r>
        <w:t xml:space="preserve">We addressed this question using an integrative cross-disease comparative transcriptomics framework. Applying identical computational pipelines to independent HF (GSE57338,</w:t>
      </w:r>
      <w:r>
        <w:t xml:space="preserve"> </w:t>
      </w:r>
      <w:r>
        <w:rPr>
          <w:i/>
          <w:iCs/>
        </w:rPr>
        <w:t xml:space="preserve">n</w:t>
      </w:r>
      <w:r>
        <w:t xml:space="preserve"> </w:t>
      </w:r>
      <w:r>
        <w:t xml:space="preserve">= 313) and HCC (GSE141198,</w:t>
      </w:r>
      <w:r>
        <w:t xml:space="preserve"> </w:t>
      </w:r>
      <w:r>
        <w:rPr>
          <w:i/>
          <w:iCs/>
        </w:rPr>
        <w:t xml:space="preserve">n</w:t>
      </w:r>
      <w:r>
        <w:t xml:space="preserve"> </w:t>
      </w:r>
      <w:r>
        <w:t xml:space="preserve">= 148; TCGA-LIHC,</w:t>
      </w:r>
      <w:r>
        <w:t xml:space="preserve"> </w:t>
      </w:r>
      <w:r>
        <w:rPr>
          <w:i/>
          <w:iCs/>
        </w:rPr>
        <w:t xml:space="preserve">n</w:t>
      </w:r>
      <w:r>
        <w:t xml:space="preserve"> </w:t>
      </w:r>
      <w:r>
        <w:t xml:space="preserve">= 421) cohorts, we found:</w:t>
      </w:r>
    </w:p>
    <w:p>
      <w:pPr>
        <w:numPr>
          <w:ilvl w:val="0"/>
          <w:numId w:val="1001"/>
        </w:numPr>
      </w:pPr>
      <w:r>
        <w:rPr>
          <w:b/>
          <w:bCs/>
        </w:rPr>
        <w:t xml:space="preserve">Disease-specific network organization.</w:t>
      </w:r>
      <w:r>
        <w:t xml:space="preserve"> </w:t>
      </w:r>
      <w:r>
        <w:t xml:space="preserve">WGCNA identified translation-related co-expression modules in both diseases — the green module in HF (227 genes, enriched for ribosome biogenesis) and the blue module in HCC (1,315 genes, enriched for cytoplasmic translation) — but with limited gene-level overlap (62/227 genes; Fisher’s OR = 1.7,</w:t>
      </w:r>
      <w:r>
        <w:t xml:space="preserve"> </w:t>
      </w:r>
      <w:r>
        <w:rPr>
          <w:i/>
          <w:iCs/>
        </w:rPr>
        <w:t xml:space="preserve">P</w:t>
      </w:r>
      <w:r>
        <w:t xml:space="preserve"> </w:t>
      </w:r>
      <w:r>
        <w:t xml:space="preserve">= 0.039), indicating disease-context-dependent network configurations rather than module conservation.</w:t>
      </w:r>
    </w:p>
    <w:p>
      <w:pPr>
        <w:numPr>
          <w:ilvl w:val="0"/>
          <w:numId w:val="1001"/>
        </w:numPr>
      </w:pPr>
      <w:r>
        <w:rPr>
          <w:b/>
          <w:bCs/>
        </w:rPr>
        <w:t xml:space="preserve">Mirror perturbation at the pathway level.</w:t>
      </w:r>
      <w:r>
        <w:t xml:space="preserve"> </w:t>
      </w:r>
      <w:r>
        <w:t xml:space="preserve">Cross-disease ssGSEA of 81 pathways revealed a strong negative correlation in translation-related pathway effect sizes (Spearman ρ = −0.598,</w:t>
      </w:r>
      <w:r>
        <w:t xml:space="preserve"> </w:t>
      </w:r>
      <w:r>
        <w:rPr>
          <w:i/>
          <w:iCs/>
        </w:rPr>
        <w:t xml:space="preserve">P</w:t>
      </w:r>
      <w:r>
        <w:t xml:space="preserve"> </w:t>
      </w:r>
      <w:r>
        <w:t xml:space="preserve">= 0.0003; permutation</w:t>
      </w:r>
      <w:r>
        <w:t xml:space="preserve"> </w:t>
      </w:r>
      <w:r>
        <w:rPr>
          <w:i/>
          <w:iCs/>
        </w:rPr>
        <w:t xml:space="preserve">P</w:t>
      </w:r>
      <w:r>
        <w:t xml:space="preserve"> </w:t>
      </w:r>
      <w:r>
        <w:t xml:space="preserve">= 0.0079). Twenty-four of 33 translation-related pathways were upregulated in HCC and downregulated in HF, representing a predominant mirror-direction pattern.</w:t>
      </w:r>
    </w:p>
    <w:p>
      <w:pPr>
        <w:numPr>
          <w:ilvl w:val="0"/>
          <w:numId w:val="1001"/>
        </w:numPr>
      </w:pPr>
      <w:r>
        <w:rPr>
          <w:b/>
          <w:bCs/>
        </w:rPr>
        <w:t xml:space="preserve">Disease-context dependence.</w:t>
      </w:r>
      <w:r>
        <w:t xml:space="preserve"> </w:t>
      </w:r>
      <w:r>
        <w:t xml:space="preserve">The mirror perturbation was absent in same-organ disease controls (hypertrophic cardiomyopathy, ρ = −0.036; cirrhosis, ρ = +0.402), excluding a generic organ- or disease-level effect, and showed cohort-dependent variability in an independent HF cohort (GSE116250), indicating that the magnitude of remodeling depends on disease context.</w:t>
      </w:r>
    </w:p>
    <w:p>
      <w:pPr>
        <w:numPr>
          <w:ilvl w:val="0"/>
          <w:numId w:val="1001"/>
        </w:numPr>
      </w:pPr>
      <w:r>
        <w:rPr>
          <w:b/>
          <w:bCs/>
        </w:rPr>
        <w:t xml:space="preserve">Regulatory correlates.</w:t>
      </w:r>
      <w:r>
        <w:t xml:space="preserve"> </w:t>
      </w:r>
      <w:r>
        <w:t xml:space="preserve">ATF4, a central transcription factor of the integrated stress response, was the strongest individual TF correlate of the translation-associated transcriptional score (TATS; ρ = +0.500, FDR &lt; 0.0001), while MYC target pathway activity showed the highest pathway-level association (ρ = +0.753,</w:t>
      </w:r>
      <w:r>
        <w:t xml:space="preserve"> </w:t>
      </w:r>
      <w:r>
        <w:rPr>
          <w:i/>
          <w:iCs/>
        </w:rPr>
        <w:t xml:space="preserve">P</w:t>
      </w:r>
      <w:r>
        <w:t xml:space="preserve"> </w:t>
      </w:r>
      <w:r>
        <w:t xml:space="preserve">&lt; 0.0001). De-overlap sensitivity analysis confirmed that the MYC–TATS association was not solely explained by shared gene representation.</w:t>
      </w:r>
    </w:p>
    <w:p>
      <w:pPr>
        <w:pStyle w:val="FirstParagraph"/>
      </w:pPr>
      <w:r>
        <w:t xml:space="preserve">Collectively, these findings support a</w:t>
      </w:r>
      <w:r>
        <w:t xml:space="preserve"> </w:t>
      </w:r>
      <w:r>
        <w:rPr>
          <w:b/>
          <w:bCs/>
        </w:rPr>
        <w:t xml:space="preserve">disease-context-dependent remodeling</w:t>
      </w:r>
      <w:r>
        <w:t xml:space="preserve"> </w:t>
      </w:r>
      <w:r>
        <w:t xml:space="preserve">framework: translation-related transcriptional programs are organized through distinct disease-specific networks yet converge on opposite-direction pathway perturbation — a conceptual principle distinguishing shared functional themes from conserved network architecture.</w:t>
      </w:r>
    </w:p>
    <w:bookmarkEnd w:id="9"/>
    <w:bookmarkStart w:id="10" w:name="X87609bc74b2f3e86f1bfa5aa82b8076e0ac412c"/>
    <w:p>
      <w:pPr>
        <w:pStyle w:val="Heading2"/>
      </w:pPr>
      <w:r>
        <w:t xml:space="preserve">Significance and Fit for BBA – Molecular Basis of Disease</w:t>
      </w:r>
    </w:p>
    <w:p>
      <w:pPr>
        <w:pStyle w:val="FirstParagraph"/>
      </w:pPr>
      <w:r>
        <w:t xml:space="preserve">We believe this manuscript is well-suited for BBA – Molecular Basis of Disease for the following reasons:</w:t>
      </w:r>
    </w:p>
    <w:p>
      <w:pPr>
        <w:numPr>
          <w:ilvl w:val="0"/>
          <w:numId w:val="1002"/>
        </w:numPr>
      </w:pPr>
      <w:r>
        <w:rPr>
          <w:b/>
          <w:bCs/>
        </w:rPr>
        <w:t xml:space="preserve">Molecular mechanism focus.</w:t>
      </w:r>
      <w:r>
        <w:t xml:space="preserve"> </w:t>
      </w:r>
      <w:r>
        <w:t xml:space="preserve">The study identifies specific molecular programs (ATF4/ISR, MYC) that converge on the translational machinery across two major diseases, providing a mechanistic framework consistent with the journal’s emphasis on the molecular basis of human disease processes.</w:t>
      </w:r>
    </w:p>
    <w:p>
      <w:pPr>
        <w:numPr>
          <w:ilvl w:val="0"/>
          <w:numId w:val="1002"/>
        </w:numPr>
      </w:pPr>
      <w:r>
        <w:rPr>
          <w:b/>
          <w:bCs/>
        </w:rPr>
        <w:t xml:space="preserve">Cross-disease perspective.</w:t>
      </w:r>
      <w:r>
        <w:t xml:space="preserve"> </w:t>
      </w:r>
      <w:r>
        <w:t xml:space="preserve">By comparing two diseases with opposing physiological demands within a single analytical framework, we distinguish conserved organizational principles from disease-specific transcriptional responses — an approach that reveals regulatory logic invisible to single-disease analyses.</w:t>
      </w:r>
    </w:p>
    <w:p>
      <w:pPr>
        <w:numPr>
          <w:ilvl w:val="0"/>
          <w:numId w:val="1002"/>
        </w:numPr>
      </w:pPr>
      <w:r>
        <w:rPr>
          <w:b/>
          <w:bCs/>
        </w:rPr>
        <w:t xml:space="preserve">Translational implications.</w:t>
      </w:r>
      <w:r>
        <w:t xml:space="preserve"> </w:t>
      </w:r>
      <w:r>
        <w:t xml:space="preserve">The identification of ATF4/ISR as a stress-responsive regulatory axis and MYC as a proliferative correlate converging on translation points to candidate targetable vulnerabilities with potential therapeutic relevance.</w:t>
      </w:r>
    </w:p>
    <w:p>
      <w:pPr>
        <w:numPr>
          <w:ilvl w:val="0"/>
          <w:numId w:val="1002"/>
        </w:numPr>
      </w:pPr>
      <w:r>
        <w:rPr>
          <w:b/>
          <w:bCs/>
        </w:rPr>
        <w:t xml:space="preserve">Methodological rigor.</w:t>
      </w:r>
      <w:r>
        <w:t xml:space="preserve"> </w:t>
      </w:r>
      <w:r>
        <w:t xml:space="preserve">All analyses use publicly available clinical transcriptomic data with identical computational pipelines applied across diseases, ensuring full reproducibility. Analysis code is deposited in a public GitHub repository (https://github.com/zxy048/translation-mirror-hf-hcc).</w:t>
      </w:r>
    </w:p>
    <w:bookmarkEnd w:id="10"/>
    <w:bookmarkStart w:id="11" w:name="declarations"/>
    <w:p>
      <w:pPr>
        <w:pStyle w:val="Heading2"/>
      </w:pPr>
      <w:r>
        <w:t xml:space="preserve">Declarations</w:t>
      </w:r>
    </w:p>
    <w:p>
      <w:pPr>
        <w:pStyle w:val="Compact"/>
        <w:numPr>
          <w:ilvl w:val="0"/>
          <w:numId w:val="1003"/>
        </w:numPr>
      </w:pPr>
      <w:r>
        <w:t xml:space="preserve">This manuscript has not been published previously and is not under consideration elsewhere.</w:t>
      </w:r>
    </w:p>
    <w:p>
      <w:pPr>
        <w:pStyle w:val="Compact"/>
        <w:numPr>
          <w:ilvl w:val="0"/>
          <w:numId w:val="1003"/>
        </w:numPr>
      </w:pPr>
      <w:r>
        <w:t xml:space="preserve">All authors have approved the manuscript and agree with its submission to BBA – Molecular Basis of Disease.</w:t>
      </w:r>
    </w:p>
    <w:p>
      <w:pPr>
        <w:pStyle w:val="Compact"/>
        <w:numPr>
          <w:ilvl w:val="0"/>
          <w:numId w:val="1003"/>
        </w:numPr>
      </w:pPr>
      <w:r>
        <w:t xml:space="preserve">The authors declare no competing interests.</w:t>
      </w:r>
    </w:p>
    <w:p>
      <w:pPr>
        <w:pStyle w:val="Compact"/>
        <w:numPr>
          <w:ilvl w:val="0"/>
          <w:numId w:val="1003"/>
        </w:numPr>
      </w:pPr>
      <w:r>
        <w:t xml:space="preserve">All datasets used are publicly available: GSE57338, GSE141198, GSE14520, GSE76427, GSE116250, GSE141910, and GSE89377 from GEO (https://www.ncbi.nlm.nih.gov/geo/); TCGA-LIHC from the GDC Data Portal (https://portal.gdc.cancer.gov/).</w:t>
      </w:r>
    </w:p>
    <w:p>
      <w:pPr>
        <w:pStyle w:val="Compact"/>
        <w:numPr>
          <w:ilvl w:val="0"/>
          <w:numId w:val="1003"/>
        </w:numPr>
      </w:pPr>
      <w:r>
        <w:t xml:space="preserve">Analysis code is publicly available at https://github.com/zxy048/translation-mirror-hf-hcc.</w:t>
      </w:r>
    </w:p>
    <w:bookmarkEnd w:id="11"/>
    <w:bookmarkStart w:id="12" w:name="author-information"/>
    <w:p>
      <w:pPr>
        <w:pStyle w:val="Heading2"/>
      </w:pPr>
      <w:r>
        <w:t xml:space="preserve">Author Information</w:t>
      </w:r>
    </w:p>
    <w:p>
      <w:pPr>
        <w:pStyle w:val="FirstParagraph"/>
      </w:pPr>
      <w:r>
        <w:t xml:space="preserve">Yuhe Hong</w:t>
      </w:r>
      <w:r>
        <w:t xml:space="preserve">1</w:t>
      </w:r>
      <w:r>
        <w:t xml:space="preserve"> </w:t>
      </w:r>
      <w:r>
        <w:t xml:space="preserve">(ORCID: 0009-0008-5028-0035; yuhe994@163.com), Yili Liu</w:t>
      </w:r>
      <w:r>
        <w:t xml:space="preserve">1</w:t>
      </w:r>
      <w:r>
        <w:t xml:space="preserve"> </w:t>
      </w:r>
      <w:r>
        <w:t xml:space="preserve">(yili20000612@163.com), Xianqi Li</w:t>
      </w:r>
      <w:r>
        <w:t xml:space="preserve">1</w:t>
      </w:r>
      <w:r>
        <w:t xml:space="preserve"> </w:t>
      </w:r>
      <w:r>
        <w:t xml:space="preserve">(l2840655442@163.com), Xin Wu</w:t>
      </w:r>
      <w:r>
        <w:t xml:space="preserve">2#</w:t>
      </w:r>
      <w:r>
        <w:t xml:space="preserve"> </w:t>
      </w:r>
      <w:r>
        <w:t xml:space="preserve">(wuxin0220@aliyun.com), Junhong Wang</w:t>
      </w:r>
      <w:r>
        <w:t xml:space="preserve">1,3*</w:t>
      </w:r>
      <w:r>
        <w:t xml:space="preserve"> </w:t>
      </w:r>
      <w:r>
        <w:t xml:space="preserve">(ORCID: 0000-0003-2314-1810)</w:t>
      </w:r>
    </w:p>
    <w:p>
      <w:pPr>
        <w:pStyle w:val="BodyText"/>
      </w:pPr>
      <w:r>
        <w:t xml:space="preserve">1</w:t>
      </w:r>
      <w:r>
        <w:t xml:space="preserve"> </w:t>
      </w:r>
      <w:r>
        <w:t xml:space="preserve">Department of Cardiology, The First Affiliated Hospital of Nanjing Medical University, Nanjing, China</w:t>
      </w:r>
    </w:p>
    <w:p>
      <w:pPr>
        <w:pStyle w:val="BodyText"/>
      </w:pPr>
      <w:r>
        <w:t xml:space="preserve">2</w:t>
      </w:r>
      <w:r>
        <w:t xml:space="preserve"> </w:t>
      </w:r>
      <w:r>
        <w:t xml:space="preserve">Department of Reproduction Medicine, The First Affiliated Hospital of Nanjing Medical University, Nanjing, China</w:t>
      </w:r>
    </w:p>
    <w:p>
      <w:pPr>
        <w:pStyle w:val="BodyText"/>
      </w:pPr>
      <w:r>
        <w:t xml:space="preserve">3</w:t>
      </w:r>
      <w:r>
        <w:t xml:space="preserve"> </w:t>
      </w:r>
      <w:r>
        <w:t xml:space="preserve">Department of Cardiology, Liyang People’s Hospital, Liyang, China</w:t>
      </w:r>
    </w:p>
    <w:p>
      <w:pPr>
        <w:pStyle w:val="BodyText"/>
      </w:pPr>
      <w:r>
        <w:t xml:space="preserve">*</w:t>
      </w:r>
      <w:r>
        <w:t xml:space="preserve"> </w:t>
      </w:r>
      <w:r>
        <w:t xml:space="preserve">Lead corresponding author. E-mail: wangjunhong@jsph.org.cn</w:t>
      </w:r>
    </w:p>
    <w:p>
      <w:pPr>
        <w:pStyle w:val="BodyText"/>
      </w:pPr>
      <w:r>
        <w:t xml:space="preserve">#</w:t>
      </w:r>
      <w:r>
        <w:t xml:space="preserve"> </w:t>
      </w:r>
      <w:r>
        <w:t xml:space="preserve">Co-corresponding author. E-mail: wuxin0220@aliyun.com</w:t>
      </w:r>
    </w:p>
    <w:p>
      <w:pPr>
        <w:pStyle w:val="BodyText"/>
      </w:pPr>
      <w:r>
        <w:rPr>
          <w:b/>
          <w:bCs/>
        </w:rPr>
        <w:t xml:space="preserve">Note on corresponding author:</w:t>
      </w:r>
      <w:r>
        <w:t xml:space="preserve"> </w:t>
      </w:r>
      <w:r>
        <w:t xml:space="preserve">Junhong Wang is the lead corresponding author and Xin Wu is the co-corresponding author, as indicated in the manuscript and this cover letter by the asterisk (*) and hash (#) markers. For operational convenience during the submission process, Yuhe Hong (first author) is listed as the corresponding author in the submission system. The manuscript and this cover letter serve as the authoritative record for authorship and correspondence.</w:t>
      </w:r>
    </w:p>
    <w:p>
      <w:r>
        <w:pict>
          <v:rect style="width:0;height:1.5pt" o:hralign="center" o:hrstd="t" o:hr="t"/>
        </w:pict>
      </w:r>
    </w:p>
    <w:p>
      <w:pPr>
        <w:pStyle w:val="FirstParagraph"/>
      </w:pPr>
      <w:r>
        <w:t xml:space="preserve">Thank you for considering our manuscript. We look forward to your response.</w:t>
      </w:r>
    </w:p>
    <w:p>
      <w:pPr>
        <w:pStyle w:val="BodyText"/>
      </w:pPr>
      <w:r>
        <w:t xml:space="preserve">Sincerely,</w:t>
      </w:r>
    </w:p>
    <w:p>
      <w:pPr>
        <w:pStyle w:val="BodyText"/>
      </w:pPr>
      <w:r>
        <w:t xml:space="preserve">Junhong Wang</w:t>
      </w:r>
      <w:r>
        <w:t xml:space="preserve"> </w:t>
      </w:r>
      <w:r>
        <w:t xml:space="preserve">Department of Cardiology, The First Affiliated Hospital of Nanjing Medical University</w:t>
      </w:r>
      <w:r>
        <w:t xml:space="preserve"> </w:t>
      </w:r>
      <w:r>
        <w:t xml:space="preserve">Nanjing, China</w:t>
      </w:r>
      <w:r>
        <w:t xml:space="preserve"> </w:t>
      </w:r>
      <w:r>
        <w:t xml:space="preserve">E-mail: wangjunhong@jsph.org.cn</w:t>
      </w:r>
    </w:p>
    <w:p>
      <w:pPr>
        <w:pStyle w:val="BodyText"/>
      </w:pPr>
      <w:r>
        <w:t xml:space="preserve">On behalf of all authors.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2026-08-12T00:29:00Z</dcterms:created>
  <dcterms:modified xsi:type="dcterms:W3CDTF">2026-08-12T00:29:00Z</dcterms:modified>
</cp:coreProperties>
</file>

<file path=docProps/custom.xml><?xml version="1.0" encoding="utf-8"?>
<Properties xmlns="http://schemas.openxmlformats.org/officeDocument/2006/custom-properties" xmlns:vt="http://schemas.openxmlformats.org/officeDocument/2006/docPropsVTypes"/>
</file>