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rPr>
          <w:b/>
          <w:bCs/>
        </w:rPr>
        <w:t xml:space="preserve">Journal of Translational Medicine</w:t>
      </w:r>
    </w:p>
    <w:p>
      <w:r>
        <w:pict>
          <v:rect style="width:0;height:1.5pt" o:hralign="center" o:hrstd="t" o:hr="t"/>
        </w:pict>
      </w:r>
    </w:p>
    <w:p>
      <w:pPr>
        <w:pStyle w:val="FirstParagraph"/>
      </w:pPr>
      <w:r>
        <w:t xml:space="preserve">Dear Editor,</w:t>
      </w:r>
    </w:p>
    <w:p>
      <w:pPr>
        <w:pStyle w:val="BodyText"/>
      </w:pPr>
      <w:r>
        <w:t xml:space="preserve">We submit for consideration at</w:t>
      </w:r>
      <w:r>
        <w:t xml:space="preserve"> </w:t>
      </w:r>
      <w:r>
        <w:rPr>
          <w:i/>
          <w:iCs/>
        </w:rPr>
        <w:t xml:space="preserve">Journal of Translational Medicine</w:t>
      </w:r>
      <w:r>
        <w:t xml:space="preserve"> </w:t>
      </w:r>
      <w:r>
        <w:t xml:space="preserve">our manuscript entitled</w:t>
      </w:r>
      <w:r>
        <w:t xml:space="preserve"> </w:t>
      </w:r>
      <w:r>
        <w:rPr>
          <w:b/>
          <w:bCs/>
        </w:rPr>
        <w:t xml:space="preserve">“Distinct networks drive mirror perturbation of translation-related transcription in heart failure and hepatocellular carcinoma.”</w:t>
      </w:r>
    </w:p>
    <w:p>
      <w:pPr>
        <w:pStyle w:val="BodyText"/>
      </w:pPr>
      <w:r>
        <w:rPr>
          <w:b/>
          <w:bCs/>
        </w:rPr>
        <w:t xml:space="preserve">Why</w:t>
      </w:r>
      <w:r>
        <w:rPr>
          <w:b/>
          <w:bCs/>
        </w:rPr>
        <w:t xml:space="preserve"> </w:t>
      </w:r>
      <w:r>
        <w:rPr>
          <w:b/>
          <w:bCs/>
          <w:i/>
          <w:iCs/>
        </w:rPr>
        <w:t xml:space="preserve">Journal of Translational Medicine</w:t>
      </w:r>
      <w:r>
        <w:rPr>
          <w:b/>
          <w:bCs/>
        </w:rPr>
        <w:t xml:space="preserve">.</w:t>
      </w:r>
      <w:r>
        <w:t xml:space="preserve"> </w:t>
      </w:r>
      <w:r>
        <w:t xml:space="preserve">Our study exemplifies the translational multi-omics framework that</w:t>
      </w:r>
      <w:r>
        <w:t xml:space="preserve"> </w:t>
      </w:r>
      <w:r>
        <w:rPr>
          <w:i/>
          <w:iCs/>
        </w:rPr>
        <w:t xml:space="preserve">JTM</w:t>
      </w:r>
      <w:r>
        <w:t xml:space="preserve"> </w:t>
      </w:r>
      <w:r>
        <w:t xml:space="preserve">has championed: we integrate transcriptomic co-expression network analysis (WGCNA), pathway activity scoring (ssGSEA), and transcription factor association analysis across two major diseases — heart failure and hepatocellular carcinoma — using identical computational pipelines across multiple independent cohorts. The central finding — that translation-related transcriptional programs exhibit disease-specific network organization yet converge on opposite-direction pathway perturbation — is not merely a cross-disease observation but a framework with translational implications: it identifies ATF4/ISR (stress-responsive) and MYC (proliferative) as complementary regulatory dimensions that may inform future therapeutic strategies targeting translational dysregulation. The multi-resolution analytical approach (network → pathway → clinical association → regulatory correlate) aligns with</w:t>
      </w:r>
      <w:r>
        <w:t xml:space="preserve"> </w:t>
      </w:r>
      <w:r>
        <w:rPr>
          <w:i/>
          <w:iCs/>
        </w:rPr>
        <w:t xml:space="preserve">JTM</w:t>
      </w:r>
      <w:r>
        <w:t xml:space="preserve">’s emphasis on computationally rigorous translational research that bridges bench and bedside. No new experimental data were generated; our contribution lies in the systematic re-analysis and integration of publicly available clinical transcriptomic datasets to derive insights not apparent from single-disease studies.</w:t>
      </w:r>
    </w:p>
    <w:p>
      <w:pPr>
        <w:pStyle w:val="BodyText"/>
      </w:pPr>
      <w:r>
        <w:rPr>
          <w:b/>
          <w:bCs/>
        </w:rPr>
        <w:t xml:space="preserve">Importance and novelty.</w:t>
      </w:r>
      <w:r>
        <w:t xml:space="preserve"> </w:t>
      </w:r>
      <w:r>
        <w:t xml:space="preserve">Heart failure and cancer are conventionally studied in separate disciplinary silos, yet both exhibit profound dysregulation of translation — the most energetically expensive step of gene expression — in opposite directions (suppression in the failing heart, activation in the proliferating tumor). Whether these opposite perturbations reflect a conserved transcriptional program or disease-specific programs converging on shared functional themes has remained unknown. Using identical computational pipelines across multiple independent cohorts, we report: (1) translation-related modules exhibit disease-specific co-expression network organization with limited gene-level overlap (62/227 genes; Fisher’s OR = 1.7,</w:t>
      </w:r>
      <w:r>
        <w:t xml:space="preserve"> </w:t>
      </w:r>
      <w:r>
        <w:rPr>
          <w:i/>
          <w:iCs/>
        </w:rPr>
        <w:t xml:space="preserve">P</w:t>
      </w:r>
      <w:r>
        <w:t xml:space="preserve"> </w:t>
      </w:r>
      <w:r>
        <w:t xml:space="preserve">= 0.039); (2) despite this network divergence, 24 of 33 translation-related pathways show convergent mirror perturbation at the pathway level (Spearman ρ = −0.598,</w:t>
      </w:r>
      <w:r>
        <w:t xml:space="preserve"> </w:t>
      </w:r>
      <w:r>
        <w:rPr>
          <w:i/>
          <w:iCs/>
        </w:rPr>
        <w:t xml:space="preserve">P</w:t>
      </w:r>
      <w:r>
        <w:t xml:space="preserve"> </w:t>
      </w:r>
      <w:r>
        <w:t xml:space="preserve">= 0.0003); and (3) this mirror pattern is absent in same-organ disease controls (hypertrophic cardiomyopathy, ρ = −0.036; cirrhosis, ρ = +0.402), supporting disease-context dependence rather than organ-specific confounding. We introduce the framework of</w:t>
      </w:r>
      <w:r>
        <w:t xml:space="preserve"> </w:t>
      </w:r>
      <w:r>
        <w:rPr>
          <w:b/>
          <w:bCs/>
        </w:rPr>
        <w:t xml:space="preserve">disease-context-dependent remodeling</w:t>
      </w:r>
      <w:r>
        <w:t xml:space="preserve"> </w:t>
      </w:r>
      <w:r>
        <w:t xml:space="preserve">— shared functional themes emerging through distinct network configurations with opposite perturbation directions — and identify ATF4/ISR and MYC as complementary regulatory dimensions associated with translation-related remodeling.</w:t>
      </w:r>
    </w:p>
    <w:p>
      <w:pPr>
        <w:pStyle w:val="BodyText"/>
      </w:pPr>
      <w:r>
        <w:rPr>
          <w:b/>
          <w:bCs/>
        </w:rPr>
        <w:t xml:space="preserve">Disclosures.</w:t>
      </w:r>
      <w:r>
        <w:t xml:space="preserve"> </w:t>
      </w:r>
      <w:r>
        <w:t xml:space="preserve">None of the authors have related manuscripts under consideration or in press elsewhere. All authors have read and approved the manuscript for submission. The study is not under consideration at any other journal.</w:t>
      </w:r>
    </w:p>
    <w:p>
      <w:pPr>
        <w:pStyle w:val="BodyText"/>
      </w:pPr>
      <w:r>
        <w:rPr>
          <w:b/>
          <w:bCs/>
        </w:rPr>
        <w:t xml:space="preserve">Author information.</w:t>
      </w:r>
    </w:p>
    <w:p>
      <w:pPr>
        <w:pStyle w:val="BodyText"/>
      </w:pPr>
      <w:r>
        <w:t xml:space="preserve">Yuhe Hong</w:t>
      </w:r>
      <w:r>
        <w:t xml:space="preserve">1</w:t>
      </w:r>
      <w:r>
        <w:t xml:space="preserve"> </w:t>
      </w:r>
      <w:r>
        <w:t xml:space="preserve">(ORCID: 0009-0008-5028-0035; yuhe994@163.com), Yili Liu</w:t>
      </w:r>
      <w:r>
        <w:t xml:space="preserve">1</w:t>
      </w:r>
      <w:r>
        <w:t xml:space="preserve"> </w:t>
      </w:r>
      <w:r>
        <w:t xml:space="preserve">(yili20000612@163.com), Xianqi Li</w:t>
      </w:r>
      <w:r>
        <w:t xml:space="preserve">1</w:t>
      </w:r>
      <w:r>
        <w:t xml:space="preserve"> </w:t>
      </w:r>
      <w:r>
        <w:t xml:space="preserve">(l2840655442@163.com), Xin Wu</w:t>
      </w:r>
      <w:r>
        <w:t xml:space="preserve">3#</w:t>
      </w:r>
      <w:r>
        <w:t xml:space="preserve"> </w:t>
      </w:r>
      <w:r>
        <w:t xml:space="preserve">(wuxin0220@aliyun.com), Junhong Wang</w:t>
      </w:r>
      <w:r>
        <w:t xml:space="preserve">1,2*</w:t>
      </w:r>
      <w:r>
        <w:t xml:space="preserve"> </w:t>
      </w:r>
      <w:r>
        <w:t xml:space="preserve">(ORCID: 0000-0003-2314-1810)</w:t>
      </w:r>
    </w:p>
    <w:p>
      <w:pPr>
        <w:pStyle w:val="BodyText"/>
      </w:pPr>
      <w:r>
        <w:t xml:space="preserve">1</w:t>
      </w:r>
      <w:r>
        <w:t xml:space="preserve"> </w:t>
      </w:r>
      <w:r>
        <w:t xml:space="preserve">Department of Cardiology, The First Affiliated Hospital of Nanjing Medical University, Nanjing, China</w:t>
      </w:r>
    </w:p>
    <w:p>
      <w:pPr>
        <w:pStyle w:val="BodyText"/>
      </w:pPr>
      <w:r>
        <w:t xml:space="preserve">2</w:t>
      </w:r>
      <w:r>
        <w:t xml:space="preserve"> </w:t>
      </w:r>
      <w:r>
        <w:t xml:space="preserve">Department of Cardiology, Liyang People’s Hospital, Liyang, China</w:t>
      </w:r>
    </w:p>
    <w:p>
      <w:pPr>
        <w:pStyle w:val="BodyText"/>
      </w:pPr>
      <w:r>
        <w:t xml:space="preserve">3</w:t>
      </w:r>
      <w:r>
        <w:t xml:space="preserve"> </w:t>
      </w:r>
      <w:r>
        <w:t xml:space="preserve">Department of Reproduction Medicine, The First Affiliated Hospital of Nanjing Medical University, Nanjing, China</w:t>
      </w:r>
    </w:p>
    <w:p>
      <w:pPr>
        <w:pStyle w:val="BodyText"/>
      </w:pPr>
      <w:r>
        <w:t xml:space="preserve">*</w:t>
      </w:r>
      <w:r>
        <w:t xml:space="preserve"> </w:t>
      </w:r>
      <w:r>
        <w:t xml:space="preserve">Lead corresponding author. Email: wangjunhong@jsph.org.cn</w:t>
      </w:r>
    </w:p>
    <w:p>
      <w:pPr>
        <w:pStyle w:val="BodyText"/>
      </w:pPr>
      <w:r>
        <w:t xml:space="preserve">#</w:t>
      </w:r>
      <w:r>
        <w:t xml:space="preserve"> </w:t>
      </w:r>
      <w:r>
        <w:t xml:space="preserve">Co-corresponding author. Email: wuxin0220@aliyun.com</w:t>
      </w:r>
    </w:p>
    <w:p>
      <w:pPr>
        <w:pStyle w:val="BodyText"/>
      </w:pPr>
      <w:r>
        <w:rPr>
          <w:b/>
          <w:bCs/>
        </w:rPr>
        <w:t xml:space="preserve">Note on corresponding author:</w:t>
      </w:r>
      <w:r>
        <w:t xml:space="preserve"> </w:t>
      </w:r>
      <w:r>
        <w:t xml:space="preserve">Junhong Wang is the lead corresponding author and Xin Wu is the co-corresponding author, as indicated in the manuscript and this cover letter by the asterisk (*) and hash (#) markers. For operational convenience during the submission process, Yuhe Hong (first author) is listed as the corresponding author in the submission system. The manuscript and this cover letter serve as the authoritative record for authorship and correspondence.</w:t>
      </w:r>
    </w:p>
    <w:p>
      <w:pPr>
        <w:pStyle w:val="BodyText"/>
      </w:pPr>
      <w:r>
        <w:t xml:space="preserve">We appreciate your consideration of our work.</w:t>
      </w:r>
    </w:p>
    <w:p>
      <w:pPr>
        <w:pStyle w:val="BodyText"/>
      </w:pPr>
      <w:r>
        <w:t xml:space="preserve">Sincerely,</w:t>
      </w:r>
    </w:p>
    <w:p>
      <w:pPr>
        <w:pStyle w:val="BodyText"/>
      </w:pPr>
      <w:r>
        <w:t xml:space="preserve">Junhong Wang</w:t>
      </w:r>
      <w:r>
        <w:t xml:space="preserve"> </w:t>
      </w:r>
      <w:r>
        <w:t xml:space="preserve">Department of Cardiology, The First Affiliated Hospital of Nanjing Medical University</w:t>
      </w:r>
      <w:r>
        <w:t xml:space="preserve"> </w:t>
      </w:r>
      <w:r>
        <w:t xml:space="preserve">Nanjing, China</w:t>
      </w:r>
      <w:r>
        <w:t xml:space="preserve"> </w:t>
      </w:r>
      <w:r>
        <w:t xml:space="preserve">Email: wangjunhong@jsph.org.cn</w:t>
      </w:r>
    </w:p>
    <w:p>
      <w:r>
        <w:pict>
          <v:rect style="width:0;height:1.5pt" o:hralign="center" o:hrstd="t" o:hr="t"/>
        </w:pict>
      </w:r>
    </w:p>
    <w:p>
      <w:pPr>
        <w:pStyle w:val="FirstParagraph"/>
      </w:pPr>
      <w:r>
        <w:rPr>
          <w:i/>
          <w:iCs/>
        </w:rPr>
        <w:t xml:space="preserve">On behalf of all authors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2026-08-06T14:59:35Z</dcterms:created>
  <dcterms:modified xsi:type="dcterms:W3CDTF">2026-08-06T14:59:35Z</dcterms:modified>
</cp:coreProperties>
</file>

<file path=docProps/custom.xml><?xml version="1.0" encoding="utf-8"?>
<Properties xmlns="http://schemas.openxmlformats.org/officeDocument/2006/custom-properties" xmlns:vt="http://schemas.openxmlformats.org/officeDocument/2006/docPropsVTypes"/>
</file>