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pPr>
      <w:r>
        <w:rPr>
          <w:rFonts w:ascii="Times New Roman" w:hAnsi="Times New Roman"/>
          <w:sz w:val="22"/>
        </w:rPr>
        <w:t xml:space="preserve">Article</w:t>
      </w:r>
    </w:p>
    <w:bookmarkStart w:id="52" w:name="X2eefefa1a8d5dbb69c6c6115ed26e4b3163d59b"/>
    <w:p>
      <w:pPr>
        <w:pStyle w:val="Heading1"/>
        <w:spacing w:line="360" w:lineRule="auto"/>
      </w:pPr>
      <w:r>
        <w:rPr>
          <w:rFonts w:ascii="Times New Roman" w:hAnsi="Times New Roman"/>
          <w:b/>
          <w:sz w:val="24"/>
        </w:rPr>
        <w:t xml:space="preserve">Distinct networks drive mirror perturbation of translation-related transcription in heart failure and hepatocellular carcinoma</w:t>
      </w:r>
    </w:p>
    <w:p>
      <w:pPr>
        <w:pStyle w:val="FirstParagraph"/>
        <w:spacing w:line="360" w:lineRule="auto"/>
      </w:pPr>
      <w:r>
        <w:rPr>
          <w:rFonts w:ascii="Times New Roman" w:hAnsi="Times New Roman"/>
          <w:i/>
          <w:iCs/>
          <w:sz w:val="22"/>
        </w:rPr>
        <w:t xml:space="preserve">[Author information redacted for double-blind peer review. Full author list, affiliations, and contact details are provided in the Cover Letter.]</w:t>
      </w:r>
    </w:p>
    <w:p>
      <w:pPr>
        <w:spacing w:line="360" w:lineRule="auto"/>
      </w:pPr>
      <w:r>
        <w:rPr>
          <w:rFonts w:ascii="Times New Roman" w:hAnsi="Times New Roman"/>
          <w:sz w:val="22"/>
        </w:rPr>
        <w:pict>
          <v:rect style="width:0;height:1.5pt" o:hralign="center" o:hrstd="t" o:hr="t"/>
        </w:pict>
      </w:r>
    </w:p>
    <w:p>
      <w:pPr>
        <w:pStyle w:val="FirstParagraph"/>
        <w:spacing w:line="360" w:lineRule="auto"/>
      </w:pPr>
      <w:r>
        <w:rPr>
          <w:rFonts w:ascii="Times New Roman" w:hAnsi="Times New Roman"/>
          <w:b/>
          <w:bCs/>
          <w:sz w:val="22"/>
        </w:rPr>
        <w:t xml:space="preserve">Heart failure (HF) and hepatocellular carcinoma (HCC) both exhibit dysregulation of translation-related gene expression, yet whether this reflects shared transcriptional organization or disease-specific remodeling remains unresolved. Here we show that translation-related transcriptional programs in HF and HCC are organized through disease-specific co-expression networks, yet converge on opposite-direction pathway perturbation. Weighted gene co-expression network analysis of HF (GSE57338,</w:t>
      </w:r>
      <w:r>
        <w:rPr>
          <w:rFonts w:ascii="Times New Roman" w:hAnsi="Times New Roman"/>
          <w:b/>
          <w:bCs/>
          <w:sz w:val="22"/>
        </w:rPr>
        <w:t xml:space="preserve"> </w:t>
      </w:r>
      <w:r>
        <w:rPr>
          <w:rFonts w:ascii="Times New Roman" w:hAnsi="Times New Roman"/>
          <w:b/>
          <w:bCs/>
          <w:i/>
          <w:iCs/>
          <w:sz w:val="22"/>
        </w:rPr>
        <w:t xml:space="preserve">n</w:t>
      </w:r>
      <w:r>
        <w:rPr>
          <w:rFonts w:ascii="Times New Roman" w:hAnsi="Times New Roman"/>
          <w:b/>
          <w:bCs/>
          <w:sz w:val="22"/>
        </w:rPr>
        <w:t xml:space="preserve"> </w:t>
      </w:r>
      <w:r>
        <w:rPr>
          <w:rFonts w:ascii="Times New Roman" w:hAnsi="Times New Roman"/>
          <w:b/>
          <w:bCs/>
          <w:sz w:val="22"/>
        </w:rPr>
        <w:t xml:space="preserve">= 313) and HCC (GSE141198,</w:t>
      </w:r>
      <w:r>
        <w:rPr>
          <w:rFonts w:ascii="Times New Roman" w:hAnsi="Times New Roman"/>
          <w:b/>
          <w:bCs/>
          <w:sz w:val="22"/>
        </w:rPr>
        <w:t xml:space="preserve"> </w:t>
      </w:r>
      <w:r>
        <w:rPr>
          <w:rFonts w:ascii="Times New Roman" w:hAnsi="Times New Roman"/>
          <w:b/>
          <w:bCs/>
          <w:i/>
          <w:iCs/>
          <w:sz w:val="22"/>
        </w:rPr>
        <w:t xml:space="preserve">n</w:t>
      </w:r>
      <w:r>
        <w:rPr>
          <w:rFonts w:ascii="Times New Roman" w:hAnsi="Times New Roman"/>
          <w:b/>
          <w:bCs/>
          <w:sz w:val="22"/>
        </w:rPr>
        <w:t xml:space="preserve"> </w:t>
      </w:r>
      <w:r>
        <w:rPr>
          <w:rFonts w:ascii="Times New Roman" w:hAnsi="Times New Roman"/>
          <w:b/>
          <w:bCs/>
          <w:sz w:val="22"/>
        </w:rPr>
        <w:t xml:space="preserve">= 148) transcriptomes identified translation-related modules with limited gene-level overlap (62/227 genes; Fisher’s OR = 1.7,</w:t>
      </w:r>
      <w:r>
        <w:rPr>
          <w:rFonts w:ascii="Times New Roman" w:hAnsi="Times New Roman"/>
          <w:b/>
          <w:bCs/>
          <w:sz w:val="22"/>
        </w:rPr>
        <w:t xml:space="preserve"> </w:t>
      </w:r>
      <w:r>
        <w:rPr>
          <w:rFonts w:ascii="Times New Roman" w:hAnsi="Times New Roman"/>
          <w:b/>
          <w:bCs/>
          <w:i/>
          <w:iCs/>
          <w:sz w:val="22"/>
        </w:rPr>
        <w:t xml:space="preserve">P</w:t>
      </w:r>
      <w:r>
        <w:rPr>
          <w:rFonts w:ascii="Times New Roman" w:hAnsi="Times New Roman"/>
          <w:b/>
          <w:bCs/>
          <w:sz w:val="22"/>
        </w:rPr>
        <w:t xml:space="preserve"> </w:t>
      </w:r>
      <w:r>
        <w:rPr>
          <w:rFonts w:ascii="Times New Roman" w:hAnsi="Times New Roman"/>
          <w:b/>
          <w:bCs/>
          <w:sz w:val="22"/>
        </w:rPr>
        <w:t xml:space="preserve">= 0.039). Despite distinct network architecture, 24 of 33 translation-related pathways showed mirror perturbation between diseases (Spearman ρ = −0.598,</w:t>
      </w:r>
      <w:r>
        <w:rPr>
          <w:rFonts w:ascii="Times New Roman" w:hAnsi="Times New Roman"/>
          <w:b/>
          <w:bCs/>
          <w:sz w:val="22"/>
        </w:rPr>
        <w:t xml:space="preserve"> </w:t>
      </w:r>
      <w:r>
        <w:rPr>
          <w:rFonts w:ascii="Times New Roman" w:hAnsi="Times New Roman"/>
          <w:b/>
          <w:bCs/>
          <w:i/>
          <w:iCs/>
          <w:sz w:val="22"/>
        </w:rPr>
        <w:t xml:space="preserve">P</w:t>
      </w:r>
      <w:r>
        <w:rPr>
          <w:rFonts w:ascii="Times New Roman" w:hAnsi="Times New Roman"/>
          <w:b/>
          <w:bCs/>
          <w:sz w:val="22"/>
        </w:rPr>
        <w:t xml:space="preserve"> </w:t>
      </w:r>
      <w:r>
        <w:rPr>
          <w:rFonts w:ascii="Times New Roman" w:hAnsi="Times New Roman"/>
          <w:b/>
          <w:bCs/>
          <w:sz w:val="22"/>
        </w:rPr>
        <w:t xml:space="preserve">= 0.0003). This mirror pattern was absent in same-organ disease controls, including hypertrophic cardiomyopathy (ρ = −0.036) and cirrhosis (ρ = +0.402), supporting disease-context dependence rather than organ-specific confounding. ATF4 was the strongest individual transcription factor correlate with translational activity (ρ = +0.500, FDR &lt; 0.0001), while MYC target pathway activity showed the highest overall association (ρ = +0.753,</w:t>
      </w:r>
      <w:r>
        <w:rPr>
          <w:rFonts w:ascii="Times New Roman" w:hAnsi="Times New Roman"/>
          <w:b/>
          <w:bCs/>
          <w:sz w:val="22"/>
        </w:rPr>
        <w:t xml:space="preserve"> </w:t>
      </w:r>
      <w:r>
        <w:rPr>
          <w:rFonts w:ascii="Times New Roman" w:hAnsi="Times New Roman"/>
          <w:b/>
          <w:bCs/>
          <w:i/>
          <w:iCs/>
          <w:sz w:val="22"/>
        </w:rPr>
        <w:t xml:space="preserve">P</w:t>
      </w:r>
      <w:r>
        <w:rPr>
          <w:rFonts w:ascii="Times New Roman" w:hAnsi="Times New Roman"/>
          <w:b/>
          <w:bCs/>
          <w:sz w:val="22"/>
        </w:rPr>
        <w:t xml:space="preserve"> </w:t>
      </w:r>
      <w:r>
        <w:rPr>
          <w:rFonts w:ascii="Times New Roman" w:hAnsi="Times New Roman"/>
          <w:b/>
          <w:bCs/>
          <w:sz w:val="22"/>
        </w:rPr>
        <w:t xml:space="preserve">&lt; 0.0001). These findings identify disease-context-dependent remodeling — shared functional themes emerging through distinct network configurations with opposite perturbation directions — as an organizing principle of translation-related transcriptional programs across diseases.</w:t>
      </w:r>
    </w:p>
    <w:p>
      <w:pPr>
        <w:pStyle w:val="BodyText"/>
        <w:spacing w:line="360" w:lineRule="auto"/>
      </w:pPr>
      <w:r>
        <w:rPr>
          <w:rFonts w:ascii="Times New Roman" w:hAnsi="Times New Roman"/>
          <w:b/>
          <w:bCs/>
          <w:sz w:val="22"/>
        </w:rPr>
        <w:t xml:space="preserve">Keywords:</w:t>
      </w:r>
      <w:r>
        <w:rPr>
          <w:rFonts w:ascii="Times New Roman" w:hAnsi="Times New Roman"/>
          <w:sz w:val="22"/>
        </w:rPr>
        <w:t xml:space="preserve"> </w:t>
      </w:r>
      <w:r>
        <w:rPr>
          <w:rFonts w:ascii="Times New Roman" w:hAnsi="Times New Roman"/>
          <w:sz w:val="22"/>
        </w:rPr>
        <w:t xml:space="preserve">Translation · Heart failure · Hepatocellular carcinoma · WGCNA · ssGSEA · ATF4 · Integrated stress response · MYC</w:t>
      </w:r>
    </w:p>
    <w:p>
      <w:pPr>
        <w:spacing w:line="360" w:lineRule="auto"/>
      </w:pPr>
      <w:r>
        <w:rPr>
          <w:rFonts w:ascii="Times New Roman" w:hAnsi="Times New Roman"/>
          <w:sz w:val="22"/>
        </w:rPr>
        <w:pict>
          <v:rect style="width:0;height:1.5pt" o:hralign="center" o:hrstd="t" o:hr="t"/>
        </w:pict>
      </w:r>
    </w:p>
    <w:p>
      <w:pPr>
        <w:pStyle w:val="FirstParagraph"/>
        <w:spacing w:line="360" w:lineRule="auto"/>
      </w:pPr>
      <w:r>
        <w:rPr>
          <w:rFonts w:ascii="Times New Roman" w:hAnsi="Times New Roman"/>
          <w:sz w:val="22"/>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w:t>
      </w:r>
      <w:r>
        <w:rPr>
          <w:rFonts w:ascii="Times New Roman" w:hAnsi="Times New Roman"/>
          <w:sz w:val="22"/>
          <w:vertAlign w:val="superscript"/>
        </w:rPr>
        <w:t xmlns:ns36="http://schemas.xmlsoap.org/soap/envelope/" ns36:space="preserve">[1,2]</w:t>
      </w:r>
      <w:r>
        <w:rPr>
          <w:rFonts w:ascii="Times New Roman" w:hAnsi="Times New Roman"/>
          <w:sz w:val="22"/>
        </w:rPr>
        <w:t xmlns:ns39="http://schemas.xmlsoap.org/soap/envelope/" ns39:space="preserve">, while HCC cells rewire central carbon metabolism to sustain unrestrained proliferation</w:t>
      </w:r>
      <w:r>
        <w:rPr>
          <w:rFonts w:ascii="Times New Roman" w:hAnsi="Times New Roman"/>
          <w:sz w:val="22"/>
          <w:vertAlign w:val="superscript"/>
        </w:rPr>
        <w:t xmlns:ns28="http://schemas.xmlsoap.org/soap/envelope/" ns28:space="preserve">[3,4]</w:t>
      </w:r>
      <w:r>
        <w:rPr>
          <w:rFonts w:ascii="Times New Roman" w:hAnsi="Times New Roman"/>
          <w:sz w:val="22"/>
        </w:rPr>
        <w:t xmlns:ns31="http://schemas.xmlsoap.org/soap/envelope/" ns31:space="preserve">. Both exhibit disrupted protein homeostasis, the balance among protein synthesis, folding, and degradation that is essential for cellular function and survival</w:t>
      </w:r>
      <w:r>
        <w:rPr>
          <w:rFonts w:ascii="Times New Roman" w:hAnsi="Times New Roman"/>
          <w:sz w:val="22"/>
          <w:vertAlign w:val="superscript"/>
        </w:rPr>
        <w:t xmlns:ns20="http://schemas.xmlsoap.org/soap/envelope/" ns20:space="preserve">[5,6]</w:t>
      </w:r>
      <w:r>
        <w:rPr>
          <w:rFonts w:ascii="Times New Roman" w:hAnsi="Times New Roman"/>
          <w:sz w:val="22"/>
        </w:rPr>
        <w:t xmlns:ns23="http://schemas.xmlsoap.org/soap/envelope/" ns23:space="preserve">. Translational regulation lies at the intersection of these processes, coupling cellular energy status with protein synthesis capacity</w:t>
      </w:r>
      <w:r>
        <w:rPr>
          <w:rFonts w:ascii="Times New Roman" w:hAnsi="Times New Roman"/>
          <w:sz w:val="22"/>
          <w:vertAlign w:val="superscript"/>
        </w:rPr>
        <w:t xmlns:ns12="http://schemas.xmlsoap.org/soap/envelope/" ns12:space="preserve">[7]</w:t>
      </w:r>
      <w:r>
        <w:rPr>
          <w:rFonts w:ascii="Times New Roman" w:hAnsi="Times New Roman"/>
          <w:sz w:val="22"/>
        </w:rPr>
        <w:t xmlns:ns15="http://schemas.xmlsoap.org/soap/envelope/" ns15:space="preserve">. Accordingly, both diseases exhibit dysregulation of the translational apparatus — the ribosome, translation factors, and their upstream regulators — which collectively mediate the final and most energetically expensive step of gene expression</w:t>
      </w:r>
      <w:r>
        <w:rPr>
          <w:rFonts w:ascii="Times New Roman" w:hAnsi="Times New Roman"/>
          <w:sz w:val="22"/>
          <w:vertAlign w:val="superscript"/>
        </w:rPr>
        <w:t xmlns:ns4="http://schemas.xmlsoap.org/soap/envelope/" ns4:space="preserve">[1,8,9]</w:t>
      </w:r>
      <w:r>
        <w:rPr>
          <w:rFonts w:ascii="Times New Roman" w:hAnsi="Times New Roman"/>
          <w:sz w:val="22"/>
        </w:rPr>
        <w:t xmlns:ns7="http://schemas.xmlsoap.org/soap/envelope/" ns7:space="preserve">.</w:t>
      </w:r>
    </w:p>
    <w:p>
      <w:pPr>
        <w:pStyle w:val="BodyText"/>
        <w:spacing w:line="360" w:lineRule="auto"/>
      </w:pPr>
      <w:r>
        <w:rPr>
          <w:rFonts w:ascii="Times New Roman" w:hAnsi="Times New Roman"/>
          <w:sz w:val="22"/>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w:t>
      </w:r>
      <w:r>
        <w:rPr>
          <w:rFonts w:ascii="Times New Roman" w:hAnsi="Times New Roman"/>
          <w:sz w:val="22"/>
          <w:vertAlign w:val="superscript"/>
        </w:rPr>
        <w:t xmlns:ns60="http://schemas.xmlsoap.org/soap/envelope/" ns60:space="preserve">[2,6]</w:t>
      </w:r>
      <w:r>
        <w:rPr>
          <w:rFonts w:ascii="Times New Roman" w:hAnsi="Times New Roman"/>
          <w:sz w:val="22"/>
        </w:rPr>
        <w:t xmlns:ns63="http://schemas.xmlsoap.org/soap/envelope/" ns63:space="preserve">. mTORC1 signaling is inhibited in the failing heart</w:t>
      </w:r>
      <w:r>
        <w:rPr>
          <w:rFonts w:ascii="Times New Roman" w:hAnsi="Times New Roman"/>
          <w:sz w:val="22"/>
          <w:vertAlign w:val="superscript"/>
        </w:rPr>
        <w:t xmlns:ns52="http://schemas.xmlsoap.org/soap/envelope/" ns52:space="preserve">[6,10]</w:t>
      </w:r>
      <w:r>
        <w:rPr>
          <w:rFonts w:ascii="Times New Roman" w:hAnsi="Times New Roman"/>
          <w:sz w:val="22"/>
        </w:rPr>
        <w:t xmlns:ns55="http://schemas.xmlsoap.org/soap/envelope/" ns55:space="preserve">. In HCC, by contrast, oncogenic pathways converge on the translational apparatus to upregulate ribosome biogenesis and protein synthesis, supporting uncontrolled proliferation</w:t>
      </w:r>
      <w:r>
        <w:rPr>
          <w:rFonts w:ascii="Times New Roman" w:hAnsi="Times New Roman"/>
          <w:sz w:val="22"/>
          <w:vertAlign w:val="superscript"/>
        </w:rPr>
        <w:t xmlns:ns44="http://schemas.xmlsoap.org/soap/envelope/" ns44:space="preserve">[3,8,11,12]</w:t>
      </w:r>
      <w:r>
        <w:rPr>
          <w:rFonts w:ascii="Times New Roman" w:hAnsi="Times New Roman"/>
          <w:sz w:val="22"/>
        </w:rPr>
        <w:t xmlns:ns47="http://schemas.xmlsoap.org/soap/envelope/" ns47:space="preserve">. These mirror-image pressures on the same molecular machinery raise a fundamental question: does the same translation-related transcriptional program operate in both diseases, with disease context determining only the direction of perturbation?</w:t>
      </w:r>
    </w:p>
    <w:p>
      <w:pPr>
        <w:pStyle w:val="BodyText"/>
        <w:spacing w:line="360" w:lineRule="auto"/>
      </w:pPr>
      <w:r>
        <w:rPr>
          <w:rFonts w:ascii="Times New Roman" w:hAnsi="Times New Roman"/>
          <w:sz w:val="22"/>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w:t>
      </w:r>
      <w:r>
        <w:rPr>
          <w:rFonts w:ascii="Times New Roman" w:hAnsi="Times New Roman"/>
          <w:sz w:val="22"/>
          <w:vertAlign w:val="superscript"/>
        </w:rPr>
        <w:t xmlns:ns68="http://schemas.xmlsoap.org/soap/envelope/" ns68:space="preserve">[5]</w:t>
      </w:r>
      <w:r>
        <w:rPr>
          <w:rFonts w:ascii="Times New Roman" w:hAnsi="Times New Roman"/>
          <w:sz w:val="22"/>
        </w:rPr>
        <w:t xmlns:ns71="http://schemas.xmlsoap.org/soap/envelope/" ns71:space="preserve">.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spacing w:line="360" w:lineRule="auto"/>
      </w:pPr>
      <w:r>
        <w:rPr>
          <w:rFonts w:ascii="Times New Roman" w:hAnsi="Times New Roman"/>
          <w:sz w:val="22"/>
        </w:rPr>
        <w:t>HF and HCC provide an instructive comparison because they represent opposite extremes of translational demand. The failing heart is an energy-depleted environment where translational suppression is adaptive</w:t>
      </w:r>
      <w:r>
        <w:rPr>
          <w:rFonts w:ascii="Times New Roman" w:hAnsi="Times New Roman"/>
          <w:sz w:val="22"/>
          <w:vertAlign w:val="superscript"/>
        </w:rPr>
        <w:t xmlns:ns84="http://schemas.xmlsoap.org/soap/envelope/" ns84:space="preserve">[1,2]</w:t>
      </w:r>
      <w:r>
        <w:rPr>
          <w:rFonts w:ascii="Times New Roman" w:hAnsi="Times New Roman"/>
          <w:sz w:val="22"/>
        </w:rPr>
        <w:t xmlns:ns87="http://schemas.xmlsoap.org/soap/envelope/" ns87:space="preserve">; the HCC tumor microenvironment is a pro-growth environment where translational activation supports malignant fitness</w:t>
      </w:r>
      <w:r>
        <w:rPr>
          <w:rFonts w:ascii="Times New Roman" w:hAnsi="Times New Roman"/>
          <w:sz w:val="22"/>
          <w:vertAlign w:val="superscript"/>
        </w:rPr>
        <w:t xmlns:ns76="http://schemas.xmlsoap.org/soap/envelope/" ns76:space="preserve">[3,8]</w:t>
      </w:r>
      <w:r>
        <w:rPr>
          <w:rFonts w:ascii="Times New Roman" w:hAnsi="Times New Roman"/>
          <w:sz w:val="22"/>
        </w:rPr>
        <w:t xmlns:ns79="http://schemas.xmlsoap.org/soap/envelope/" ns79:space="preserve">. To investigate how disease context shapes translation-related transcriptional programs, we applied an integrative cross-disease framework with three objectives: (i) identify translation-related co-expression modules in HF and HCC through systematic weighted gene co-expression network analysis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bookmarkStart w:id="29" w:name="results"/>
    <w:p>
      <w:pPr>
        <w:pStyle w:val="Heading2"/>
        <w:spacing w:line="360" w:lineRule="auto"/>
      </w:pPr>
      <w:r>
        <w:rPr>
          <w:rFonts w:ascii="Times New Roman" w:hAnsi="Times New Roman"/>
          <w:b/>
          <w:sz w:val="22"/>
        </w:rPr>
        <w:t xml:space="preserve">Results</w:t>
      </w:r>
    </w:p>
    <w:bookmarkStart w:id="12" w:name="X29130612508969c7e43315de124d00ce5662986"/>
    <w:p>
      <w:pPr>
        <w:pStyle w:val="Heading3"/>
        <w:spacing w:line="360" w:lineRule="auto"/>
      </w:pPr>
      <w:r>
        <w:rPr>
          <w:rFonts w:ascii="Times New Roman" w:hAnsi="Times New Roman"/>
          <w:b/>
          <w:sz w:val="22"/>
        </w:rPr>
        <w:t xml:space="preserve">Disease-specific network remodeling identifies translation-related transcriptional programs</w:t>
      </w:r>
    </w:p>
    <w:p>
      <w:pPr>
        <w:pStyle w:val="FirstParagraph"/>
        <w:spacing w:line="360" w:lineRule="auto"/>
      </w:pPr>
      <w:r>
        <w:rPr>
          <w:rFonts w:ascii="Times New Roman" w:hAnsi="Times New Roman"/>
          <w:sz w:val="22"/>
        </w:rPr>
        <w:t xml:space="preserve">To identify translation-related co-expression modules without imposing predefined gene-selection criteria, we performed signed WGCNA on HF left ventricular myocardium (GSE57338,</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313; dilated cardiomyopathy, ischemic cardiomyopathy, and non-failing controls) using an expanded gene set (top 6,000 genes by variance, retaining 177 of 214 ribosomal/translation-related genes in the full expression matrix; β = 17, signed scale-free R² = 0.865; Extended Data Fig. 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rather than by manual designation.</w:t>
      </w:r>
    </w:p>
    <w:p>
      <w:pPr>
        <w:pStyle w:val="BodyText"/>
        <w:spacing w:line="360" w:lineRule="auto"/>
      </w:pPr>
      <w:r>
        <w:rPr>
          <w:rFonts w:ascii="Times New Roman" w:hAnsi="Times New Roman"/>
          <w:sz w:val="22"/>
        </w:rPr>
        <w:t xml:space="preserve">The</w:t>
      </w:r>
      <w:r>
        <w:rPr>
          <w:rFonts w:ascii="Times New Roman" w:hAnsi="Times New Roman"/>
          <w:sz w:val="22"/>
        </w:rPr>
        <w:t xml:space="preserve"> </w:t>
      </w:r>
      <w:r>
        <w:rPr>
          <w:rFonts w:ascii="Times New Roman" w:hAnsi="Times New Roman"/>
          <w:b/>
          <w:bCs/>
          <w:sz w:val="22"/>
        </w:rPr>
        <w:t xml:space="preserve">green module</w:t>
      </w:r>
      <w:r>
        <w:rPr>
          <w:rFonts w:ascii="Times New Roman" w:hAnsi="Times New Roman"/>
          <w:sz w:val="22"/>
        </w:rPr>
        <w:t xml:space="preserve"> </w:t>
      </w:r>
      <w:r>
        <w:rPr>
          <w:rFonts w:ascii="Times New Roman" w:hAnsi="Times New Roman"/>
          <w:sz w:val="22"/>
        </w:rPr>
        <w:t xml:space="preserve">(227 genes) was identified as a module enriched for translation-associated biological processes (translation-enrichment score = 695.1). GO enrichment confirmed highly significant association with ribosome biogenesis (adjusted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2.3 × 10⁻¹³; fold enrichment = 9.6), ribosomal small subunit biogenesis (adjusted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4.5 × 10⁻⁸; fold enrichment = 11.7), rRNA processing (adjusted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2.2 × 10⁻⁶), rRNA metabolic process (adjusted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4.8 × 10⁻⁶), and ribosomal large subunit biogenesis (adjusted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2.2 × 10⁻⁴; fold enrichment = 11.2) (Supplementary Table 5). The green module eigengene showed a significant negative correlation with HF status (</w:t>
      </w:r>
      <w:r>
        <w:rPr>
          <w:rFonts w:ascii="Times New Roman" w:hAnsi="Times New Roman"/>
          <w:b/>
          <w:bCs/>
          <w:sz w:val="22"/>
        </w:rPr>
        <w:t xml:space="preserve">r = −0.521,</w:t>
      </w:r>
      <w:r>
        <w:rPr>
          <w:rFonts w:ascii="Times New Roman" w:hAnsi="Times New Roman"/>
          <w:b/>
          <w:bCs/>
          <w:sz w:val="22"/>
        </w:rPr>
        <w:t xml:space="preserve"> </w:t>
      </w:r>
      <w:r>
        <w:rPr>
          <w:rFonts w:ascii="Times New Roman" w:hAnsi="Times New Roman"/>
          <w:b/>
          <w:bCs/>
          <w:i/>
          <w:iCs/>
          <w:sz w:val="22"/>
        </w:rPr>
        <w:t xml:space="preserve">P</w:t>
      </w:r>
      <w:r>
        <w:rPr>
          <w:rFonts w:ascii="Times New Roman" w:hAnsi="Times New Roman"/>
          <w:b/>
          <w:bCs/>
          <w:sz w:val="22"/>
        </w:rPr>
        <w:t xml:space="preserve"> </w:t>
      </w:r>
      <w:r>
        <w:rPr>
          <w:rFonts w:ascii="Times New Roman" w:hAnsi="Times New Roman"/>
          <w:b/>
          <w:bCs/>
          <w:sz w:val="22"/>
        </w:rPr>
        <w:t xml:space="preserve">= 3.6 × 10⁻²³</w:t>
      </w:r>
      <w:r>
        <w:rPr>
          <w:rFonts w:ascii="Times New Roman" w:hAnsi="Times New Roman"/>
          <w:sz w:val="22"/>
        </w:rPr>
        <w:t xml:space="preserve">),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spacing w:line="360" w:lineRule="auto"/>
      </w:pPr>
      <w:r>
        <w:rPr>
          <w:rFonts w:ascii="Times New Roman" w:hAnsi="Times New Roman"/>
          <w:sz w:val="22"/>
        </w:rPr>
        <w:t xml:space="preserve">Hub genes were defined post hoc using dual criteria of |Gene Significance| &gt; 0.2 and |Module Membership| &gt; 0.8 within the green module (Extended Data Fig. 1). The top ten hub genes ranked by the product of |GS| × |MM| are listed in Supplementary Table 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w:t>
      </w:r>
      <w:r>
        <w:rPr>
          <w:rFonts w:ascii="Times New Roman" w:hAnsi="Times New Roman"/>
          <w:i/>
          <w:iCs/>
          <w:sz w:val="22"/>
        </w:rPr>
        <w:t xml:space="preserve">EEF1A1</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FAU</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RPL39</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RPL3</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RPL32</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RPL41</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RPS28</w:t>
      </w:r>
      <w:r>
        <w:rPr>
          <w:rFonts w:ascii="Times New Roman" w:hAnsi="Times New Roman"/>
          <w:sz w:val="22"/>
        </w:rPr>
        <w:t xml:space="preserve">) met the dual criteria for hub designation in the green module: four (</w:t>
      </w:r>
      <w:r>
        <w:rPr>
          <w:rFonts w:ascii="Times New Roman" w:hAnsi="Times New Roman"/>
          <w:i/>
          <w:iCs/>
          <w:sz w:val="22"/>
        </w:rPr>
        <w:t xml:space="preserve">FAU</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RPL39</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RPL32</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RPS28</w:t>
      </w:r>
      <w:r>
        <w:rPr>
          <w:rFonts w:ascii="Times New Roman" w:hAnsi="Times New Roman"/>
          <w:sz w:val="22"/>
        </w:rPr>
        <w:t xml:space="preserve">) were assigned to the black module, one (</w:t>
      </w:r>
      <w:r>
        <w:rPr>
          <w:rFonts w:ascii="Times New Roman" w:hAnsi="Times New Roman"/>
          <w:i/>
          <w:iCs/>
          <w:sz w:val="22"/>
        </w:rPr>
        <w:t xml:space="preserve">RPL3</w:t>
      </w:r>
      <w:r>
        <w:rPr>
          <w:rFonts w:ascii="Times New Roman" w:hAnsi="Times New Roman"/>
          <w:sz w:val="22"/>
        </w:rPr>
        <w:t xml:space="preserve">) to blue, and two (</w:t>
      </w:r>
      <w:r>
        <w:rPr>
          <w:rFonts w:ascii="Times New Roman" w:hAnsi="Times New Roman"/>
          <w:i/>
          <w:iCs/>
          <w:sz w:val="22"/>
        </w:rPr>
        <w:t xml:space="preserve">EEF1A1</w:t>
      </w:r>
      <w:r>
        <w:rPr>
          <w:rFonts w:ascii="Times New Roman" w:hAnsi="Times New Roman"/>
          <w:sz w:val="22"/>
        </w:rPr>
        <w:t xml:space="preserve">,</w:t>
      </w:r>
      <w:r>
        <w:rPr>
          <w:rFonts w:ascii="Times New Roman" w:hAnsi="Times New Roman"/>
          <w:sz w:val="22"/>
        </w:rPr>
        <w:t xml:space="preserve"> </w:t>
      </w:r>
      <w:r>
        <w:rPr>
          <w:rFonts w:ascii="Times New Roman" w:hAnsi="Times New Roman"/>
          <w:i/>
          <w:iCs/>
          <w:sz w:val="22"/>
        </w:rPr>
        <w:t xml:space="preserve">RPL41</w:t>
      </w:r>
      <w:r>
        <w:rPr>
          <w:rFonts w:ascii="Times New Roman" w:hAnsi="Times New Roman"/>
          <w:sz w:val="22"/>
        </w:rPr>
        <w:t xml:space="preserve">) were not present in the top-6,000 input gene set. The previously identified hub gene set therefore does not represent the hub structure of the translation-related co-expression module identified through systematic annotation-based analysis.</w:t>
      </w:r>
    </w:p>
    <w:p>
      <w:pPr>
        <w:pStyle w:val="BodyText"/>
        <w:spacing w:line="360" w:lineRule="auto"/>
      </w:pPr>
      <w:r>
        <w:rPr>
          <w:rFonts w:ascii="Times New Roman" w:hAnsi="Times New Roman"/>
          <w:sz w:val="22"/>
        </w:rPr>
        <w:t xml:space="preserve">To determine whether a translation-related module also exists in HCC, we examined the independently constructed HCC WGCNA (GSE141198,</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148; β = 4, R² = 0.84). The GSE141198 blue module (1,315 genes) showed</w:t>
      </w:r>
      <w:r>
        <w:rPr>
          <w:rFonts w:ascii="Times New Roman" w:hAnsi="Times New Roman"/>
          <w:sz w:val="22"/>
        </w:rPr>
        <w:t xml:space="preserve"> </w:t>
      </w:r>
      <w:r>
        <w:rPr>
          <w:rFonts w:ascii="Times New Roman" w:hAnsi="Times New Roman"/>
          <w:sz w:val="22"/>
        </w:rPr>
        <w:t xml:space="preserve">“cytoplasmic translation”</w:t>
      </w:r>
      <w:r>
        <w:rPr>
          <w:rFonts w:ascii="Times New Roman" w:hAnsi="Times New Roman"/>
          <w:sz w:val="22"/>
        </w:rPr>
        <w:t xml:space="preserve"> </w:t>
      </w:r>
      <w:r>
        <w:rPr>
          <w:rFonts w:ascii="Times New Roman" w:hAnsi="Times New Roman"/>
          <w:sz w:val="22"/>
        </w:rPr>
        <w:t xml:space="preserve">as the most significantly enriched GO term (adjusted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0.039). Importantly, the translation-associated transcriptional score (TATS; see Methods)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pPr>
        <w:pStyle w:val="BodyText"/>
        <w:spacing w:line="360" w:lineRule="auto"/>
      </w:pPr>
      <w:r>
        <w:rPr>
          <w:rFonts w:ascii="Times New Roman" w:hAnsi="Times New Roman"/>
          <w:sz w:val="22"/>
        </w:rP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w:t>
      </w:r>
      <w:r>
        <w:rPr>
          <w:rFonts w:ascii="Times New Roman" w:hAnsi="Times New Roman"/>
          <w:sz w:val="22"/>
        </w:rPr>
        <w:t xml:space="preserve"> </w:t>
      </w:r>
      <w:r>
        <w:rPr>
          <w:rFonts w:ascii="Times New Roman" w:hAnsi="Times New Roman"/>
          <w:i/>
          <w:iCs/>
          <w:sz w:val="22"/>
        </w:rPr>
        <w:t xml:space="preserve">Z</w:t>
      </w:r>
      <w:r>
        <w:rPr>
          <w:rFonts w:ascii="Times New Roman" w:hAnsi="Times New Roman"/>
          <w:sz w:val="22"/>
        </w:rPr>
        <w:t xml:space="preserve"> </w:t>
      </w:r>
      <w:r>
        <w:rPr>
          <w:rFonts w:ascii="Times New Roman" w:hAnsi="Times New Roman"/>
          <w:sz w:val="22"/>
        </w:rPr>
        <w:t xml:space="preserve">= 62.8, permutation</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 jackknife CV = 1.6%; Extended Data Fig. 4), rather than an artifact of the β = 17 soft-threshold parameter. We next examined whether this disease-context-dependent network organization is accompanied by oppositely directed pathway-level changes.</w:t>
      </w:r>
    </w:p>
    <w:p>
      <w:pPr>
        <w:pStyle w:val="CaptionedFigure"/>
        <w:spacing w:line="360" w:lineRule="auto"/>
      </w:pPr>
      <w:r>
        <w:rPr>
          <w:rFonts w:ascii="Times New Roman" w:hAnsi="Times New Roman"/>
          <w:sz w:val="22"/>
        </w:rPr>
        <w:drawing>
          <wp:inline>
            <wp:extent cx="5334000" cy="4000499"/>
            <wp:effectExtent b="0" l="0" r="0" t="0"/>
            <wp:docPr descr="Figure 1" title="" id="10" name="Picture"/>
            <a:graphic>
              <a:graphicData uri="http://schemas.openxmlformats.org/drawingml/2006/picture">
                <pic:pic>
                  <pic:nvPicPr>
                    <pic:cNvPr descr="figures/Figure2_Translation_Module_Identification.png" id="11" name="Picture"/>
                    <pic:cNvPicPr>
                      <a:picLocks noChangeArrowheads="1" noChangeAspect="1"/>
                    </pic:cNvPicPr>
                  </pic:nvPicPr>
                  <pic:blipFill>
                    <a:blip r:embed="rId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sz w:val="22"/>
        </w:rPr>
        <w:t xml:space="preserve">Figure 1</w:t>
      </w:r>
    </w:p>
    <w:p>
      <w:pPr>
        <w:pStyle w:val="BodyText"/>
        <w:spacing w:line="360" w:lineRule="auto"/>
        <w:jc w:val="left"/>
      </w:pPr>
      <w:r>
        <w:rPr>
          <w:rFonts w:ascii="Times New Roman" w:hAnsi="Times New Roman"/>
          <w:b/>
          <w:bCs/>
          <w:sz w:val="18"/>
        </w:rPr>
        <w:t xml:space="preserve">Fig. 1 | Identification of disease-context-dependent translation-related modules in HF and HCC.</w:t>
      </w:r>
      <w:r>
        <w:rPr>
          <w:rFonts w:ascii="Times New Roman" w:hAnsi="Times New Roman"/>
          <w:b/>
          <w:sz w:val="18"/>
        </w:rPr>
        <w:t xml:space="preserve"> </w:t>
      </w:r>
      <w:r>
        <w:rPr>
          <w:rFonts w:ascii="Times New Roman" w:hAnsi="Times New Roman"/>
          <w:b/>
          <w:bCs/>
          <w:sz w:val="18"/>
        </w:rPr>
        <w:t xml:space="preserve">a</w:t>
      </w:r>
      <w:r>
        <w:rPr>
          <w:rFonts w:ascii="Times New Roman" w:hAnsi="Times New Roman"/>
          <w:b/>
          <w:sz w:val="18"/>
        </w:rPr>
        <w:t xml:space="preserve">, Gene dendrogram and module assignment from signed WGCNA of GSE57338 (HF,</w:t>
      </w:r>
      <w:r>
        <w:rPr>
          <w:rFonts w:ascii="Times New Roman" w:hAnsi="Times New Roman"/>
          <w:b/>
          <w:sz w:val="18"/>
        </w:rPr>
        <w:t xml:space="preserve"> </w:t>
      </w:r>
      <w:r>
        <w:rPr>
          <w:rFonts w:ascii="Times New Roman" w:hAnsi="Times New Roman"/>
          <w:b/>
          <w:i/>
          <w:iCs/>
          <w:sz w:val="18"/>
        </w:rPr>
        <w:t xml:space="preserve">n</w:t>
      </w:r>
      <w:r>
        <w:rPr>
          <w:rFonts w:ascii="Times New Roman" w:hAnsi="Times New Roman"/>
          <w:b/>
          <w:sz w:val="18"/>
        </w:rPr>
        <w:t xml:space="preserve"> </w:t>
      </w:r>
      <w:r>
        <w:rPr>
          <w:rFonts w:ascii="Times New Roman" w:hAnsi="Times New Roman"/>
          <w:b/>
          <w:sz w:val="18"/>
        </w:rPr>
        <w:t xml:space="preserve">= 313). The green module (227 genes) was identified as the translation-related module via GO-based scoring.</w:t>
      </w:r>
      <w:r>
        <w:rPr>
          <w:rFonts w:ascii="Times New Roman" w:hAnsi="Times New Roman"/>
          <w:b/>
          <w:sz w:val="18"/>
        </w:rPr>
        <w:t xml:space="preserve"> </w:t>
      </w:r>
      <w:r>
        <w:rPr>
          <w:rFonts w:ascii="Times New Roman" w:hAnsi="Times New Roman"/>
          <w:b/>
          <w:bCs/>
          <w:sz w:val="18"/>
        </w:rPr>
        <w:t xml:space="preserve">b</w:t>
      </w:r>
      <w:r>
        <w:rPr>
          <w:rFonts w:ascii="Times New Roman" w:hAnsi="Times New Roman"/>
          <w:b/>
          <w:sz w:val="18"/>
        </w:rPr>
        <w:t xml:space="preserve">, Module–trait (HF vs. non-failing) correlation coefficients. Green module: r = −0.521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3.6 × 10⁻²³).</w:t>
      </w:r>
      <w:r>
        <w:rPr>
          <w:rFonts w:ascii="Times New Roman" w:hAnsi="Times New Roman"/>
          <w:b/>
          <w:sz w:val="18"/>
        </w:rPr>
        <w:t xml:space="preserve"> </w:t>
      </w:r>
      <w:r>
        <w:rPr>
          <w:rFonts w:ascii="Times New Roman" w:hAnsi="Times New Roman"/>
          <w:b/>
          <w:bCs/>
          <w:sz w:val="18"/>
        </w:rPr>
        <w:t xml:space="preserve">c</w:t>
      </w:r>
      <w:r>
        <w:rPr>
          <w:rFonts w:ascii="Times New Roman" w:hAnsi="Times New Roman"/>
          <w:b/>
          <w:sz w:val="18"/>
        </w:rPr>
        <w:t xml:space="preserve">, GO Biological Process enrichment of the green module. Top terms include ribosome biogenesis (adjusted</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2.3 × 10⁻¹³) and rRNA processing.</w:t>
      </w:r>
      <w:r>
        <w:rPr>
          <w:rFonts w:ascii="Times New Roman" w:hAnsi="Times New Roman"/>
          <w:b/>
          <w:sz w:val="18"/>
        </w:rPr>
        <w:t xml:space="preserve"> </w:t>
      </w:r>
      <w:r>
        <w:rPr>
          <w:rFonts w:ascii="Times New Roman" w:hAnsi="Times New Roman"/>
          <w:b/>
          <w:bCs/>
          <w:sz w:val="18"/>
        </w:rPr>
        <w:t xml:space="preserve">d</w:t>
      </w:r>
      <w:r>
        <w:rPr>
          <w:rFonts w:ascii="Times New Roman" w:hAnsi="Times New Roman"/>
          <w:b/>
          <w:sz w:val="18"/>
        </w:rPr>
        <w:t xml:space="preserve">, Cross-disease module gene overlap: distribution of HF green module genes across HCC WGCNA modules (GSE141198). Limited gene-level overlap (62 of 227 genes found; Fisher OR = 1.7,</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0.039), suggesting disease-context-dependent network organization rather than module conservation.</w:t>
      </w:r>
    </w:p>
    <w:bookmarkEnd w:id="12"/>
    <w:bookmarkStart w:id="16" w:name="X0bb7cd2088651e3c7dc8f36f72b41334090cbe7"/>
    <w:p>
      <w:pPr>
        <w:pStyle w:val="Heading3"/>
        <w:spacing w:line="360" w:lineRule="auto"/>
      </w:pPr>
      <w:r>
        <w:rPr>
          <w:rFonts w:ascii="Times New Roman" w:hAnsi="Times New Roman"/>
          <w:b/>
          <w:sz w:val="22"/>
        </w:rPr>
        <w:t xml:space="preserve">Opposite pathway-level perturbation of translation-related programs between HF and HCC</w:t>
      </w:r>
    </w:p>
    <w:p>
      <w:pPr>
        <w:pStyle w:val="FirstParagraph"/>
        <w:spacing w:line="360" w:lineRule="auto"/>
      </w:pPr>
      <w:r>
        <w:rPr>
          <w:rFonts w:ascii="Times New Roman" w:hAnsi="Times New Roman"/>
          <w:sz w:val="22"/>
        </w:rPr>
        <w:t xml:space="preserve">The network analysis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w:t>
      </w:r>
      <w:r>
        <w:rPr>
          <w:rFonts w:ascii="Times New Roman" w:hAnsi="Times New Roman"/>
          <w:sz w:val="22"/>
        </w:rPr>
        <w:t xml:space="preserve">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effect sizes for each pathway.</w:t>
      </w:r>
    </w:p>
    <w:p>
      <w:pPr>
        <w:pStyle w:val="BodyText"/>
        <w:spacing w:line="360" w:lineRule="auto"/>
      </w:pPr>
      <w:r>
        <w:rPr>
          <w:rFonts w:ascii="Times New Roman" w:hAnsi="Times New Roman"/>
          <w:sz w:val="22"/>
        </w:rPr>
        <w:t xml:space="preserve">The Spearman correlation of effect sizes across all 81 pathways between the two diseases was ρ = −0.290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0.0089), reflecting an overall weak negative association. However, when the analysis was restricted to the 33 translation/ribosome-related pathways, the negative correlation in effect sizes increased to</w:t>
      </w:r>
      <w:r>
        <w:rPr>
          <w:rFonts w:ascii="Times New Roman" w:hAnsi="Times New Roman"/>
          <w:sz w:val="22"/>
        </w:rPr>
        <w:t xml:space="preserve"> </w:t>
      </w:r>
      <w:r>
        <w:rPr>
          <w:rFonts w:ascii="Times New Roman" w:hAnsi="Times New Roman"/>
          <w:b/>
          <w:bCs/>
          <w:sz w:val="22"/>
        </w:rPr>
        <w:t xml:space="preserve">ρ = −0.598 (</w:t>
      </w:r>
      <w:r>
        <w:rPr>
          <w:rFonts w:ascii="Times New Roman" w:hAnsi="Times New Roman"/>
          <w:b/>
          <w:bCs/>
          <w:i/>
          <w:iCs/>
          <w:sz w:val="22"/>
        </w:rPr>
        <w:t xml:space="preserve">P</w:t>
      </w:r>
      <w:r>
        <w:rPr>
          <w:rFonts w:ascii="Times New Roman" w:hAnsi="Times New Roman"/>
          <w:b/>
          <w:bCs/>
          <w:sz w:val="22"/>
        </w:rPr>
        <w:t xml:space="preserve"> </w:t>
      </w:r>
      <w:r>
        <w:rPr>
          <w:rFonts w:ascii="Times New Roman" w:hAnsi="Times New Roman"/>
          <w:b/>
          <w:bCs/>
          <w:sz w:val="22"/>
        </w:rPr>
        <w:t xml:space="preserve">= 0.0003; bootstrap 95% CI [−0.756, −0.340])</w:t>
      </w:r>
      <w:r>
        <w:rPr>
          <w:rFonts w:ascii="Times New Roman" w:hAnsi="Times New Roman"/>
          <w:sz w:val="22"/>
        </w:rPr>
        <w:t xml:space="preserve">. A 10,000-iteration permutation test supported this result (permutation</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0.0079; Fig. 2). The specific composition of the 33 translation-related pathways and complete effect size data for all 81 pathways are provided in Supplementary Table 2.</w:t>
      </w:r>
    </w:p>
    <w:p>
      <w:pPr>
        <w:pStyle w:val="BodyText"/>
        <w:spacing w:line="360" w:lineRule="auto"/>
      </w:pPr>
      <w:r>
        <w:rPr>
          <w:rFonts w:ascii="Times New Roman" w:hAnsi="Times New Roman"/>
          <w:sz w:val="22"/>
        </w:rPr>
        <w:t xml:space="preserve">Detailed examination of translation pathway effect sizes showed a consistent pattern: all 33 translation-related pathways showed positive effect sizes in HCC (Cohen’s</w:t>
      </w:r>
      <w:r>
        <w:rPr>
          <w:rFonts w:ascii="Times New Roman" w:hAnsi="Times New Roman"/>
          <w:sz w:val="22"/>
        </w:rPr>
        <w:t xml:space="preserve">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&gt; 0, higher expression in tumor vs. normal tissue), whereas the vast majority showed negative effect sizes in HF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&lt; 0, lower expression in failing vs. non-failing myocardium). Among the 33 translation-related pathways, 24 exhibited an HCC-positive/HF-negative paired pattern, representing a predominant mirror-direction pattern (binomial test</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 Supplementary Table 4). The remaining nine pathways were enriched for mitochondrial translation or miRNA-mediated translational regulation rather than canonical cytoplasmic translation pathways (Supplementary Table 2). Proliferation-associated pathways (E2F Targets, G2M Checkpoint, and MYC Targets V1) exhibited the largest positive effect sizes in HCC (Cohen’s</w:t>
      </w:r>
      <w:r>
        <w:rPr>
          <w:rFonts w:ascii="Times New Roman" w:hAnsi="Times New Roman"/>
          <w:sz w:val="22"/>
        </w:rPr>
        <w:t xml:space="preserve">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 +1.83 to +2.35). The most upregulated pathways in HF were Bile Acid Metabolism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 +0.79) and Interferon Alpha Response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 +0.67); their absolute effect sizes were considerably smaller than those of proliferation pathways in HCC.</w:t>
      </w:r>
    </w:p>
    <w:p>
      <w:pPr>
        <w:pStyle w:val="BodyText"/>
        <w:spacing w:line="360" w:lineRule="auto"/>
      </w:pPr>
      <w:r>
        <w:rPr>
          <w:rFonts w:ascii="Times New Roman" w:hAnsi="Times New Roman"/>
          <w:sz w:val="22"/>
        </w:rPr>
        <w:t xml:space="preserve">This pathway-level mirror perturbation — with 24 of 33 translation pathways showing opposite-direction changes in HCC and HF — represents the strongest quantitative signal in this study (ρ = −0.598, permutation</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0.0079). Importantly, this signal emerges at the pathway level despite the substantial network-level divergence between the two diseases’ translation-related modules.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CaptionedFigure"/>
        <w:spacing w:line="360" w:lineRule="auto"/>
      </w:pPr>
      <w:r>
        <w:rPr>
          <w:rFonts w:ascii="Times New Roman" w:hAnsi="Times New Roman"/>
          <w:sz w:val="22"/>
        </w:rPr>
        <w:drawing>
          <wp:inline>
            <wp:extent cx="5334000" cy="4267200"/>
            <wp:effectExtent b="0" l="0" r="0" t="0"/>
            <wp:docPr descr="Figure 2" title="" id="14" name="Picture"/>
            <a:graphic>
              <a:graphicData uri="http://schemas.openxmlformats.org/drawingml/2006/picture">
                <pic:pic>
                  <pic:nvPicPr>
                    <pic:cNvPr descr="figures/Figure_ssGSEA_cross_disease.png" id="15" name="Picture"/>
                    <pic:cNvPicPr>
                      <a:picLocks noChangeArrowheads="1" noChangeAspect="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sz w:val="22"/>
        </w:rPr>
        <w:t xml:space="preserve">Figure 2</w:t>
      </w:r>
    </w:p>
    <w:p>
      <w:pPr>
        <w:pStyle w:val="BodyText"/>
        <w:spacing w:line="360" w:lineRule="auto"/>
        <w:jc w:val="left"/>
      </w:pPr>
      <w:r>
        <w:rPr>
          <w:rFonts w:ascii="Times New Roman" w:hAnsi="Times New Roman"/>
          <w:b/>
          <w:bCs/>
          <w:sz w:val="18"/>
        </w:rPr>
        <w:t xml:space="preserve">Fig. 2 | Cross-disease pathway-level mirror perturbation between HF and HCC.</w:t>
      </w:r>
      <w:r>
        <w:rPr>
          <w:rFonts w:ascii="Times New Roman" w:hAnsi="Times New Roman"/>
          <w:b/>
          <w:sz w:val="18"/>
        </w:rPr>
        <w:t xml:space="preserve"> </w:t>
      </w:r>
      <w:r>
        <w:rPr>
          <w:rFonts w:ascii="Times New Roman" w:hAnsi="Times New Roman"/>
          <w:b/>
          <w:sz w:val="18"/>
        </w:rPr>
        <w:t xml:space="preserve">Scatter plot of Cohen’s</w:t>
      </w:r>
      <w:r>
        <w:rPr>
          <w:rFonts w:ascii="Times New Roman" w:hAnsi="Times New Roman"/>
          <w:b/>
          <w:sz w:val="18"/>
        </w:rPr>
        <w:t xml:space="preserve"> </w:t>
      </w:r>
      <w:r>
        <w:rPr>
          <w:rFonts w:ascii="Times New Roman" w:hAnsi="Times New Roman"/>
          <w:b/>
          <w:i/>
          <w:iCs/>
          <w:sz w:val="18"/>
        </w:rPr>
        <w:t xml:space="preserve">d</w:t>
      </w:r>
      <w:r>
        <w:rPr>
          <w:rFonts w:ascii="Times New Roman" w:hAnsi="Times New Roman"/>
          <w:b/>
          <w:sz w:val="18"/>
        </w:rPr>
        <w:t xml:space="preserve"> </w:t>
      </w:r>
      <w:r>
        <w:rPr>
          <w:rFonts w:ascii="Times New Roman" w:hAnsi="Times New Roman"/>
          <w:b/>
          <w:sz w:val="18"/>
        </w:rPr>
        <w:t xml:space="preserve">effect sizes for 81 pathways in HCC (TCGA-LIHC, tumor vs. normal, x-axis) versus HF (GSE57338, failing vs. non-failing, y-axis). Translation/ribosome-related pathways (</w:t>
      </w:r>
      <w:r>
        <w:rPr>
          <w:rFonts w:ascii="Times New Roman" w:hAnsi="Times New Roman"/>
          <w:b/>
          <w:i/>
          <w:iCs/>
          <w:sz w:val="18"/>
        </w:rPr>
        <w:t xml:space="preserve">n</w:t>
      </w:r>
      <w:r>
        <w:rPr>
          <w:rFonts w:ascii="Times New Roman" w:hAnsi="Times New Roman"/>
          <w:b/>
          <w:sz w:val="18"/>
        </w:rPr>
        <w:t xml:space="preserve"> </w:t>
      </w:r>
      <w:r>
        <w:rPr>
          <w:rFonts w:ascii="Times New Roman" w:hAnsi="Times New Roman"/>
          <w:b/>
          <w:sz w:val="18"/>
        </w:rPr>
        <w:t xml:space="preserve">= 33) are shown as red points; non-translation pathways (</w:t>
      </w:r>
      <w:r>
        <w:rPr>
          <w:rFonts w:ascii="Times New Roman" w:hAnsi="Times New Roman"/>
          <w:b/>
          <w:i/>
          <w:iCs/>
          <w:sz w:val="18"/>
        </w:rPr>
        <w:t xml:space="preserve">n</w:t>
      </w:r>
      <w:r>
        <w:rPr>
          <w:rFonts w:ascii="Times New Roman" w:hAnsi="Times New Roman"/>
          <w:b/>
          <w:sz w:val="18"/>
        </w:rPr>
        <w:t xml:space="preserve"> </w:t>
      </w:r>
      <w:r>
        <w:rPr>
          <w:rFonts w:ascii="Times New Roman" w:hAnsi="Times New Roman"/>
          <w:b/>
          <w:sz w:val="18"/>
        </w:rPr>
        <w:t xml:space="preserve">= 48) as gray points. For translation pathways, Spearman ρ = −0.598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0.0003; permutation test with 10,000 iterations,</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0.0079). Dashed lines mark</w:t>
      </w:r>
      <w:r>
        <w:rPr>
          <w:rFonts w:ascii="Times New Roman" w:hAnsi="Times New Roman"/>
          <w:b/>
          <w:sz w:val="18"/>
        </w:rPr>
        <w:t xml:space="preserve"> </w:t>
      </w:r>
      <w:r>
        <w:rPr>
          <w:rFonts w:ascii="Times New Roman" w:hAnsi="Times New Roman"/>
          <w:b/>
          <w:i/>
          <w:iCs/>
          <w:sz w:val="18"/>
        </w:rPr>
        <w:t xml:space="preserve">d</w:t>
      </w:r>
      <w:r>
        <w:rPr>
          <w:rFonts w:ascii="Times New Roman" w:hAnsi="Times New Roman"/>
          <w:b/>
          <w:sz w:val="18"/>
        </w:rPr>
        <w:t xml:space="preserve"> </w:t>
      </w:r>
      <w:r>
        <w:rPr>
          <w:rFonts w:ascii="Times New Roman" w:hAnsi="Times New Roman"/>
          <w:b/>
          <w:sz w:val="18"/>
        </w:rPr>
        <w:t xml:space="preserve">= 0; the dotted diagonal (y = −x) represents perfect mirror symmetry. Twenty-four of 33 translation pathways fall in Quadrant IV (HCC↑ HF↓), representing the predominant mirror-direction pattern (binomial test</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&lt; 0.0001). This pathway-level convergence occurs despite distinct co-expression network organization (Fig. 1), indicating that shared functional themes can emerge from disease-specific regulatory architectures.</w:t>
      </w:r>
    </w:p>
    <w:bookmarkEnd w:id="16"/>
    <w:bookmarkStart w:id="20" w:name="X1e10413deeb6a2eb59b6a363e72c13b0cd5b8b4"/>
    <w:p>
      <w:pPr>
        <w:pStyle w:val="Heading3"/>
        <w:spacing w:line="360" w:lineRule="auto"/>
      </w:pPr>
      <w:r>
        <w:rPr>
          <w:rFonts w:ascii="Times New Roman" w:hAnsi="Times New Roman"/>
          <w:b/>
          <w:sz w:val="22"/>
        </w:rPr>
        <w:t xml:space="preserve">Disease and cohort context influence the magnitude of translation-related remodeling</w:t>
      </w:r>
    </w:p>
    <w:p>
      <w:pPr>
        <w:pStyle w:val="FirstParagraph"/>
        <w:spacing w:line="360" w:lineRule="auto"/>
      </w:pPr>
      <w:r>
        <w:rPr>
          <w:rFonts w:ascii="Times New Roman" w:hAnsi="Times New Roman"/>
          <w:sz w:val="22"/>
        </w:rPr>
        <w:t xml:space="preserve">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spacing w:line="360" w:lineRule="auto"/>
      </w:pPr>
      <w:r>
        <w:rPr>
          <w:rFonts w:ascii="Times New Roman" w:hAnsi="Times New Roman"/>
          <w:sz w:val="22"/>
        </w:rPr>
        <w:t xml:space="preserve">The all-pathway Spearman correlation between GSE116250 HF effect sizes and TCGA-LIHC HCC effect sizes remained negative (ρ = −0.283,</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0.011), preserving the overall cross-disease trend. However, the translation-pathway subset did not reproduce the magnitude of mirror perturbation observed in GSE57338 (ρ = +0.249,</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0.162; 14/33 mirror pathways vs. 24/33 in GSE57338). This discrepancy may reflect several contributing factors: (i)</w:t>
      </w:r>
      <w:r>
        <w:rPr>
          <w:rFonts w:ascii="Times New Roman" w:hAnsi="Times New Roman"/>
          <w:sz w:val="22"/>
        </w:rPr>
        <w:t xml:space="preserve"> </w:t>
      </w:r>
      <w:r>
        <w:rPr>
          <w:rFonts w:ascii="Times New Roman" w:hAnsi="Times New Roman"/>
          <w:b/>
          <w:bCs/>
          <w:sz w:val="22"/>
        </w:rPr>
        <w:t xml:space="preserve">disease etiology and severity</w:t>
      </w:r>
      <w:r>
        <w:rPr>
          <w:rFonts w:ascii="Times New Roman" w:hAnsi="Times New Roman"/>
          <w:sz w:val="22"/>
        </w:rPr>
        <w:t xml:space="preserve"> </w:t>
      </w:r>
      <w:r>
        <w:rPr>
          <w:rFonts w:ascii="Times New Roman" w:hAnsi="Times New Roman"/>
          <w:sz w:val="22"/>
        </w:rPr>
        <w:t xml:space="preserve">—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w:t>
      </w:r>
      <w:r>
        <w:rPr>
          <w:rFonts w:ascii="Times New Roman" w:hAnsi="Times New Roman"/>
          <w:sz w:val="22"/>
        </w:rPr>
        <w:t xml:space="preserve"> </w:t>
      </w:r>
      <w:r>
        <w:rPr>
          <w:rFonts w:ascii="Times New Roman" w:hAnsi="Times New Roman"/>
          <w:b/>
          <w:bCs/>
          <w:sz w:val="22"/>
        </w:rPr>
        <w:t xml:space="preserve">platform</w:t>
      </w:r>
      <w:r>
        <w:rPr>
          <w:rFonts w:ascii="Times New Roman" w:hAnsi="Times New Roman"/>
          <w:sz w:val="22"/>
        </w:rPr>
        <w:t xml:space="preserve"> </w:t>
      </w:r>
      <w:r>
        <w:rPr>
          <w:rFonts w:ascii="Times New Roman" w:hAnsi="Times New Roman"/>
          <w:sz w:val="22"/>
        </w:rPr>
        <w:t xml:space="preserve">— microarray (GSE57338) vs. RNA-seq RPKM (GSE116250) may differentially affect pathway-level signal resolution; and (iii)</w:t>
      </w:r>
      <w:r>
        <w:rPr>
          <w:rFonts w:ascii="Times New Roman" w:hAnsi="Times New Roman"/>
          <w:sz w:val="22"/>
        </w:rPr>
        <w:t xml:space="preserve"> </w:t>
      </w:r>
      <w:r>
        <w:rPr>
          <w:rFonts w:ascii="Times New Roman" w:hAnsi="Times New Roman"/>
          <w:b/>
          <w:bCs/>
          <w:sz w:val="22"/>
        </w:rPr>
        <w:t xml:space="preserve">statistical power</w:t>
      </w:r>
      <w:r>
        <w:rPr>
          <w:rFonts w:ascii="Times New Roman" w:hAnsi="Times New Roman"/>
          <w:sz w:val="22"/>
        </w:rPr>
        <w:t xml:space="preserve"> </w:t>
      </w:r>
      <w:r>
        <w:rPr>
          <w:rFonts w:ascii="Times New Roman" w:hAnsi="Times New Roman"/>
          <w:sz w:val="22"/>
        </w:rPr>
        <w:t xml:space="preserve">— the smaller sample size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64 vs.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w:t>
      </w:r>
    </w:p>
    <w:p>
      <w:pPr>
        <w:pStyle w:val="BodyText"/>
        <w:spacing w:line="360" w:lineRule="auto"/>
      </w:pPr>
      <w:r>
        <w:rPr>
          <w:rFonts w:ascii="Times New Roman" w:hAnsi="Times New Roman"/>
          <w:sz w:val="22"/>
        </w:rP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CaptionedFigure"/>
        <w:spacing w:line="360" w:lineRule="auto"/>
      </w:pPr>
      <w:r>
        <w:rPr>
          <w:rFonts w:ascii="Times New Roman" w:hAnsi="Times New Roman"/>
          <w:sz w:val="22"/>
        </w:rPr>
        <w:drawing>
          <wp:inline>
            <wp:extent cx="5334000" cy="4572000"/>
            <wp:effectExtent b="0" l="0" r="0" t="0"/>
            <wp:docPr descr="Figure 3" title="" id="18" name="Picture"/>
            <a:graphic>
              <a:graphicData uri="http://schemas.openxmlformats.org/drawingml/2006/picture">
                <pic:pic>
                  <pic:nvPicPr>
                    <pic:cNvPr descr="figures/Figure_S5_Validation_SameOrgan_Controls.png" id="19" name="Picture"/>
                    <pic:cNvPicPr>
                      <a:picLocks noChangeArrowheads="1" noChangeAspect="1"/>
                    </pic:cNvPicPr>
                  </pic:nvPicPr>
                  <pic:blipFill>
                    <a:blip r:embed="rId1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sz w:val="22"/>
        </w:rPr>
        <w:t xml:space="preserve">Figure 3</w:t>
      </w:r>
    </w:p>
    <w:p>
      <w:pPr>
        <w:pStyle w:val="BodyText"/>
        <w:spacing w:line="360" w:lineRule="auto"/>
        <w:jc w:val="left"/>
      </w:pPr>
      <w:r>
        <w:rPr>
          <w:rFonts w:ascii="Times New Roman" w:hAnsi="Times New Roman"/>
          <w:b/>
          <w:bCs/>
          <w:sz w:val="18"/>
        </w:rPr>
        <w:t xml:space="preserve">Fig. 3 | Cohort dependency and disease-context analyses of cross-disease mirror perturbation.</w:t>
      </w:r>
      <w:r>
        <w:rPr>
          <w:rFonts w:ascii="Times New Roman" w:hAnsi="Times New Roman"/>
          <w:b/>
          <w:sz w:val="18"/>
        </w:rPr>
        <w:t xml:space="preserve"> </w:t>
      </w:r>
      <w:r>
        <w:rPr>
          <w:rFonts w:ascii="Times New Roman" w:hAnsi="Times New Roman"/>
          <w:b/>
          <w:sz w:val="18"/>
        </w:rPr>
        <w:t xml:space="preserve">Cross-disease Spearman correlation of pathway-level Cohen’s</w:t>
      </w:r>
      <w:r>
        <w:rPr>
          <w:rFonts w:ascii="Times New Roman" w:hAnsi="Times New Roman"/>
          <w:b/>
          <w:sz w:val="18"/>
        </w:rPr>
        <w:t xml:space="preserve"> </w:t>
      </w:r>
      <w:r>
        <w:rPr>
          <w:rFonts w:ascii="Times New Roman" w:hAnsi="Times New Roman"/>
          <w:b/>
          <w:i/>
          <w:iCs/>
          <w:sz w:val="18"/>
        </w:rPr>
        <w:t xml:space="preserve">d</w:t>
      </w:r>
      <w:r>
        <w:rPr>
          <w:rFonts w:ascii="Times New Roman" w:hAnsi="Times New Roman"/>
          <w:b/>
          <w:sz w:val="18"/>
        </w:rPr>
        <w:t xml:space="preserve"> </w:t>
      </w:r>
      <w:r>
        <w:rPr>
          <w:rFonts w:ascii="Times New Roman" w:hAnsi="Times New Roman"/>
          <w:b/>
          <w:sz w:val="18"/>
        </w:rPr>
        <w:t xml:space="preserve">effect sizes (x-axis: HCC, TCGA-LIHC) for 33 translation-related pathways (red) and 48 other pathways (gray).</w:t>
      </w:r>
      <w:r>
        <w:rPr>
          <w:rFonts w:ascii="Times New Roman" w:hAnsi="Times New Roman"/>
          <w:b/>
          <w:sz w:val="18"/>
        </w:rPr>
        <w:t xml:space="preserve"> </w:t>
      </w:r>
      <w:r>
        <w:rPr>
          <w:rFonts w:ascii="Times New Roman" w:hAnsi="Times New Roman"/>
          <w:b/>
          <w:bCs/>
          <w:sz w:val="18"/>
        </w:rPr>
        <w:t xml:space="preserve">a</w:t>
      </w:r>
      <w:r>
        <w:rPr>
          <w:rFonts w:ascii="Times New Roman" w:hAnsi="Times New Roman"/>
          <w:b/>
          <w:sz w:val="18"/>
        </w:rPr>
        <w:t xml:space="preserve">, HF discovery cohort (GSE57338): ρ = −0.598, 24/33 mirror.</w:t>
      </w:r>
      <w:r>
        <w:rPr>
          <w:rFonts w:ascii="Times New Roman" w:hAnsi="Times New Roman"/>
          <w:b/>
          <w:sz w:val="18"/>
        </w:rPr>
        <w:t xml:space="preserve"> </w:t>
      </w:r>
      <w:r>
        <w:rPr>
          <w:rFonts w:ascii="Times New Roman" w:hAnsi="Times New Roman"/>
          <w:b/>
          <w:bCs/>
          <w:sz w:val="18"/>
        </w:rPr>
        <w:t xml:space="preserve">b</w:t>
      </w:r>
      <w:r>
        <w:rPr>
          <w:rFonts w:ascii="Times New Roman" w:hAnsi="Times New Roman"/>
          <w:b/>
          <w:sz w:val="18"/>
        </w:rPr>
        <w:t xml:space="preserve">, Cardiac same-organ control (GSE141910, HCM vs. NF): ρ = −0.036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0.84) — no mirror perturbation, excluding a generic cardiac disease effect.</w:t>
      </w:r>
      <w:r>
        <w:rPr>
          <w:rFonts w:ascii="Times New Roman" w:hAnsi="Times New Roman"/>
          <w:b/>
          <w:sz w:val="18"/>
        </w:rPr>
        <w:t xml:space="preserve"> </w:t>
      </w:r>
      <w:r>
        <w:rPr>
          <w:rFonts w:ascii="Times New Roman" w:hAnsi="Times New Roman"/>
          <w:b/>
          <w:bCs/>
          <w:sz w:val="18"/>
        </w:rPr>
        <w:t xml:space="preserve">c</w:t>
      </w:r>
      <w:r>
        <w:rPr>
          <w:rFonts w:ascii="Times New Roman" w:hAnsi="Times New Roman"/>
          <w:b/>
          <w:sz w:val="18"/>
        </w:rPr>
        <w:t xml:space="preserve">, Liver same-organ control (GSE89377, cirrhosis vs. normal): ρ = +0.402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0.021) — translation pathways positively correlated with HCC, consistent with progressive remodeling of translation-related programs during hepatocarcinogenesis.</w:t>
      </w:r>
      <w:r>
        <w:rPr>
          <w:rFonts w:ascii="Times New Roman" w:hAnsi="Times New Roman"/>
          <w:b/>
          <w:sz w:val="18"/>
        </w:rPr>
        <w:t xml:space="preserve"> </w:t>
      </w:r>
      <w:r>
        <w:rPr>
          <w:rFonts w:ascii="Times New Roman" w:hAnsi="Times New Roman"/>
          <w:b/>
          <w:bCs/>
          <w:sz w:val="18"/>
        </w:rPr>
        <w:t xml:space="preserve">d</w:t>
      </w:r>
      <w:r>
        <w:rPr>
          <w:rFonts w:ascii="Times New Roman" w:hAnsi="Times New Roman"/>
          <w:b/>
          <w:sz w:val="18"/>
        </w:rPr>
        <w:t xml:space="preserve">, Independent HF cohort (GSE116250): overall cross-disease trend retained (all-pathway ρ = −0.283,</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20"/>
    <w:bookmarkStart w:id="24" w:name="X02ce305d1f65b16a947188421433840c43c55eb"/>
    <w:p>
      <w:pPr>
        <w:pStyle w:val="Heading3"/>
        <w:spacing w:line="360" w:lineRule="auto"/>
      </w:pPr>
      <w:r>
        <w:rPr>
          <w:rFonts w:ascii="Times New Roman" w:hAnsi="Times New Roman"/>
          <w:b/>
          <w:sz w:val="22"/>
        </w:rPr>
        <w:t xml:space="preserve">Exploratory assessment of TATS clinical associations</w:t>
      </w:r>
    </w:p>
    <w:p>
      <w:pPr>
        <w:pStyle w:val="FirstParagraph"/>
        <w:spacing w:line="360" w:lineRule="auto"/>
      </w:pPr>
      <w:r>
        <w:rPr>
          <w:rFonts w:ascii="Times New Roman" w:hAnsi="Times New Roman"/>
          <w:sz w:val="22"/>
        </w:rPr>
        <w:t xml:space="preserve">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spacing w:line="360" w:lineRule="auto"/>
      </w:pPr>
      <w:r>
        <w:rPr>
          <w:rFonts w:ascii="Times New Roman" w:hAnsi="Times New Roman"/>
          <w:sz w:val="22"/>
        </w:rPr>
        <w:t xml:space="preserve">TATS was not significantly associated with overall survival in GSE141198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148, 94 events; log-rank</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0.303; Fig. 4a). When analyzed as a continuous variable, TATS was also non-significant in Cox regression (HR = 1.68, 95% CI [0.67, 4.21],</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0.265). Stratification by etiology (HBV, HCV, NBNC) revealed no significant association between TATS and survival in any subgroup. Across all three independent HCC cohorts — GSE141198, GSE14520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221), and GSE76427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and their aggregate expression level in tumor tissue may not capture the clinical dimension most relevant to HCC outcome.</w:t>
      </w:r>
    </w:p>
    <w:p>
      <w:pPr>
        <w:pStyle w:val="CaptionedFigure"/>
        <w:spacing w:line="360" w:lineRule="auto"/>
      </w:pPr>
      <w:r>
        <w:rPr>
          <w:rFonts w:ascii="Times New Roman" w:hAnsi="Times New Roman"/>
          <w:sz w:val="22"/>
        </w:rPr>
        <w:drawing>
          <wp:inline>
            <wp:extent cx="5334000" cy="2667000"/>
            <wp:effectExtent b="0" l="0" r="0" t="0"/>
            <wp:docPr descr="Figure 4" title="" id="22" name="Picture"/>
            <a:graphic>
              <a:graphicData uri="http://schemas.openxmlformats.org/drawingml/2006/picture">
                <pic:pic>
                  <pic:nvPicPr>
                    <pic:cNvPr descr="figures/Figure4_TATS_Validation.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sz w:val="22"/>
        </w:rPr>
        <w:t xml:space="preserve">Figure 4</w:t>
      </w:r>
    </w:p>
    <w:p>
      <w:pPr>
        <w:pStyle w:val="BodyText"/>
        <w:spacing w:line="360" w:lineRule="auto"/>
        <w:jc w:val="left"/>
      </w:pPr>
      <w:r>
        <w:rPr>
          <w:rFonts w:ascii="Times New Roman" w:hAnsi="Times New Roman"/>
          <w:b/>
          <w:bCs/>
          <w:sz w:val="18"/>
        </w:rPr>
        <w:t xml:space="preserve">Fig. 4 | TATS exploratory clinical association and hub gene significance.</w:t>
      </w:r>
      <w:r>
        <w:rPr>
          <w:rFonts w:ascii="Times New Roman" w:hAnsi="Times New Roman"/>
          <w:b/>
          <w:sz w:val="18"/>
        </w:rPr>
        <w:t xml:space="preserve"> </w:t>
      </w:r>
      <w:r>
        <w:rPr>
          <w:rFonts w:ascii="Times New Roman" w:hAnsi="Times New Roman"/>
          <w:b/>
          <w:bCs/>
          <w:sz w:val="18"/>
        </w:rPr>
        <w:t xml:space="preserve">a</w:t>
      </w:r>
      <w:r>
        <w:rPr>
          <w:rFonts w:ascii="Times New Roman" w:hAnsi="Times New Roman"/>
          <w:b/>
          <w:sz w:val="18"/>
        </w:rPr>
        <w:t xml:space="preserve">, Kaplan–Meier overall survival curves for TATS (median split) in the GSE141198 HCC cohort (</w:t>
      </w:r>
      <w:r>
        <w:rPr>
          <w:rFonts w:ascii="Times New Roman" w:hAnsi="Times New Roman"/>
          <w:b/>
          <w:i/>
          <w:iCs/>
          <w:sz w:val="18"/>
        </w:rPr>
        <w:t xml:space="preserve">n</w:t>
      </w:r>
      <w:r>
        <w:rPr>
          <w:rFonts w:ascii="Times New Roman" w:hAnsi="Times New Roman"/>
          <w:b/>
          <w:sz w:val="18"/>
        </w:rPr>
        <w:t xml:space="preserve"> </w:t>
      </w:r>
      <w:r>
        <w:rPr>
          <w:rFonts w:ascii="Times New Roman" w:hAnsi="Times New Roman"/>
          <w:b/>
          <w:sz w:val="18"/>
        </w:rPr>
        <w:t xml:space="preserve">= 148, 94 events). Log-rank</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0.303; Cox HR = 1.68, 95% CI [0.67, 4.21],</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0.265. TATS was not significantly associated with overall survival.</w:t>
      </w:r>
      <w:r>
        <w:rPr>
          <w:rFonts w:ascii="Times New Roman" w:hAnsi="Times New Roman"/>
          <w:b/>
          <w:sz w:val="18"/>
        </w:rPr>
        <w:t xml:space="preserve"> </w:t>
      </w:r>
      <w:r>
        <w:rPr>
          <w:rFonts w:ascii="Times New Roman" w:hAnsi="Times New Roman"/>
          <w:b/>
          <w:bCs/>
          <w:sz w:val="18"/>
        </w:rPr>
        <w:t xml:space="preserve">b</w:t>
      </w:r>
      <w:r>
        <w:rPr>
          <w:rFonts w:ascii="Times New Roman" w:hAnsi="Times New Roman"/>
          <w:b/>
          <w:sz w:val="18"/>
        </w:rPr>
        <w:t xml:space="preserve">, Gene Significance (Pearson correlation with HF status) for the top ten green module hub genes in GSE57338. All hub genes show negative Gene Significance, consistent with reduced expression of translation-associated hub genes in HF.</w:t>
      </w:r>
    </w:p>
    <w:bookmarkEnd w:id="24"/>
    <w:bookmarkStart w:id="28" w:name="Xf77b5fd22659b51cc58db1acf92e254d9aa3f77"/>
    <w:p>
      <w:pPr>
        <w:pStyle w:val="Heading3"/>
        <w:spacing w:line="360" w:lineRule="auto"/>
      </w:pPr>
      <w:r>
        <w:rPr>
          <w:rFonts w:ascii="Times New Roman" w:hAnsi="Times New Roman"/>
          <w:b/>
          <w:sz w:val="22"/>
        </w:rPr>
        <w:t xml:space="preserve">Regulatory associations with translation-related transcriptional programs</w:t>
      </w:r>
    </w:p>
    <w:p>
      <w:pPr>
        <w:pStyle w:val="FirstParagraph"/>
        <w:spacing w:line="360" w:lineRule="auto"/>
      </w:pPr>
      <w:r>
        <w:rPr>
          <w:rFonts w:ascii="Times New Roman" w:hAnsi="Times New Roman"/>
          <w:sz w:val="22"/>
        </w:rPr>
        <w:t xml:space="preserve">Given that translation-related programs exhibit disease-specific network organization and pathway-level mirror perturbation but limited clinical prognostic value, we next investigated which transcriptional programs are associated with translation-related transcriptional program activity. To address this, we performed systematic transcription factor (TF)–TATS correlation analysis across GSE141198 tumor samples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148). Nineteen candidate TFs were selected, encompassing stress response-related TFs (ATF4, DDIT3, XBP1, HIF1A, NFE2L2, TP53), cell-cycle regulators (E2F family, E2F1–E2F8), and growth/proliferation regulators (MYC, MYCN, MYCL, MTOR, RPTOR).</w:t>
      </w:r>
    </w:p>
    <w:p>
      <w:pPr>
        <w:pStyle w:val="BodyText"/>
        <w:spacing w:line="360" w:lineRule="auto"/>
      </w:pPr>
      <w:r>
        <w:rPr>
          <w:rFonts w:ascii="Times New Roman" w:hAnsi="Times New Roman"/>
          <w:sz w:val="22"/>
        </w:rPr>
        <w:t xml:space="preserve">At the pathway activity level,</w:t>
      </w:r>
      <w:r>
        <w:rPr>
          <w:rFonts w:ascii="Times New Roman" w:hAnsi="Times New Roman"/>
          <w:sz w:val="22"/>
        </w:rPr>
        <w:t xml:space="preserve"> </w:t>
      </w:r>
      <w:r>
        <w:rPr>
          <w:rFonts w:ascii="Times New Roman" w:hAnsi="Times New Roman"/>
          <w:b/>
          <w:bCs/>
          <w:sz w:val="22"/>
        </w:rPr>
        <w:t xml:space="preserve">MYC target pathway activity showed the strongest overall correlation with TATS</w:t>
      </w:r>
      <w:r>
        <w:rPr>
          <w:rFonts w:ascii="Times New Roman" w:hAnsi="Times New Roman"/>
          <w:sz w:val="22"/>
        </w:rPr>
        <w:t xml:space="preserve"> </w:t>
      </w:r>
      <w:r>
        <w:rPr>
          <w:rFonts w:ascii="Times New Roman" w:hAnsi="Times New Roman"/>
          <w:sz w:val="22"/>
        </w:rPr>
        <w:t xml:space="preserve">(MYC Targets V2: ρ = +0.753,</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 MYC Targets V1: ρ = +0.459,</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(Supplementary Table 7). MYC Targets V2 showed 9 overlapping genes (4.0% of TATS; Jaccard index = 0.033), MYC Targets V1 showed 12 (5.3%), and E2F Targets showed 4 (1.8%). De-overlap sensitivity analysis — removing the nine shared genes from TATS and recomputing all TF–TATS correlations — indicated that the correlation pattern remained similar: ATF4–TATS ρ = 0.499 (vs. 0.500 original), MYC mRNA–TATS ρ = 0.223 (vs. 0.255) (Supplementary Table 7). Of the nine overlapping genes between TATS and MYC Targets V2, eight were present in the GSE141198 expression matrix (one gene was absent due to platform annotation filtering). TATS-side de-overlap — removing these eight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 and MTORC1 Signaling (ρ = +0.335,</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 pathway activities were also positively associated with TATS, consistent with the proliferative association of translation-related transcriptional remodeling.</w:t>
      </w:r>
    </w:p>
    <w:p>
      <w:pPr>
        <w:pStyle w:val="BodyText"/>
        <w:spacing w:line="360" w:lineRule="auto"/>
      </w:pPr>
      <w:r>
        <w:rPr>
          <w:rFonts w:ascii="Times New Roman" w:hAnsi="Times New Roman"/>
          <w:sz w:val="22"/>
        </w:rPr>
        <w:t xml:space="preserve">At the individual TF expression level, eleven of nineteen TFs were significantly correlated with TATS at FDR &lt; 0.05. Among these,</w:t>
      </w:r>
      <w:r>
        <w:rPr>
          <w:rFonts w:ascii="Times New Roman" w:hAnsi="Times New Roman"/>
          <w:sz w:val="22"/>
        </w:rPr>
        <w:t xml:space="preserve"> </w:t>
      </w:r>
      <w:r>
        <w:rPr>
          <w:rFonts w:ascii="Times New Roman" w:hAnsi="Times New Roman"/>
          <w:b/>
          <w:bCs/>
          <w:sz w:val="22"/>
        </w:rPr>
        <w:t xml:space="preserve">ATF4 showed the strongest association among individual TF transcripts</w:t>
      </w:r>
      <w:r>
        <w:rPr>
          <w:rFonts w:ascii="Times New Roman" w:hAnsi="Times New Roman"/>
          <w:sz w:val="22"/>
        </w:rPr>
        <w:t xml:space="preserve"> </w:t>
      </w:r>
      <w:r>
        <w:rPr>
          <w:rFonts w:ascii="Times New Roman" w:hAnsi="Times New Roman"/>
          <w:sz w:val="22"/>
        </w:rPr>
        <w:t xml:space="preserve">(ρ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Supplementary Table 6.</w:t>
      </w:r>
    </w:p>
    <w:p>
      <w:pPr>
        <w:pStyle w:val="BodyText"/>
        <w:spacing w:line="360" w:lineRule="auto"/>
      </w:pPr>
      <w:r>
        <w:rPr>
          <w:rFonts w:ascii="Times New Roman" w:hAnsi="Times New Roman"/>
          <w:sz w:val="22"/>
        </w:rPr>
        <w:t xml:space="preserve">These results identify two associated transcriptional dimensions linked to translation-related transcriptional programs in HCC: (i)</w:t>
      </w:r>
      <w:r>
        <w:rPr>
          <w:rFonts w:ascii="Times New Roman" w:hAnsi="Times New Roman"/>
          <w:sz w:val="22"/>
        </w:rPr>
        <w:t xml:space="preserve"> </w:t>
      </w:r>
      <w:r>
        <w:rPr>
          <w:rFonts w:ascii="Times New Roman" w:hAnsi="Times New Roman"/>
          <w:b/>
          <w:bCs/>
          <w:sz w:val="22"/>
        </w:rPr>
        <w:t xml:space="preserve">proliferative demand</w:t>
      </w:r>
      <w:r>
        <w:rPr>
          <w:rFonts w:ascii="Times New Roman" w:hAnsi="Times New Roman"/>
          <w:sz w:val="22"/>
        </w:rPr>
        <w:t xml:space="preserve"> </w:t>
      </w:r>
      <w:r>
        <w:rPr>
          <w:rFonts w:ascii="Times New Roman" w:hAnsi="Times New Roman"/>
          <w:sz w:val="22"/>
        </w:rPr>
        <w:t xml:space="preserve">— MYC target pathway activity (ρ = +0.753), reflecting the association between proliferative signaling and translation-related transcriptional programs; and (ii)</w:t>
      </w:r>
      <w:r>
        <w:rPr>
          <w:rFonts w:ascii="Times New Roman" w:hAnsi="Times New Roman"/>
          <w:sz w:val="22"/>
        </w:rPr>
        <w:t xml:space="preserve"> </w:t>
      </w:r>
      <w:r>
        <w:rPr>
          <w:rFonts w:ascii="Times New Roman" w:hAnsi="Times New Roman"/>
          <w:b/>
          <w:bCs/>
          <w:sz w:val="22"/>
        </w:rPr>
        <w:t xml:space="preserve">stress-responsive signaling</w:t>
      </w:r>
      <w:r>
        <w:rPr>
          <w:rFonts w:ascii="Times New Roman" w:hAnsi="Times New Roman"/>
          <w:sz w:val="22"/>
        </w:rPr>
        <w:t xml:space="preserve"> </w:t>
      </w:r>
      <w:r>
        <w:rPr>
          <w:rFonts w:ascii="Times New Roman" w:hAnsi="Times New Roman"/>
          <w:sz w:val="22"/>
        </w:rPr>
        <w:t xml:space="preserve">—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pPr>
        <w:pStyle w:val="CaptionedFigure"/>
        <w:spacing w:line="360" w:lineRule="auto"/>
      </w:pPr>
      <w:r>
        <w:rPr>
          <w:rFonts w:ascii="Times New Roman" w:hAnsi="Times New Roman"/>
          <w:sz w:val="22"/>
        </w:rPr>
        <w:drawing>
          <wp:inline>
            <wp:extent cx="5334000" cy="5067299"/>
            <wp:effectExtent b="0" l="0" r="0" t="0"/>
            <wp:docPr descr="Figure 5" title="" id="26" name="Picture"/>
            <a:graphic>
              <a:graphicData uri="http://schemas.openxmlformats.org/drawingml/2006/picture">
                <pic:pic>
                  <pic:nvPicPr>
                    <pic:cNvPr descr="figures/Figure5_Combined.png" id="27" name="Picture"/>
                    <pic:cNvPicPr>
                      <a:picLocks noChangeArrowheads="1" noChangeAspect="1"/>
                    </pic:cNvPicPr>
                  </pic:nvPicPr>
                  <pic:blipFill>
                    <a:blip r:embed="rId25"/>
                    <a:stretch>
                      <a:fillRect/>
                    </a:stretch>
                  </pic:blipFill>
                  <pic:spPr bwMode="auto">
                    <a:xfrm>
                      <a:off x="0" y="0"/>
                      <a:ext cx="5334000" cy="506729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sz w:val="22"/>
        </w:rPr>
        <w:t xml:space="preserve">Figure 5</w:t>
      </w:r>
    </w:p>
    <w:p>
      <w:pPr>
        <w:pStyle w:val="BodyText"/>
        <w:spacing w:line="360" w:lineRule="auto"/>
        <w:jc w:val="left"/>
      </w:pPr>
      <w:r>
        <w:rPr>
          <w:rFonts w:ascii="Times New Roman" w:hAnsi="Times New Roman"/>
          <w:b/>
          <w:bCs/>
          <w:sz w:val="18"/>
        </w:rPr>
        <w:t xml:space="preserve">Fig. 5 | Transcription factor associations, pathway activity, and conceptual model of translation-related transcriptional remodeling in HCC.</w:t>
      </w:r>
      <w:r>
        <w:rPr>
          <w:rFonts w:ascii="Times New Roman" w:hAnsi="Times New Roman"/>
          <w:b/>
          <w:sz w:val="18"/>
        </w:rPr>
        <w:t xml:space="preserve"> </w:t>
      </w:r>
      <w:r>
        <w:rPr>
          <w:rFonts w:ascii="Times New Roman" w:hAnsi="Times New Roman"/>
          <w:b/>
          <w:bCs/>
          <w:sz w:val="18"/>
        </w:rPr>
        <w:t xml:space="preserve">a</w:t>
      </w:r>
      <w:r>
        <w:rPr>
          <w:rFonts w:ascii="Times New Roman" w:hAnsi="Times New Roman"/>
          <w:b/>
          <w:sz w:val="18"/>
        </w:rPr>
        <w:t xml:space="preserve">, Spearman correlation of 19 candidate transcription factors with TATS in GSE141198 tumor samples (</w:t>
      </w:r>
      <w:r>
        <w:rPr>
          <w:rFonts w:ascii="Times New Roman" w:hAnsi="Times New Roman"/>
          <w:b/>
          <w:i/>
          <w:iCs/>
          <w:sz w:val="18"/>
        </w:rPr>
        <w:t xml:space="preserve">n</w:t>
      </w:r>
      <w:r>
        <w:rPr>
          <w:rFonts w:ascii="Times New Roman" w:hAnsi="Times New Roman"/>
          <w:b/>
          <w:sz w:val="18"/>
        </w:rPr>
        <w:t xml:space="preserve"> </w:t>
      </w:r>
      <w:r>
        <w:rPr>
          <w:rFonts w:ascii="Times New Roman" w:hAnsi="Times New Roman"/>
          <w:b/>
          <w:sz w:val="18"/>
        </w:rPr>
        <w:t xml:space="preserve">= 148). Red bars: positive correlation (FDR &lt; 0.05); blue bars: negative correlation (FDR &lt; 0.05); gray: not significant. ATF4 is the strongest individual TF correlate (ρ = +0.500, FDR &lt; 0.0001).</w:t>
      </w:r>
      <w:r>
        <w:rPr>
          <w:rFonts w:ascii="Times New Roman" w:hAnsi="Times New Roman"/>
          <w:b/>
          <w:sz w:val="18"/>
        </w:rPr>
        <w:t xml:space="preserve"> </w:t>
      </w:r>
      <w:r>
        <w:rPr>
          <w:rFonts w:ascii="Times New Roman" w:hAnsi="Times New Roman"/>
          <w:b/>
          <w:bCs/>
          <w:sz w:val="18"/>
        </w:rPr>
        <w:t xml:space="preserve">b</w:t>
      </w:r>
      <w:r>
        <w:rPr>
          <w:rFonts w:ascii="Times New Roman" w:hAnsi="Times New Roman"/>
          <w:b/>
          <w:sz w:val="18"/>
        </w:rPr>
        <w:t xml:space="preserve">, Spearman correlation of Hallmark pathway ssGSEA scores with TATS. MYC Targets V2 pathway activity shows the strongest overall association (ρ = +0.753,</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&lt; 0.0001), exceeding MYC mRNA level alone (ρ = +0.255). ATF4/ISR (stress-responsive) and MYC (proliferative) represent complementary transcriptional dimensions associated with translation-related transcriptional remodeling.</w:t>
      </w:r>
      <w:r>
        <w:rPr>
          <w:rFonts w:ascii="Times New Roman" w:hAnsi="Times New Roman"/>
          <w:b/>
          <w:sz w:val="18"/>
        </w:rPr>
        <w:t xml:space="preserve"> </w:t>
      </w:r>
      <w:r>
        <w:rPr>
          <w:rFonts w:ascii="Times New Roman" w:hAnsi="Times New Roman"/>
          <w:b/>
          <w:bCs/>
          <w:sz w:val="18"/>
        </w:rPr>
        <w:t xml:space="preserve">c</w:t>
      </w:r>
      <w:r>
        <w:rPr>
          <w:rFonts w:ascii="Times New Roman" w:hAnsi="Times New Roman"/>
          <w:b/>
          <w:sz w:val="18"/>
        </w:rPr>
        <w:t xml:space="preserve">, Conceptual model of disease-context-dependent remodeling. (Top) HF and HCC exhibit distinct co-expression network organization (green module, 227 genes, ribosome biogenesis vs. blue module, 1,315 genes, cytoplasmic translation) with limited gene-level overlap (Fisher’s exact test, OR = 1.7,</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 </w:t>
      </w:r>
      <w:r>
        <w:rPr>
          <w:rFonts w:ascii="Times New Roman" w:hAnsi="Times New Roman"/>
          <w:b/>
          <w:sz w:val="18"/>
        </w:rPr>
        <w:t xml:space="preserve">=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bookmarkEnd w:id="28"/>
    <w:bookmarkEnd w:id="29"/>
    <w:bookmarkStart w:id="30" w:name="discussion"/>
    <w:p>
      <w:pPr>
        <w:pStyle w:val="Heading2"/>
        <w:spacing w:line="360" w:lineRule="auto"/>
      </w:pPr>
      <w:r>
        <w:rPr>
          <w:rFonts w:ascii="Times New Roman" w:hAnsi="Times New Roman"/>
          <w:b/>
          <w:sz w:val="22"/>
        </w:rPr>
        <w:t xml:space="preserve">Discussion</w:t>
      </w:r>
    </w:p>
    <w:p>
      <w:pPr>
        <w:pStyle w:val="FirstParagraph"/>
        <w:spacing w:line="360" w:lineRule="auto"/>
      </w:pPr>
      <w:r>
        <w:rPr>
          <w:rFonts w:ascii="Times New Roman" w:hAnsi="Times New Roman"/>
          <w:sz w:val="22"/>
        </w:rPr>
        <w:t xml:space="preserve">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0.039). Second, despite this network-level divergence, translation pathways exhibited convergent mirror perturbation at the pathway level: 24 of 33 translation-related pathways showed opposite-direction changes in HCC and HF (Spearman ρ = −0.598,</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spacing w:line="360" w:lineRule="auto"/>
      </w:pPr>
      <w:r>
        <w:rPr>
          <w:rFonts w:ascii="Times New Roman" w:hAnsi="Times New Roman"/>
          <w:sz w:val="22"/>
        </w:rPr>
        <w:t xml:space="preserve">The contrast between distinct network organization and convergent pathway-level alterations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w:t>
      </w:r>
      <w:r>
        <w:rPr>
          <w:rFonts w:ascii="Times New Roman" w:hAnsi="Times New Roman"/>
          <w:sz w:val="22"/>
        </w:rPr>
        <w:t xml:space="preserve"> </w:t>
      </w:r>
      <w:r>
        <w:rPr>
          <w:rFonts w:ascii="Times New Roman" w:hAnsi="Times New Roman"/>
          <w:sz w:val="22"/>
        </w:rPr>
        <w:t xml:space="preserve">“conserved module”</w:t>
      </w:r>
      <w:r>
        <w:rPr>
          <w:rFonts w:ascii="Times New Roman" w:hAnsi="Times New Roman"/>
          <w:sz w:val="22"/>
        </w:rPr>
        <w:t xml:space="preserve"> </w:t>
      </w:r>
      <w:r>
        <w:rPr>
          <w:rFonts w:ascii="Times New Roman" w:hAnsi="Times New Roman"/>
          <w:sz w:val="22"/>
        </w:rPr>
        <w:t xml:space="preserve">model and provides a more nuanced lens for cross-disease transcriptomic comparisons.</w:t>
      </w:r>
    </w:p>
    <w:p>
      <w:pPr>
        <w:pStyle w:val="BodyText"/>
        <w:spacing w:line="360" w:lineRule="auto"/>
      </w:pPr>
      <w:r>
        <w:rPr>
          <w:rFonts w:ascii="Times New Roman" w:hAnsi="Times New Roman"/>
          <w:sz w:val="22"/>
        </w:rP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pPr>
        <w:pStyle w:val="BodyText"/>
        <w:spacing w:line="360" w:lineRule="auto"/>
      </w:pPr>
      <w:r>
        <w:rPr>
          <w:rFonts w:ascii="Times New Roman" w:hAnsi="Times New Roman"/>
          <w:sz w:val="22"/>
        </w:rP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w:t>
      </w:r>
      <w:r>
        <w:rPr>
          <w:rFonts w:ascii="Times New Roman" w:hAnsi="Times New Roman"/>
          <w:sz w:val="22"/>
          <w:vertAlign w:val="superscript"/>
        </w:rPr>
        <w:t xmlns:ns92="http://schemas.xmlsoap.org/soap/envelope/" ns92:space="preserve">[19,20,21]</w:t>
      </w:r>
      <w:r>
        <w:rPr>
          <w:rFonts w:ascii="Times New Roman" w:hAnsi="Times New Roman"/>
          <w:sz w:val="22"/>
        </w:rPr>
        <w:t xmlns:ns95="http://schemas.xmlsoap.org/soap/envelope/" ns95:space="preserve">. The smaller effect sizes in HF compared with HCC further suggest that reduced translation-associated activity in the failing heart reflects gradual, incomplete compensation rather than the robust oncogene-driven transcriptional reprogramming characteristic of cancer.</w:t>
      </w:r>
    </w:p>
    <w:p>
      <w:pPr>
        <w:pStyle w:val="BodyText"/>
        <w:spacing w:line="360" w:lineRule="auto"/>
      </w:pPr>
      <w:r>
        <w:rPr>
          <w:rFonts w:ascii="Times New Roman" w:hAnsi="Times New Roman"/>
          <w:sz w:val="22"/>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w:t>
      </w:r>
      <w:r>
        <w:rPr>
          <w:rFonts w:ascii="Times New Roman" w:hAnsi="Times New Roman"/>
          <w:sz w:val="22"/>
          <w:vertAlign w:val="superscript"/>
        </w:rPr>
        <w:t xmlns:ns108="http://schemas.xmlsoap.org/soap/envelope/" ns108:space="preserve">[8,12,22]</w:t>
      </w:r>
      <w:r>
        <w:rPr>
          <w:rFonts w:ascii="Times New Roman" w:hAnsi="Times New Roman"/>
          <w:sz w:val="22"/>
        </w:rPr>
        <w:t xmlns:ns111="http://schemas.xmlsoap.org/soap/envelope/" ns111:space="preserve">.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w:t>
      </w:r>
      <w:r>
        <w:rPr>
          <w:rFonts w:ascii="Times New Roman" w:hAnsi="Times New Roman"/>
          <w:sz w:val="22"/>
          <w:vertAlign w:val="superscript"/>
        </w:rPr>
        <w:t xmlns:ns100="http://schemas.xmlsoap.org/soap/envelope/" ns100:space="preserve">[23,24,25]</w:t>
      </w:r>
      <w:r>
        <w:rPr>
          <w:rFonts w:ascii="Times New Roman" w:hAnsi="Times New Roman"/>
          <w:sz w:val="22"/>
        </w:rPr>
        <w:t xmlns:ns103="http://schemas.xmlsoap.org/soap/envelope/" ns103:space="preserve">;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spacing w:line="360" w:lineRule="auto"/>
      </w:pPr>
      <w:r>
        <w:rPr>
          <w:rFonts w:ascii="Times New Roman" w:hAnsi="Times New Roman"/>
          <w:sz w:val="22"/>
        </w:rPr>
        <w:t xml:space="preserve">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0.303; Cox HR = 1.68, 95% CI [0.67, 4.21],</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pPr>
        <w:pStyle w:val="BodyText"/>
        <w:spacing w:line="360" w:lineRule="auto"/>
      </w:pPr>
      <w:r>
        <w:rPr>
          <w:rFonts w:ascii="Times New Roman" w:hAnsi="Times New Roman"/>
          <w:sz w:val="22"/>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w:t>
      </w:r>
      <w:r>
        <w:rPr>
          <w:rFonts w:ascii="Times New Roman" w:hAnsi="Times New Roman"/>
          <w:sz w:val="22"/>
          <w:vertAlign w:val="superscript"/>
        </w:rPr>
        <w:t xmlns:ns116="http://schemas.xmlsoap.org/soap/envelope/" ns116:space="preserve">[26]</w:t>
      </w:r>
      <w:r>
        <w:rPr>
          <w:rFonts w:ascii="Times New Roman" w:hAnsi="Times New Roman"/>
          <w:sz w:val="22"/>
        </w:rPr>
        <w:t xmlns:ns119="http://schemas.xmlsoap.org/soap/envelope/" ns119:space="preserve">.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w:t>
      </w:r>
      <w:r>
        <w:rPr>
          <w:rFonts w:ascii="Times New Roman" w:hAnsi="Times New Roman"/>
          <w:sz w:val="22"/>
        </w:rPr>
        <w:t xml:space="preserve"> </w:t>
      </w:r>
      <w:r>
        <w:rPr>
          <w:rFonts w:ascii="Times New Roman" w:hAnsi="Times New Roman"/>
          <w:i/>
          <w:iCs/>
          <w:sz w:val="22"/>
        </w:rPr>
        <w:t xml:space="preserve">Z</w:t>
      </w:r>
      <w:r>
        <w:rPr>
          <w:rFonts w:ascii="Times New Roman" w:hAnsi="Times New Roman"/>
          <w:sz w:val="22"/>
        </w:rPr>
        <w:t xml:space="preserve">summary</w:t>
      </w:r>
      <w:r>
        <w:rPr>
          <w:rFonts w:ascii="Times New Roman" w:hAnsi="Times New Roman"/>
          <w:sz w:val="22"/>
        </w:rPr>
        <w:t xml:space="preserve"> </w:t>
      </w:r>
      <w:r>
        <w:rPr>
          <w:rFonts w:ascii="Times New Roman" w:hAnsi="Times New Roman"/>
          <w:sz w:val="22"/>
        </w:rPr>
        <w:t xml:space="preserve">threshold calibration; the gene-level overlap quantification reported here (Fisher OR = 1.7,</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bookmarkEnd w:id="30"/>
    <w:bookmarkStart w:id="31" w:name="conclusion"/>
    <w:p>
      <w:pPr>
        <w:pStyle w:val="Heading2"/>
        <w:spacing w:line="360" w:lineRule="auto"/>
      </w:pPr>
      <w:r>
        <w:rPr>
          <w:rFonts w:ascii="Times New Roman" w:hAnsi="Times New Roman"/>
          <w:b/>
          <w:sz w:val="22"/>
        </w:rPr>
        <w:t xml:space="preserve">Conclusion</w:t>
      </w:r>
    </w:p>
    <w:p>
      <w:pPr>
        <w:pStyle w:val="FirstParagraph"/>
        <w:spacing w:line="360" w:lineRule="auto"/>
      </w:pPr>
      <w:r>
        <w:rPr>
          <w:rFonts w:ascii="Times New Roman" w:hAnsi="Times New Roman"/>
          <w:sz w:val="22"/>
        </w:rPr>
        <w:t xml:space="preserve">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From a cardiovascular perspective, this cross-disease framework illuminates fundamental principles of translation-related remodeling that are obscured in heart-failure-only analyses: the identification of ATF4/ISR as a stress-responsive correlate suggests that the failing heart engages conserved stress-adaptive transcriptional programs that are also co-opted during hepatocarcinogenesis, and the mirror perturbation absent in HCM but present in advanced HF suggests that progressive translational suppression may represent a disease-stage-specific vulnerability rather than a generic cardiac feature.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 and potentially therapeutic entry points — difficult to resolve through single-disease analyses.</w:t>
      </w:r>
    </w:p>
    <w:bookmarkEnd w:id="31"/>
    <w:bookmarkStart w:id="42" w:name="methods"/>
    <w:p>
      <w:pPr>
        <w:pStyle w:val="Heading2"/>
        <w:spacing w:line="360" w:lineRule="auto"/>
      </w:pPr>
      <w:r>
        <w:rPr>
          <w:rFonts w:ascii="Times New Roman" w:hAnsi="Times New Roman"/>
          <w:b/>
          <w:sz w:val="22"/>
        </w:rPr>
        <w:t xml:space="preserve">Methods</w:t>
      </w:r>
    </w:p>
    <w:bookmarkStart w:id="32" w:name="data-acquisition-and-preprocessing"/>
    <w:p>
      <w:pPr>
        <w:pStyle w:val="Heading3"/>
        <w:spacing w:line="360" w:lineRule="auto"/>
      </w:pPr>
      <w:r>
        <w:rPr>
          <w:rFonts w:ascii="Times New Roman" w:hAnsi="Times New Roman"/>
          <w:b/>
          <w:sz w:val="22"/>
        </w:rPr>
        <w:t xml:space="preserve">Data acquisition and preprocessing</w:t>
      </w:r>
    </w:p>
    <w:p>
      <w:pPr>
        <w:pStyle w:val="FirstParagraph"/>
        <w:spacing w:line="360" w:lineRule="auto"/>
      </w:pPr>
      <w:r>
        <w:rPr>
          <w:rFonts w:ascii="Times New Roman" w:hAnsi="Times New Roman"/>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p>
      <w:pPr>
        <w:pStyle w:val="BodyText"/>
        <w:spacing w:line="360" w:lineRule="auto"/>
      </w:pPr>
      <w:r>
        <w:rPr>
          <w:rFonts w:ascii="Times New Roman" w:hAnsi="Times New Roman"/>
          <w:sz w:val="22"/>
        </w:rP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spacing w:line="360" w:lineRule="auto"/>
      </w:pPr>
      <w:r>
        <w:rPr>
          <w:rFonts w:ascii="Times New Roman" w:hAnsi="Times New Roman"/>
          <w:b/>
          <w:bCs/>
          <w:sz w:val="22"/>
        </w:rPr>
        <w:t xml:space="preserve">GSE57338 (HF).</w:t>
      </w:r>
      <w:r>
        <w:rPr>
          <w:rFonts w:ascii="Times New Roman" w:hAnsi="Times New Roman"/>
          <w:sz w:val="22"/>
        </w:rPr>
        <w:t xml:space="preserve"> </w:t>
      </w:r>
      <w:r>
        <w:rPr>
          <w:rFonts w:ascii="Times New Roman" w:hAnsi="Times New Roman"/>
          <w:sz w:val="22"/>
        </w:rPr>
        <w:t xml:space="preserve">Downloaded from GEO,</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313 left ventricular samples (including dilated cardiomyopathy, ischemic cardiomyopathy, and non-failing controls), platform GPL11532 (Affymetrix HuGene 1.1 ST Array). Probes were first filtered to retain those with expression above a predefined background threshold (log</w:t>
      </w:r>
      <w:r>
        <w:rPr>
          <w:rFonts w:ascii="Times New Roman" w:hAnsi="Times New Roman"/>
          <w:sz w:val="22"/>
        </w:rPr>
        <w:t xml:space="preserve">2</w:t>
      </w:r>
      <w:r>
        <w:rPr>
          <w:rFonts w:ascii="Times New Roman" w:hAnsi="Times New Roman"/>
          <w:sz w:val="22"/>
        </w:rPr>
        <w:t xml:space="preserve"> </w:t>
      </w:r>
      <w:r>
        <w:rPr>
          <w:rFonts w:ascii="Times New Roman" w:hAnsi="Times New Roman"/>
          <w:sz w:val="22"/>
        </w:rPr>
        <w:t xml:space="preserve">intensity ≥ 4) in at least 20% of samples, and the remaining probes were then mapped to gene symbols via the hugene11sttranscriptcluster.db annotation package, with multiple probes averaged per gene.</w:t>
      </w:r>
    </w:p>
    <w:p>
      <w:pPr>
        <w:pStyle w:val="BodyText"/>
        <w:spacing w:line="360" w:lineRule="auto"/>
      </w:pPr>
      <w:r>
        <w:rPr>
          <w:rFonts w:ascii="Times New Roman" w:hAnsi="Times New Roman"/>
          <w:b/>
          <w:bCs/>
          <w:sz w:val="22"/>
        </w:rPr>
        <w:t xml:space="preserve">TCGA-LIHC (HCC discovery set).</w:t>
      </w:r>
      <w:r>
        <w:rPr>
          <w:rFonts w:ascii="Times New Roman" w:hAnsi="Times New Roman"/>
          <w:sz w:val="22"/>
        </w:rPr>
        <w:t xml:space="preserve"> </w:t>
      </w:r>
      <w:r>
        <w:rPr>
          <w:rFonts w:ascii="Times New Roman" w:hAnsi="Times New Roman"/>
          <w:sz w:val="22"/>
        </w:rPr>
        <w:t xml:space="preserve">Downloaded from the TCGA GDC portal,</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424 samples (initially 371 tumor + 50 normal + 3 recurrent tumor), RNA-seq (Illumina), using</w:t>
      </w:r>
      <w:r>
        <w:rPr>
          <w:rFonts w:ascii="Times New Roman" w:hAnsi="Times New Roman"/>
          <w:sz w:val="22"/>
        </w:rPr>
        <w:t xml:space="preserve"> </w:t>
      </w:r>
      <w:r>
        <w:rPr>
          <w:rStyle w:val="VerbatimChar"/>
          <w:rFonts w:ascii="Times New Roman" w:hAnsi="Times New Roman"/>
          <w:sz w:val="22"/>
        </w:rPr>
        <w:t xml:space="preserve">assay(se, "unstranded")</w:t>
      </w:r>
      <w:r>
        <w:rPr>
          <w:rFonts w:ascii="Times New Roman" w:hAnsi="Times New Roman"/>
          <w:sz w:val="22"/>
        </w:rPr>
        <w:t xml:space="preserve"> </w:t>
      </w:r>
      <w:r>
        <w:rPr>
          <w:rFonts w:ascii="Times New Roman" w:hAnsi="Times New Roman"/>
          <w:sz w:val="22"/>
        </w:rPr>
        <w:t xml:space="preserve">for counts. Three recurrent tumor samples were excluded from differential expression and pathway analyses because they were not classified as primary tumor or normal liver tissue; all downstream analyses therefore used</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421 (371 tumor vs. 50 normal). DESeq2 variance stabilizing transformation (VST) normalization was applied using the vst function</w:t>
      </w:r>
      <w:r>
        <w:rPr>
          <w:rFonts w:ascii="Times New Roman" w:hAnsi="Times New Roman"/>
          <w:sz w:val="22"/>
          <w:vertAlign w:val="superscript"/>
        </w:rPr>
        <w:t xmlns:ns124="http://schemas.xmlsoap.org/soap/envelope/" ns124:space="preserve">[13]</w:t>
      </w:r>
      <w:r>
        <w:rPr>
          <w:rFonts w:ascii="Times New Roman" w:hAnsi="Times New Roman"/>
          <w:sz w:val="22"/>
        </w:rPr>
        <w:t xmlns:ns127="http://schemas.xmlsoap.org/soap/envelope/" ns127:space="preserve"> with</w:t>
      </w:r>
      <w:r>
        <w:rPr>
          <w:rFonts w:ascii="Times New Roman" w:hAnsi="Times New Roman"/>
          <w:sz w:val="22"/>
        </w:rPr>
        <w:t xml:space="preserve"> </w:t>
      </w:r>
      <w:r>
        <w:rPr>
          <w:rStyle w:val="VerbatimChar"/>
          <w:rFonts w:ascii="Times New Roman" w:hAnsi="Times New Roman"/>
          <w:sz w:val="22"/>
        </w:rPr>
        <w:t xml:space="preserve">blind = TRUE</w:t>
      </w:r>
      <w:r>
        <w:rPr>
          <w:rFonts w:ascii="Times New Roman" w:hAnsi="Times New Roman"/>
          <w:sz w:val="22"/>
        </w:rPr>
        <w:t xml:space="preserve"> </w:t>
      </w:r>
      <w:r>
        <w:rPr>
          <w:rFonts w:ascii="Times New Roman" w:hAnsi="Times New Roman"/>
          <w:sz w:val="22"/>
        </w:rPr>
        <w:t xml:space="preserve">and</w:t>
      </w:r>
      <w:r>
        <w:rPr>
          <w:rFonts w:ascii="Times New Roman" w:hAnsi="Times New Roman"/>
          <w:sz w:val="22"/>
        </w:rPr>
        <w:t xml:space="preserve"> </w:t>
      </w:r>
      <w:r>
        <w:rPr>
          <w:rStyle w:val="VerbatimChar"/>
          <w:rFonts w:ascii="Times New Roman" w:hAnsi="Times New Roman"/>
          <w:sz w:val="22"/>
        </w:rPr>
        <w:t xml:space="preserve">nsub = 1000</w:t>
      </w:r>
      <w:r>
        <w:rPr>
          <w:rFonts w:ascii="Times New Roman" w:hAnsi="Times New Roman"/>
          <w:sz w:val="22"/>
        </w:rPr>
        <w:t xml:space="preserve"> </w:t>
      </w:r>
      <w:r>
        <w:rPr>
          <w:rFonts w:ascii="Times New Roman" w:hAnsi="Times New Roman"/>
          <w:sz w:val="22"/>
        </w:rPr>
        <w:t xml:space="preserve">parameters (design = ~ 1), following filtering for genes with counts ≥ 10 in at least 20% of samples. Ensembl IDs were converted to gene symbols via org.Hs.eg.db.</w:t>
      </w:r>
    </w:p>
    <w:p>
      <w:pPr>
        <w:pStyle w:val="BodyText"/>
        <w:spacing w:line="360" w:lineRule="auto"/>
      </w:pPr>
      <w:r>
        <w:rPr>
          <w:rFonts w:ascii="Times New Roman" w:hAnsi="Times New Roman"/>
          <w:b/>
          <w:bCs/>
          <w:sz w:val="22"/>
        </w:rPr>
        <w:t xml:space="preserve">GSE141198 (HCC validation set).</w:t>
      </w:r>
      <w:r>
        <w:rPr>
          <w:rFonts w:ascii="Times New Roman" w:hAnsi="Times New Roman"/>
          <w:sz w:val="22"/>
        </w:rPr>
        <w:t xml:space="preserve"> </w:t>
      </w:r>
      <w:r>
        <w:rPr>
          <w:rFonts w:ascii="Times New Roman" w:hAnsi="Times New Roman"/>
          <w:sz w:val="22"/>
        </w:rPr>
        <w:t xml:space="preserve">Downloaded from GEO,</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148 HCC tumors (RNA-seq), 94 OS events. Processing pipeline identical to TCGA-LIHC.</w:t>
      </w:r>
    </w:p>
    <w:p>
      <w:pPr>
        <w:pStyle w:val="BodyText"/>
        <w:spacing w:line="360" w:lineRule="auto"/>
      </w:pPr>
      <w:r>
        <w:rPr>
          <w:rFonts w:ascii="Times New Roman" w:hAnsi="Times New Roman"/>
          <w:b/>
          <w:bCs/>
          <w:sz w:val="22"/>
        </w:rPr>
        <w:t xml:space="preserve">GSE14520 and GSE76427 (external validation).</w:t>
      </w:r>
      <w:r>
        <w:rPr>
          <w:rFonts w:ascii="Times New Roman" w:hAnsi="Times New Roman"/>
          <w:sz w:val="22"/>
        </w:rPr>
        <w:t xml:space="preserve"> </w:t>
      </w:r>
      <w:r>
        <w:rPr>
          <w:rFonts w:ascii="Times New Roman" w:hAnsi="Times New Roman"/>
          <w:sz w:val="22"/>
        </w:rPr>
        <w:t xml:space="preserve">GSE14520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221 HCC tumors, GPL3921 Affymetrix HT Human Genome U133A Array) and GSE76427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115 HCC tumors, GPL10558 Illumina HumanHT-12 V4.0) were downloaded from GEO for external TATS validation. Processing and TATS calculation were performed identically across all validation cohorts.</w:t>
      </w:r>
    </w:p>
    <w:bookmarkEnd w:id="32"/>
    <w:bookmarkStart w:id="33" w:name="wgcna-co-expression-network-analysis"/>
    <w:p>
      <w:pPr>
        <w:pStyle w:val="Heading3"/>
        <w:spacing w:line="360" w:lineRule="auto"/>
      </w:pPr>
      <w:r>
        <w:rPr>
          <w:rFonts w:ascii="Times New Roman" w:hAnsi="Times New Roman"/>
          <w:b/>
          <w:sz w:val="22"/>
        </w:rPr>
        <w:t xml:space="preserve">WGCNA co-expression network analysis</w:t>
      </w:r>
    </w:p>
    <w:p>
      <w:pPr>
        <w:pStyle w:val="FirstParagraph"/>
        <w:spacing w:line="360" w:lineRule="auto"/>
      </w:pPr>
      <w:r>
        <w:rPr>
          <w:rFonts w:ascii="Times New Roman" w:hAnsi="Times New Roman"/>
          <w:sz w:val="22"/>
        </w:rPr>
        <w:t>WGCNA input data consisted of gene expression matrices filtered and normalized as described above.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above filters (5,003 genes) were used. Signed network analysis was performed using the WGCNA package</w:t>
      </w:r>
      <w:r>
        <w:rPr>
          <w:rFonts w:ascii="Times New Roman" w:hAnsi="Times New Roman"/>
          <w:sz w:val="22"/>
          <w:vertAlign w:val="superscript"/>
        </w:rPr>
        <w:t xmlns:ns132="http://schemas.xmlsoap.org/soap/envelope/" ns132:space="preserve">[14,15]</w:t>
      </w:r>
      <w:r>
        <w:rPr>
          <w:rFonts w:ascii="Times New Roman" w:hAnsi="Times New Roman"/>
          <w:sz w:val="22"/>
        </w:rPr>
        <w:t xmlns:ns135="http://schemas.xmlsoap.org/soap/envelope/" ns135:space="preserve">. The soft threshold β was selected to best approximate the scale-free topology criterion (targeting R² ≈ 0.85; GSE57338: β = 17, signed R² = 0.865; GSE141198: β = 4, R² = 0.84; Extended Data Fig. 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pPr>
        <w:pStyle w:val="BodyText"/>
        <w:spacing w:line="360" w:lineRule="auto"/>
      </w:pPr>
      <w:r>
        <w:rPr>
          <w:rFonts w:ascii="Times New Roman" w:hAnsi="Times New Roman"/>
          <w:sz w:val="22"/>
        </w:rPr>
        <w:t xml:space="preserve">For GSE57338, a manual stepwise procedure was used: Pearson correlation (stats::cor) → signed adjacency matrix [(0.5 × (1 + cor))^β] → TOM similarity (WGCNA::TOMsimilarity, TOMType =</w:t>
      </w:r>
      <w:r>
        <w:rPr>
          <w:rFonts w:ascii="Times New Roman" w:hAnsi="Times New Roman"/>
          <w:sz w:val="22"/>
        </w:rPr>
        <w:t xml:space="preserve"> </w:t>
      </w:r>
      <w:r>
        <w:rPr>
          <w:rFonts w:ascii="Times New Roman" w:hAnsi="Times New Roman"/>
          <w:sz w:val="22"/>
        </w:rPr>
        <w:t xml:space="preserve">“signed”</w:t>
      </w:r>
      <w:r>
        <w:rPr>
          <w:rFonts w:ascii="Times New Roman" w:hAnsi="Times New Roman"/>
          <w:sz w:val="22"/>
        </w:rPr>
        <w:t xml:space="preserve">) → hierarchical clustering (hclust, method =</w:t>
      </w:r>
      <w:r>
        <w:rPr>
          <w:rFonts w:ascii="Times New Roman" w:hAnsi="Times New Roman"/>
          <w:sz w:val="22"/>
        </w:rPr>
        <w:t xml:space="preserve"> </w:t>
      </w:r>
      <w:r>
        <w:rPr>
          <w:rFonts w:ascii="Times New Roman" w:hAnsi="Times New Roman"/>
          <w:sz w:val="22"/>
        </w:rPr>
        <w:t xml:space="preserve">“average”</w:t>
      </w:r>
      <w:r>
        <w:rPr>
          <w:rFonts w:ascii="Times New Roman" w:hAnsi="Times New Roman"/>
          <w:sz w:val="22"/>
        </w:rPr>
        <w:t xml:space="preserve">) → dynamic tree cutting (dynamicTreeCut::cutreeDynamic, deepSplit = 2, minClusterSize = 30). This manual procedure was adopted to ensure platform compatibility across R versions. For GSE141198, the WGCNA blockwiseModules one-step function was used for network construction (networkType =</w:t>
      </w:r>
      <w:r>
        <w:rPr>
          <w:rFonts w:ascii="Times New Roman" w:hAnsi="Times New Roman"/>
          <w:sz w:val="22"/>
        </w:rPr>
        <w:t xml:space="preserve"> </w:t>
      </w:r>
      <w:r>
        <w:rPr>
          <w:rFonts w:ascii="Times New Roman" w:hAnsi="Times New Roman"/>
          <w:sz w:val="22"/>
        </w:rPr>
        <w:t xml:space="preserve">“signed”</w:t>
      </w:r>
      <w:r>
        <w:rPr>
          <w:rFonts w:ascii="Times New Roman" w:hAnsi="Times New Roman"/>
          <w:sz w:val="22"/>
        </w:rPr>
        <w:t xml:space="preserve">, minModuleSize = 30, mergeCutHeight = 0.25, TOMType =</w:t>
      </w:r>
      <w:r>
        <w:rPr>
          <w:rFonts w:ascii="Times New Roman" w:hAnsi="Times New Roman"/>
          <w:sz w:val="22"/>
        </w:rPr>
        <w:t xml:space="preserve"> </w:t>
      </w:r>
      <w:r>
        <w:rPr>
          <w:rFonts w:ascii="Times New Roman" w:hAnsi="Times New Roman"/>
          <w:sz w:val="22"/>
        </w:rPr>
        <w:t xml:space="preserve">“signed”</w:t>
      </w:r>
      <w:r>
        <w:rPr>
          <w:rFonts w:ascii="Times New Roman" w:hAnsi="Times New Roman"/>
          <w:sz w:val="22"/>
        </w:rPr>
        <w:t xml:space="preserve">, pamRespectsDendro = FALSE, maxBlockSize = 6,000, randomSeed = 42).</w:t>
      </w:r>
    </w:p>
    <w:p>
      <w:pPr>
        <w:pStyle w:val="BodyText"/>
        <w:spacing w:line="360" w:lineRule="auto"/>
      </w:pPr>
      <w:r>
        <w:rPr>
          <w:rFonts w:ascii="Times New Roman" w:hAnsi="Times New Roman"/>
          <w:b/>
          <w:bCs/>
          <w:sz w:val="22"/>
        </w:rPr>
        <w:t xml:space="preserve">Translation-related module identification.</w:t>
      </w:r>
      <w:r>
        <w:rPr>
          <w:rFonts w:ascii="Times New Roman" w:hAnsi="Times New Roman"/>
          <w:sz w:val="22"/>
        </w:rPr>
        <w:t xml:space="preserve"> </w:t>
      </w:r>
      <w:r>
        <w:rPr>
          <w:rFonts w:ascii="Times New Roman" w:hAnsi="Times New Roman"/>
          <w:sz w:val="22"/>
        </w:rPr>
        <w:t>Rather than designating a translation-related module by manual inspection or prior assumption, an objective translation-enrichment scoring procedure was applied. For each module, GO Biological Process enrichment was performed using clusterProfiler</w:t>
      </w:r>
      <w:r>
        <w:rPr>
          <w:rFonts w:ascii="Times New Roman" w:hAnsi="Times New Roman"/>
          <w:sz w:val="22"/>
          <w:vertAlign w:val="superscript"/>
        </w:rPr>
        <w:t xmlns:ns140="http://schemas.xmlsoap.org/soap/envelope/" ns140:space="preserve">[16]</w:t>
      </w:r>
      <w:r>
        <w:rPr>
          <w:rFonts w:ascii="Times New Roman" w:hAnsi="Times New Roman"/>
          <w:sz w:val="22"/>
        </w:rPr>
        <w:t xmlns:ns143="http://schemas.xmlsoap.org/soap/envelope/" ns143:space="preserve"> (enrichGO, ont =</w:t>
      </w:r>
      <w:r>
        <w:rPr>
          <w:rFonts w:ascii="Times New Roman" w:hAnsi="Times New Roman"/>
          <w:sz w:val="22"/>
        </w:rPr>
        <w:t xml:space="preserve"> </w:t>
      </w:r>
      <w:r>
        <w:rPr>
          <w:rFonts w:ascii="Times New Roman" w:hAnsi="Times New Roman"/>
          <w:sz w:val="22"/>
        </w:rPr>
        <w:t xml:space="preserve">“BP”</w:t>
      </w:r>
      <w:r>
        <w:rPr>
          <w:rFonts w:ascii="Times New Roman" w:hAnsi="Times New Roman"/>
          <w:sz w:val="22"/>
        </w:rPr>
        <w:t xml:space="preserve">, pAdjustMethod =</w:t>
      </w:r>
      <w:r>
        <w:rPr>
          <w:rFonts w:ascii="Times New Roman" w:hAnsi="Times New Roman"/>
          <w:sz w:val="22"/>
        </w:rPr>
        <w:t xml:space="preserve"> </w:t>
      </w:r>
      <w:r>
        <w:rPr>
          <w:rFonts w:ascii="Times New Roman" w:hAnsi="Times New Roman"/>
          <w:sz w:val="22"/>
        </w:rPr>
        <w:t xml:space="preserve">“BH”</w:t>
      </w:r>
      <w:r>
        <w:rPr>
          <w:rFonts w:ascii="Times New Roman" w:hAnsi="Times New Roman"/>
          <w:sz w:val="22"/>
        </w:rPr>
        <w:t xml:space="preserve">, qvalueCutoff = 0.1). A module-level translation enrichment score was computed as: (number of significantly enriched GO terms matching translation-related keywords [</w:t>
      </w:r>
      <w:r>
        <w:rPr>
          <w:rFonts w:ascii="Times New Roman" w:hAnsi="Times New Roman"/>
          <w:sz w:val="22"/>
        </w:rPr>
        <w:t xml:space="preserve">“translation|ribosom|peptide|ribonucleoprotein|rRNA|translational”</w:t>
      </w:r>
      <w:r>
        <w:rPr>
          <w:rFonts w:ascii="Times New Roman" w:hAnsi="Times New Roman"/>
          <w:sz w:val="22"/>
        </w:rPr>
        <w:t xml:space="preserve">]) × (−log</w:t>
      </w:r>
      <w:r>
        <w:rPr>
          <w:rFonts w:ascii="Times New Roman" w:hAnsi="Times New Roman"/>
          <w:sz w:val="22"/>
        </w:rPr>
        <w:t xml:space="preserve">10</w:t>
      </w:r>
      <w:r>
        <w:rPr>
          <w:rFonts w:ascii="Times New Roman" w:hAnsi="Times New Roman"/>
          <w:sz w:val="22"/>
        </w:rPr>
        <w:t xml:space="preserve"> </w:t>
      </w:r>
      <w:r>
        <w:rPr>
          <w:rFonts w:ascii="Times New Roman" w:hAnsi="Times New Roman"/>
          <w:sz w:val="22"/>
        </w:rPr>
        <w:t xml:space="preserve">of the best p.adjust among those terms). The module with the highest translation-enrichment score was designated the translation-related module. In this study,</w:t>
      </w:r>
      <w:r>
        <w:rPr>
          <w:rFonts w:ascii="Times New Roman" w:hAnsi="Times New Roman"/>
          <w:sz w:val="22"/>
        </w:rPr>
        <w:t xml:space="preserve"> </w:t>
      </w:r>
      <w:r>
        <w:rPr>
          <w:rFonts w:ascii="Times New Roman" w:hAnsi="Times New Roman"/>
          <w:sz w:val="22"/>
        </w:rPr>
        <w:t xml:space="preserve">“translation-related transcriptional programs”</w:t>
      </w:r>
      <w:r>
        <w:rPr>
          <w:rFonts w:ascii="Times New Roman" w:hAnsi="Times New Roman"/>
          <w:sz w:val="22"/>
        </w:rPr>
        <w:t xml:space="preserve"> </w:t>
      </w:r>
      <w:r>
        <w:rPr>
          <w:rFonts w:ascii="Times New Roman" w:hAnsi="Times New Roman"/>
          <w:sz w:val="22"/>
        </w:rPr>
        <w:t xml:space="preserve">refer to coordinated expression patterns of genes involved in ribosome biogenesis, translation machinery, and associated regulatory processes, rather than direct measurements of protein synthesis activity. For GSE141198, the blue module (1,315 genes,</w:t>
      </w:r>
      <w:r>
        <w:rPr>
          <w:rFonts w:ascii="Times New Roman" w:hAnsi="Times New Roman"/>
          <w:sz w:val="22"/>
        </w:rPr>
        <w:t xml:space="preserve"> </w:t>
      </w:r>
      <w:r>
        <w:rPr>
          <w:rFonts w:ascii="Times New Roman" w:hAnsi="Times New Roman"/>
          <w:sz w:val="22"/>
        </w:rPr>
        <w:t xml:space="preserve">“cytoplasmic translation”</w:t>
      </w:r>
      <w:r>
        <w:rPr>
          <w:rFonts w:ascii="Times New Roman" w:hAnsi="Times New Roman"/>
          <w:sz w:val="22"/>
        </w:rPr>
        <w:t xml:space="preserve"> </w:t>
      </w:r>
      <w:r>
        <w:rPr>
          <w:rFonts w:ascii="Times New Roman" w:hAnsi="Times New Roman"/>
          <w:sz w:val="22"/>
        </w:rPr>
        <w:t xml:space="preserve">adjusted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 6.3 × 10⁻¹²) was identified as the translation-related module using the same keyword-based functional annotation approach.</w:t>
      </w:r>
    </w:p>
    <w:p>
      <w:pPr>
        <w:pStyle w:val="BodyText"/>
        <w:spacing w:line="360" w:lineRule="auto"/>
      </w:pPr>
      <w:r>
        <w:rPr>
          <w:rFonts w:ascii="Times New Roman" w:hAnsi="Times New Roman"/>
          <w:b/>
          <w:bCs/>
          <w:sz w:val="22"/>
        </w:rPr>
        <w:t xml:space="preserve">Hub gene identification.</w:t>
      </w:r>
      <w:r>
        <w:rPr>
          <w:rFonts w:ascii="Times New Roman" w:hAnsi="Times New Roman"/>
          <w:sz w:val="22"/>
        </w:rPr>
        <w:t xml:space="preserve"> </w:t>
      </w:r>
      <w:r>
        <w:rPr>
          <w:rFonts w:ascii="Times New Roman" w:hAnsi="Times New Roman"/>
          <w:sz w:val="22"/>
        </w:rP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pPr>
        <w:pStyle w:val="BodyText"/>
        <w:spacing w:line="360" w:lineRule="auto"/>
      </w:pPr>
      <w:r>
        <w:rPr>
          <w:rFonts w:ascii="Times New Roman" w:hAnsi="Times New Roman"/>
          <w:b/>
          <w:bCs/>
          <w:sz w:val="22"/>
        </w:rPr>
        <w:t xml:space="preserve">Module internal robustness assessment.</w:t>
      </w:r>
      <w:r>
        <w:rPr>
          <w:rFonts w:ascii="Times New Roman" w:hAnsi="Times New Roman"/>
          <w:sz w:val="22"/>
        </w:rPr>
        <w:t xml:space="preserve"> </w:t>
      </w:r>
      <w:r>
        <w:rPr>
          <w:rFonts w:ascii="Times New Roman" w:hAnsi="Times New Roman"/>
          <w:sz w:val="22"/>
        </w:rP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w:t>
      </w:r>
      <w:r>
        <w:rPr>
          <w:rFonts w:ascii="Times New Roman" w:hAnsi="Times New Roman"/>
          <w:sz w:val="22"/>
        </w:rPr>
        <w:t xml:space="preserve"> </w:t>
      </w:r>
      <w:r>
        <w:rPr>
          <w:rFonts w:ascii="Times New Roman" w:hAnsi="Times New Roman"/>
          <w:i/>
          <w:iCs/>
          <w:sz w:val="22"/>
        </w:rPr>
        <w:t xml:space="preserve">Z</w:t>
      </w:r>
      <w:r>
        <w:rPr>
          <w:rFonts w:ascii="Times New Roman" w:hAnsi="Times New Roman"/>
          <w:sz w:val="22"/>
        </w:rPr>
        <w:t xml:space="preserve">-score and empirical</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33"/>
    <w:bookmarkStart w:id="34" w:name="ssgsea-pathway-activity-analysis"/>
    <w:p>
      <w:pPr>
        <w:pStyle w:val="Heading3"/>
        <w:spacing w:line="360" w:lineRule="auto"/>
      </w:pPr>
      <w:r>
        <w:rPr>
          <w:rFonts w:ascii="Times New Roman" w:hAnsi="Times New Roman"/>
          <w:b/>
          <w:sz w:val="22"/>
        </w:rPr>
        <w:t xml:space="preserve">ssGSEA pathway activity analysis</w:t>
      </w:r>
    </w:p>
    <w:p>
      <w:pPr>
        <w:pStyle w:val="FirstParagraph"/>
        <w:spacing w:line="360" w:lineRule="auto"/>
      </w:pPr>
      <w:r>
        <w:rPr>
          <w:rFonts w:ascii="Times New Roman" w:hAnsi="Times New Roman"/>
          <w:sz w:val="22"/>
        </w:rPr>
        <w:t xml:space="preserve">Gene set sources: msigdbr package (v26.1.0), including all 50 Hallmark gene sets (collection =</w:t>
      </w:r>
      <w:r>
        <w:rPr>
          <w:rFonts w:ascii="Times New Roman" w:hAnsi="Times New Roman"/>
          <w:sz w:val="22"/>
        </w:rPr>
        <w:t xml:space="preserve"> </w:t>
      </w:r>
      <w:r>
        <w:rPr>
          <w:rFonts w:ascii="Times New Roman" w:hAnsi="Times New Roman"/>
          <w:sz w:val="22"/>
        </w:rPr>
        <w:t xml:space="preserve">“H”</w:t>
      </w:r>
      <w:r>
        <w:rPr>
          <w:rFonts w:ascii="Times New Roman" w:hAnsi="Times New Roman"/>
          <w:sz w:val="22"/>
        </w:rPr>
        <w:t xml:space="preserve">), KEGG ribosome (collection =</w:t>
      </w:r>
      <w:r>
        <w:rPr>
          <w:rFonts w:ascii="Times New Roman" w:hAnsi="Times New Roman"/>
          <w:sz w:val="22"/>
        </w:rPr>
        <w:t xml:space="preserve"> </w:t>
      </w:r>
      <w:r>
        <w:rPr>
          <w:rFonts w:ascii="Times New Roman" w:hAnsi="Times New Roman"/>
          <w:sz w:val="22"/>
        </w:rPr>
        <w:t xml:space="preserve">“C2”</w:t>
      </w:r>
      <w:r>
        <w:rPr>
          <w:rFonts w:ascii="Times New Roman" w:hAnsi="Times New Roman"/>
          <w:sz w:val="22"/>
        </w:rPr>
        <w:t xml:space="preserve">, subcollection =</w:t>
      </w:r>
      <w:r>
        <w:rPr>
          <w:rFonts w:ascii="Times New Roman" w:hAnsi="Times New Roman"/>
          <w:sz w:val="22"/>
        </w:rPr>
        <w:t xml:space="preserve"> </w:t>
      </w:r>
      <w:r>
        <w:rPr>
          <w:rFonts w:ascii="Times New Roman" w:hAnsi="Times New Roman"/>
          <w:sz w:val="22"/>
        </w:rPr>
        <w:t xml:space="preserve">“CP:KEGG_MEDICUS”</w:t>
      </w:r>
      <w:r>
        <w:rPr>
          <w:rFonts w:ascii="Times New Roman" w:hAnsi="Times New Roman"/>
          <w:sz w:val="22"/>
        </w:rPr>
        <w:t xml:space="preserve">, 1 set), and Reactome translation-related pathways (collection =</w:t>
      </w:r>
      <w:r>
        <w:rPr>
          <w:rFonts w:ascii="Times New Roman" w:hAnsi="Times New Roman"/>
          <w:sz w:val="22"/>
        </w:rPr>
        <w:t xml:space="preserve"> </w:t>
      </w:r>
      <w:r>
        <w:rPr>
          <w:rFonts w:ascii="Times New Roman" w:hAnsi="Times New Roman"/>
          <w:sz w:val="22"/>
        </w:rPr>
        <w:t xml:space="preserve">“C2”</w:t>
      </w:r>
      <w:r>
        <w:rPr>
          <w:rFonts w:ascii="Times New Roman" w:hAnsi="Times New Roman"/>
          <w:sz w:val="22"/>
        </w:rPr>
        <w:t xml:space="preserve">, subcollection =</w:t>
      </w:r>
      <w:r>
        <w:rPr>
          <w:rFonts w:ascii="Times New Roman" w:hAnsi="Times New Roman"/>
          <w:sz w:val="22"/>
        </w:rPr>
        <w:t xml:space="preserve"> </w:t>
      </w:r>
      <w:r>
        <w:rPr>
          <w:rFonts w:ascii="Times New Roman" w:hAnsi="Times New Roman"/>
          <w:sz w:val="22"/>
        </w:rPr>
        <w:t xml:space="preserve">“CP:REACTOME”</w:t>
      </w:r>
      <w:r>
        <w:rPr>
          <w:rFonts w:ascii="Times New Roman" w:hAnsi="Times New Roman"/>
          <w:sz w:val="22"/>
        </w:rP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spacing w:line="360" w:lineRule="auto"/>
      </w:pPr>
      <w:r>
        <w:rPr>
          <w:rFonts w:ascii="Times New Roman" w:hAnsi="Times New Roman"/>
          <w:sz w:val="22"/>
        </w:rPr>
        <w:t>ssGSEA scoring was performed using the GSVA package (v2.6.2): parameter objects were constructed via ssgseaParam (minSize = 5, maxSize = 500), and single-sample pathway activity scores were computed using the gsva function from the GSVA package</w:t>
      </w:r>
      <w:r>
        <w:rPr>
          <w:rFonts w:ascii="Times New Roman" w:hAnsi="Times New Roman"/>
          <w:sz w:val="22"/>
          <w:vertAlign w:val="superscript"/>
        </w:rPr>
        <w:t xmlns:ns156="http://schemas.xmlsoap.org/soap/envelope/" ns156:space="preserve">[17]</w:t>
      </w:r>
      <w:r>
        <w:rPr>
          <w:rFonts w:ascii="Times New Roman" w:hAnsi="Times New Roman"/>
          <w:sz w:val="22"/>
        </w:rPr>
        <w:t xmlns:ns159="http://schemas.xmlsoap.org/soap/envelope/" ns159:space="preserve">, which implements the ssGSEA algorithm originally described by Barbie et al.</w:t>
      </w:r>
      <w:r>
        <w:rPr>
          <w:rFonts w:ascii="Times New Roman" w:hAnsi="Times New Roman"/>
          <w:sz w:val="22"/>
          <w:vertAlign w:val="superscript"/>
        </w:rPr>
        <w:t xmlns:ns148="http://schemas.xmlsoap.org/soap/envelope/" ns148:space="preserve">[18]</w:t>
      </w:r>
      <w:r>
        <w:rPr>
          <w:rFonts w:ascii="Times New Roman" w:hAnsi="Times New Roman"/>
          <w:sz w:val="22"/>
        </w:rPr>
        <w:t xmlns:ns151="http://schemas.xmlsoap.org/soap/envelope/" ns151:space="preserve"> Disease-associated effect size for each pathway was calculated as Cohen’s</w:t>
      </w:r>
      <w:r>
        <w:rPr>
          <w:rFonts w:ascii="Times New Roman" w:hAnsi="Times New Roman"/>
          <w:sz w:val="22"/>
        </w:rPr>
        <w:t xml:space="preserve"> </w:t>
      </w:r>
      <w:r>
        <w:rPr>
          <w:rFonts w:ascii="Times New Roman" w:hAnsi="Times New Roman"/>
          <w:i/>
          <w:iCs/>
          <w:sz w:val="22"/>
        </w:rPr>
        <w:t xml:space="preserve">d</w:t>
      </w:r>
      <w:r>
        <w:rPr>
          <w:rFonts w:ascii="Times New Roman" w:hAnsi="Times New Roman"/>
          <w:sz w:val="22"/>
        </w:rPr>
        <w:t xml:space="preserve">.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34"/>
    <w:bookmarkStart w:id="35" w:name="X15bfed6e2e4f310076a23810346badac46b91f2"/>
    <w:p>
      <w:pPr>
        <w:pStyle w:val="Heading3"/>
        <w:spacing w:line="360" w:lineRule="auto"/>
      </w:pPr>
      <w:r>
        <w:rPr>
          <w:rFonts w:ascii="Times New Roman" w:hAnsi="Times New Roman"/>
          <w:b/>
          <w:sz w:val="22"/>
        </w:rPr>
        <w:t xml:space="preserve">Translation-associated transcriptional score (TATS) and survival analysis</w:t>
      </w:r>
    </w:p>
    <w:p>
      <w:pPr>
        <w:pStyle w:val="FirstParagraph"/>
        <w:spacing w:line="360" w:lineRule="auto"/>
      </w:pPr>
      <w:r>
        <w:rPr>
          <w:rFonts w:ascii="Times New Roman" w:hAnsi="Times New Roman"/>
          <w:sz w:val="22"/>
        </w:rPr>
        <w:t xml:space="preserve">The translation-associated transcriptional score (TATS) was defined as the mean of z-scores of VST-normalized expression values for the green module genes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227) identified in the HF WGCNA. TATS was evaluated as an exploratory measure of translation-related transcriptional activity rather than as a validated prognostic signature. For GSE141198, OS time and status were obtained from the</w:t>
      </w:r>
      <w:r>
        <w:rPr>
          <w:rFonts w:ascii="Times New Roman" w:hAnsi="Times New Roman"/>
          <w:sz w:val="22"/>
        </w:rPr>
        <w:t xml:space="preserve"> </w:t>
      </w:r>
      <w:r>
        <w:rPr>
          <w:rFonts w:ascii="Times New Roman" w:hAnsi="Times New Roman"/>
          <w:sz w:val="22"/>
        </w:rPr>
        <w:t xml:space="preserve">“os days:ch1”</w:t>
      </w:r>
      <w:r>
        <w:rPr>
          <w:rFonts w:ascii="Times New Roman" w:hAnsi="Times New Roman"/>
          <w:sz w:val="22"/>
        </w:rPr>
        <w:t xml:space="preserve"> </w:t>
      </w:r>
      <w:r>
        <w:rPr>
          <w:rFonts w:ascii="Times New Roman" w:hAnsi="Times New Roman"/>
          <w:sz w:val="22"/>
        </w:rPr>
        <w:t xml:space="preserve">and</w:t>
      </w:r>
      <w:r>
        <w:rPr>
          <w:rFonts w:ascii="Times New Roman" w:hAnsi="Times New Roman"/>
          <w:sz w:val="22"/>
        </w:rPr>
        <w:t xml:space="preserve"> </w:t>
      </w:r>
      <w:r>
        <w:rPr>
          <w:rFonts w:ascii="Times New Roman" w:hAnsi="Times New Roman"/>
          <w:sz w:val="22"/>
        </w:rPr>
        <w:t xml:space="preserve">“os status:ch1”</w:t>
      </w:r>
      <w:r>
        <w:rPr>
          <w:rFonts w:ascii="Times New Roman" w:hAnsi="Times New Roman"/>
          <w:sz w:val="22"/>
        </w:rPr>
        <w:t xml:space="preserve"> </w:t>
      </w:r>
      <w:r>
        <w:rPr>
          <w:rFonts w:ascii="Times New Roman" w:hAnsi="Times New Roman"/>
          <w:sz w:val="22"/>
        </w:rPr>
        <w:t xml:space="preserve">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35"/>
    <w:bookmarkStart w:id="36" w:name="upstream-transcription-factor-analysis"/>
    <w:p>
      <w:pPr>
        <w:pStyle w:val="Heading3"/>
        <w:spacing w:line="360" w:lineRule="auto"/>
      </w:pPr>
      <w:r>
        <w:rPr>
          <w:rFonts w:ascii="Times New Roman" w:hAnsi="Times New Roman"/>
          <w:b/>
          <w:sz w:val="22"/>
        </w:rPr>
        <w:t xml:space="preserve">Upstream transcription factor analysis</w:t>
      </w:r>
    </w:p>
    <w:p>
      <w:pPr>
        <w:pStyle w:val="FirstParagraph"/>
        <w:spacing w:line="360" w:lineRule="auto"/>
      </w:pPr>
      <w:r>
        <w:rPr>
          <w:rFonts w:ascii="Times New Roman" w:hAnsi="Times New Roman"/>
          <w:sz w:val="22"/>
        </w:rP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spacing w:line="360" w:lineRule="auto"/>
      </w:pPr>
      <w:r>
        <w:rPr>
          <w:rFonts w:ascii="Times New Roman" w:hAnsi="Times New Roman"/>
          <w:sz w:val="22"/>
        </w:rPr>
        <w:t xml:space="preserve">Spearman correlation coefficients were computed between VST-normalized expression values of each TF and TATS across GSE141198 tumor samples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148). Benjamini–Hochberg (BH) false discovery rate (FDR) correction was applied across all 19 tests.</w:t>
      </w:r>
    </w:p>
    <w:bookmarkEnd w:id="36"/>
    <w:bookmarkStart w:id="37" w:name="direction-consistency-testing"/>
    <w:p>
      <w:pPr>
        <w:pStyle w:val="Heading3"/>
        <w:spacing w:line="360" w:lineRule="auto"/>
      </w:pPr>
      <w:r>
        <w:rPr>
          <w:rFonts w:ascii="Times New Roman" w:hAnsi="Times New Roman"/>
          <w:b/>
          <w:sz w:val="22"/>
        </w:rPr>
        <w:t xml:space="preserve">Direction consistency testing</w:t>
      </w:r>
    </w:p>
    <w:p>
      <w:pPr>
        <w:pStyle w:val="FirstParagraph"/>
        <w:spacing w:line="360" w:lineRule="auto"/>
      </w:pPr>
      <w:r>
        <w:rPr>
          <w:rFonts w:ascii="Times New Roman" w:hAnsi="Times New Roman"/>
          <w:sz w:val="22"/>
        </w:rPr>
        <w:t xml:space="preserve">Cross-disease log</w:t>
      </w:r>
      <w:r>
        <w:rPr>
          <w:rFonts w:ascii="Times New Roman" w:hAnsi="Times New Roman"/>
          <w:sz w:val="22"/>
        </w:rPr>
        <w:t xml:space="preserve">2</w:t>
      </w:r>
      <w:r>
        <w:rPr>
          <w:rFonts w:ascii="Times New Roman" w:hAnsi="Times New Roman"/>
          <w:sz w:val="22"/>
        </w:rPr>
        <w:t xml:space="preserve"> </w:t>
      </w:r>
      <w:r>
        <w:rPr>
          <w:rFonts w:ascii="Times New Roman" w:hAnsi="Times New Roman"/>
          <w:sz w:val="22"/>
        </w:rPr>
        <w:t xml:space="preserve">fold-change (log</w:t>
      </w:r>
      <w:r>
        <w:rPr>
          <w:rFonts w:ascii="Times New Roman" w:hAnsi="Times New Roman"/>
          <w:sz w:val="22"/>
        </w:rPr>
        <w:t xml:space="preserve">2</w:t>
      </w:r>
      <w:r>
        <w:rPr>
          <w:rFonts w:ascii="Times New Roman" w:hAnsi="Times New Roman"/>
          <w:sz w:val="22"/>
        </w:rPr>
        <w:t xml:space="preserve">FC) values for translation-related module genes were obtained from TCGA-LIHC (tumor vs. normal, DESeq2) and GSE57338 (HF vs. non-failing, limma). Spearman correlation of cross-disease log</w:t>
      </w:r>
      <w:r>
        <w:rPr>
          <w:rFonts w:ascii="Times New Roman" w:hAnsi="Times New Roman"/>
          <w:sz w:val="22"/>
        </w:rPr>
        <w:t xml:space="preserve">2</w:t>
      </w:r>
      <w:r>
        <w:rPr>
          <w:rFonts w:ascii="Times New Roman" w:hAnsi="Times New Roman"/>
          <w:sz w:val="22"/>
        </w:rPr>
        <w:t xml:space="preserve">FC was used to assess directional consistency. Significance was evaluated by a 10,000-iteration permutation test (random seed = 42): the HCC-side log</w:t>
      </w:r>
      <w:r>
        <w:rPr>
          <w:rFonts w:ascii="Times New Roman" w:hAnsi="Times New Roman"/>
          <w:sz w:val="22"/>
        </w:rPr>
        <w:t xml:space="preserve">2</w:t>
      </w:r>
      <w:r>
        <w:rPr>
          <w:rFonts w:ascii="Times New Roman" w:hAnsi="Times New Roman"/>
          <w:sz w:val="22"/>
        </w:rPr>
        <w:t xml:space="preserve">FC vector was randomly shuffled in each iteration, and the one-sided empirical</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-value was computed as the proportion of permuted Spearman ρ values exceeding the observed ρ.</w:t>
      </w:r>
    </w:p>
    <w:bookmarkEnd w:id="37"/>
    <w:bookmarkStart w:id="38" w:name="large-language-model-usage"/>
    <w:p>
      <w:pPr>
        <w:pStyle w:val="Heading3"/>
        <w:spacing w:line="360" w:lineRule="auto"/>
      </w:pPr>
      <w:r>
        <w:rPr>
          <w:rFonts w:ascii="Times New Roman" w:hAnsi="Times New Roman"/>
          <w:b/>
          <w:sz w:val="22"/>
        </w:rPr>
        <w:t xml:space="preserve">Large language model usage</w:t>
      </w:r>
    </w:p>
    <w:p>
      <w:pPr>
        <w:pStyle w:val="FirstParagraph"/>
        <w:spacing w:line="360" w:lineRule="auto"/>
      </w:pPr>
      <w:r>
        <w:rPr>
          <w:rFonts w:ascii="Times New Roman" w:hAnsi="Times New Roman"/>
          <w:sz w:val="22"/>
        </w:rPr>
        <w:t xml:space="preserve">No large language models or generative AI tools were used in the design, execution, analysis, or writing of this study. All data analyses, statistical tests, and manuscript composition were performed by the authors.</w:t>
      </w:r>
    </w:p>
    <w:bookmarkEnd w:id="38"/>
    <w:bookmarkStart w:id="39" w:name="statistical-analysis"/>
    <w:p>
      <w:pPr>
        <w:pStyle w:val="Heading3"/>
        <w:spacing w:line="360" w:lineRule="auto"/>
      </w:pPr>
      <w:r>
        <w:rPr>
          <w:rFonts w:ascii="Times New Roman" w:hAnsi="Times New Roman"/>
          <w:b/>
          <w:sz w:val="22"/>
        </w:rPr>
        <w:t xml:space="preserve">Statistical analysis</w:t>
      </w:r>
    </w:p>
    <w:p>
      <w:pPr>
        <w:pStyle w:val="FirstParagraph"/>
        <w:spacing w:line="360" w:lineRule="auto"/>
      </w:pPr>
      <w:r>
        <w:rPr>
          <w:rFonts w:ascii="Times New Roman" w:hAnsi="Times New Roman"/>
          <w:sz w:val="22"/>
        </w:rP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39"/>
    <w:bookmarkStart w:id="40" w:name="Xc732e56844d6638cb1df5ac23b57142ab1c1c29"/>
    <w:p>
      <w:pPr>
        <w:pStyle w:val="Heading3"/>
        <w:spacing w:line="360" w:lineRule="auto"/>
      </w:pPr>
      <w:r>
        <w:rPr>
          <w:rFonts w:ascii="Times New Roman" w:hAnsi="Times New Roman"/>
          <w:b/>
          <w:sz w:val="22"/>
        </w:rPr>
        <w:t xml:space="preserve">Robustness assessment across independent heart failure cohorts</w:t>
      </w:r>
    </w:p>
    <w:p>
      <w:pPr>
        <w:pStyle w:val="FirstParagraph"/>
        <w:spacing w:line="360" w:lineRule="auto"/>
      </w:pPr>
      <w:r>
        <w:rPr>
          <w:rFonts w:ascii="Times New Roman" w:hAnsi="Times New Roman"/>
          <w:sz w:val="22"/>
        </w:rPr>
        <w:t xml:space="preserve">To assess the cross-cohort robustness of the mirror perturbation, an independent HF cohort (GSE116250;</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64: 14 non-failing donors, 37 dilated cardiomyopathy, 13 ischemic cardiomyopathy) was analyzed using the identical ssGSEA pipeline. RNA-seq RPKM values were log</w:t>
      </w:r>
      <w:r>
        <w:rPr>
          <w:rFonts w:ascii="Times New Roman" w:hAnsi="Times New Roman"/>
          <w:sz w:val="22"/>
        </w:rPr>
        <w:t xml:space="preserve">2</w:t>
      </w:r>
      <w:r>
        <w:rPr>
          <w:rFonts w:ascii="Times New Roman" w:hAnsi="Times New Roman"/>
          <w:sz w:val="22"/>
        </w:rPr>
        <w:t xml:space="preserve">-transformed, and Cohen’s</w:t>
      </w:r>
      <w:r>
        <w:rPr>
          <w:rFonts w:ascii="Times New Roman" w:hAnsi="Times New Roman"/>
          <w:sz w:val="22"/>
        </w:rPr>
        <w:t xml:space="preserve"> </w:t>
      </w:r>
      <w:r>
        <w:rPr>
          <w:rFonts w:ascii="Times New Roman" w:hAnsi="Times New Roman"/>
          <w:i/>
          <w:iCs/>
          <w:sz w:val="22"/>
        </w:rPr>
        <w:t xml:space="preserve">d</w:t>
      </w:r>
      <w:r>
        <w:rPr>
          <w:rFonts w:ascii="Times New Roman" w:hAnsi="Times New Roman"/>
          <w:sz w:val="22"/>
        </w:rPr>
        <w:t xml:space="preserve"> </w:t>
      </w:r>
      <w:r>
        <w:rPr>
          <w:rFonts w:ascii="Times New Roman" w:hAnsi="Times New Roman"/>
          <w:sz w:val="22"/>
        </w:rPr>
        <w:t xml:space="preserve">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40"/>
    <w:bookmarkStart w:id="41" w:name="same-organ-disease-controls"/>
    <w:p>
      <w:pPr>
        <w:pStyle w:val="Heading3"/>
        <w:spacing w:line="360" w:lineRule="auto"/>
      </w:pPr>
      <w:r>
        <w:rPr>
          <w:rFonts w:ascii="Times New Roman" w:hAnsi="Times New Roman"/>
          <w:b/>
          <w:sz w:val="22"/>
        </w:rPr>
        <w:t xml:space="preserve">Same-organ disease controls</w:t>
      </w:r>
    </w:p>
    <w:p>
      <w:pPr>
        <w:pStyle w:val="FirstParagraph"/>
        <w:spacing w:line="360" w:lineRule="auto"/>
      </w:pPr>
      <w:r>
        <w:rPr>
          <w:rFonts w:ascii="Times New Roman" w:hAnsi="Times New Roman"/>
          <w:sz w:val="22"/>
        </w:rPr>
        <w:t xml:space="preserve">To distinguish disease-specific mirror perturbation from constitutive tissue-specific differences, two same-organ disease comparisons were performed: (i) hypertrophic cardiomyopathy (HCM) vs. non-failing myocardium (GSE141910;</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28 HCM,</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166 NF), as a cardiac disease comparison; and (ii) cirrhosis vs. normal liver (GSE89377;</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12 cirrhosis,</w:t>
      </w:r>
      <w:r>
        <w:rPr>
          <w:rFonts w:ascii="Times New Roman" w:hAnsi="Times New Roman"/>
          <w:sz w:val="22"/>
        </w:rPr>
        <w:t xml:space="preserve"> </w:t>
      </w:r>
      <w:r>
        <w:rPr>
          <w:rFonts w:ascii="Times New Roman" w:hAnsi="Times New Roman"/>
          <w:i/>
          <w:iCs/>
          <w:sz w:val="22"/>
        </w:rPr>
        <w:t xml:space="preserve">n</w:t>
      </w:r>
      <w:r>
        <w:rPr>
          <w:rFonts w:ascii="Times New Roman" w:hAnsi="Times New Roman"/>
          <w:sz w:val="22"/>
        </w:rPr>
        <w:t xml:space="preserve"> </w:t>
      </w:r>
      <w:r>
        <w:rPr>
          <w:rFonts w:ascii="Times New Roman" w:hAnsi="Times New Roman"/>
          <w:sz w:val="22"/>
        </w:rPr>
        <w:t xml:space="preserve">= 13 normal), as a liver disease comparison. The identical ssGSEA pipeline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41"/>
    <w:bookmarkEnd w:id="42"/>
    <w:bookmarkStart w:id="43" w:name="data-availability"/>
    <w:p>
      <w:pPr>
        <w:pStyle w:val="Heading2"/>
        <w:spacing w:line="360" w:lineRule="auto"/>
      </w:pPr>
      <w:r>
        <w:rPr>
          <w:rFonts w:ascii="Times New Roman" w:hAnsi="Times New Roman"/>
          <w:b/>
          <w:sz w:val="22"/>
        </w:rPr>
        <w:t xml:space="preserve">Data availability</w:t>
      </w:r>
    </w:p>
    <w:p>
      <w:pPr>
        <w:pStyle w:val="FirstParagraph"/>
        <w:spacing w:line="360" w:lineRule="auto"/>
      </w:pPr>
      <w:r>
        <w:rPr>
          <w:rFonts w:ascii="Times New Roman" w:hAnsi="Times New Roman"/>
          <w:sz w:val="22"/>
        </w:rPr>
        <w:t xml:space="preserve">All datasets used in this study are publicly available: GSE57338, GSE141198, GSE14520, and GSE76427 from GEO (https://www.ncbi.nlm.nih.gov/geo/); TCGA-LIHC from the GDC Data Portal (https://portal.gdc.cancer.gov/). All datasets are accessible via their public landing pages.</w:t>
      </w:r>
    </w:p>
    <w:bookmarkEnd w:id="43"/>
    <w:bookmarkStart w:id="44" w:name="code-availability"/>
    <w:p>
      <w:pPr>
        <w:pStyle w:val="Heading2"/>
        <w:spacing w:line="360" w:lineRule="auto"/>
      </w:pPr>
      <w:r>
        <w:rPr>
          <w:rFonts w:ascii="Times New Roman" w:hAnsi="Times New Roman"/>
          <w:b/>
          <w:sz w:val="22"/>
        </w:rPr>
        <w:t xml:space="preserve">Code availability</w:t>
      </w:r>
    </w:p>
    <w:p>
      <w:pPr>
        <w:pStyle w:val="FirstParagraph"/>
        <w:spacing w:line="360" w:lineRule="auto"/>
      </w:pPr>
      <w:r>
        <w:rPr>
          <w:rFonts w:ascii="Times New Roman" w:hAnsi="Times New Roman"/>
          <w:sz w:val="22"/>
        </w:rPr>
        <w:t xml:space="preserve">Analysis code has been deposited in a GitHub repository (https://github.com/zxy048/translation-mirror-hf-hcc), containing the complete WGCNA, ssGSEA, TF correlation, and direction consistency analysis pipelines, accessible via an anonymous link during peer review.</w:t>
      </w:r>
    </w:p>
    <w:bookmarkEnd w:id="44"/>
    <w:bookmarkStart w:id="45" w:name="references"/>
    <w:p>
      <w:pPr>
        <w:pStyle w:val="Heading2"/>
        <w:spacing w:line="360" w:lineRule="auto"/>
      </w:pPr>
      <w:r>
        <w:rPr>
          <w:rFonts w:ascii="Times New Roman" w:hAnsi="Times New Roman"/>
          <w:b/>
          <w:sz w:val="22"/>
        </w:rPr>
        <w:t xml:space="preserve">References</w:t>
      </w:r>
    </w:p>
    <w:p>
      <w:pPr>
        <w:numPr>
          <w:ilvl w:val="0"/>
          <w:numId w:val="1001"/>
        </w:numPr>
        <w:spacing w:line="360" w:lineRule="auto"/>
      </w:pPr>
      <w:r>
        <w:rPr>
          <w:rFonts w:ascii="Times New Roman" w:hAnsi="Times New Roman"/>
          <w:sz w:val="22"/>
        </w:rPr>
        <w:t xml:space="preserve">Mericskay, M., Zuurbier, C. J., Lopaschuk, G. D. &amp; Taegtmeyer, H. Cardiac intermediary metabolism in heart failure: substrate use, signalling roles and therapeutic targets.</w:t>
      </w:r>
      <w:r>
        <w:rPr>
          <w:rFonts w:ascii="Times New Roman" w:hAnsi="Times New Roman"/>
          <w:sz w:val="22"/>
        </w:rPr>
        <w:t xml:space="preserve"> </w:t>
      </w:r>
      <w:r>
        <w:rPr>
          <w:rFonts w:ascii="Times New Roman" w:hAnsi="Times New Roman"/>
          <w:i/>
          <w:iCs/>
          <w:sz w:val="22"/>
        </w:rPr>
        <w:t xml:space="preserve">Nat. Rev. Cardiol.</w:t>
      </w:r>
      <w:r>
        <w:rPr>
          <w:rFonts w:ascii="Times New Roman" w:hAnsi="Times New Roman"/>
          <w:sz w:val="22"/>
        </w:rPr>
        <w:t xml:space="preserve"> </w:t>
      </w:r>
      <w:r>
        <w:rPr>
          <w:rFonts w:ascii="Times New Roman" w:hAnsi="Times New Roman"/>
          <w:b/>
          <w:bCs/>
          <w:sz w:val="22"/>
        </w:rPr>
        <w:t xml:space="preserve">22</w:t>
      </w:r>
      <w:r>
        <w:rPr>
          <w:rFonts w:ascii="Times New Roman" w:hAnsi="Times New Roman"/>
          <w:sz w:val="22"/>
        </w:rPr>
        <w:t xml:space="preserve">, 704–727 (2025).</w:t>
      </w:r>
    </w:p>
    <w:p>
      <w:pPr>
        <w:numPr>
          <w:ilvl w:val="0"/>
          <w:numId w:val="1001"/>
        </w:numPr>
        <w:spacing w:line="360" w:lineRule="auto"/>
      </w:pPr>
      <w:r>
        <w:rPr>
          <w:rFonts w:ascii="Times New Roman" w:hAnsi="Times New Roman"/>
          <w:sz w:val="22"/>
        </w:rPr>
        <w:t xml:space="preserve">Abdellatif, M., Rainer, P. P., Sedej, S. &amp; Kroemer, G. Hallmarks of cardiovascular ageing.</w:t>
      </w:r>
      <w:r>
        <w:rPr>
          <w:rFonts w:ascii="Times New Roman" w:hAnsi="Times New Roman"/>
          <w:sz w:val="22"/>
        </w:rPr>
        <w:t xml:space="preserve"> </w:t>
      </w:r>
      <w:r>
        <w:rPr>
          <w:rFonts w:ascii="Times New Roman" w:hAnsi="Times New Roman"/>
          <w:i/>
          <w:iCs/>
          <w:sz w:val="22"/>
        </w:rPr>
        <w:t xml:space="preserve">Nat. Rev. Cardiol.</w:t>
      </w:r>
      <w:r>
        <w:rPr>
          <w:rFonts w:ascii="Times New Roman" w:hAnsi="Times New Roman"/>
          <w:sz w:val="22"/>
        </w:rPr>
        <w:t xml:space="preserve"> </w:t>
      </w:r>
      <w:r>
        <w:rPr>
          <w:rFonts w:ascii="Times New Roman" w:hAnsi="Times New Roman"/>
          <w:b/>
          <w:bCs/>
          <w:sz w:val="22"/>
        </w:rPr>
        <w:t xml:space="preserve">20</w:t>
      </w:r>
      <w:r>
        <w:rPr>
          <w:rFonts w:ascii="Times New Roman" w:hAnsi="Times New Roman"/>
          <w:sz w:val="22"/>
        </w:rPr>
        <w:t xml:space="preserve">, 754–777 (2023).</w:t>
      </w:r>
    </w:p>
    <w:p>
      <w:pPr>
        <w:numPr>
          <w:ilvl w:val="0"/>
          <w:numId w:val="1001"/>
        </w:numPr>
        <w:spacing w:line="360" w:lineRule="auto"/>
      </w:pPr>
      <w:r>
        <w:rPr>
          <w:rFonts w:ascii="Times New Roman" w:hAnsi="Times New Roman"/>
          <w:sz w:val="22"/>
        </w:rPr>
        <w:t xml:space="preserve">Lu, X., Paliogiannis, P., Calvisi, D. F. &amp; Chen, X. Role of the mammalian target of rapamycin pathway in liver cancer: from molecular genetics to targeted therapies.</w:t>
      </w:r>
      <w:r>
        <w:rPr>
          <w:rFonts w:ascii="Times New Roman" w:hAnsi="Times New Roman"/>
          <w:sz w:val="22"/>
        </w:rPr>
        <w:t xml:space="preserve"> </w:t>
      </w:r>
      <w:r>
        <w:rPr>
          <w:rFonts w:ascii="Times New Roman" w:hAnsi="Times New Roman"/>
          <w:i/>
          <w:iCs/>
          <w:sz w:val="22"/>
        </w:rPr>
        <w:t xml:space="preserve">Hepatology</w:t>
      </w:r>
      <w:r>
        <w:rPr>
          <w:rFonts w:ascii="Times New Roman" w:hAnsi="Times New Roman"/>
          <w:sz w:val="22"/>
        </w:rPr>
        <w:t xml:space="preserve"> </w:t>
      </w:r>
      <w:r>
        <w:rPr>
          <w:rFonts w:ascii="Times New Roman" w:hAnsi="Times New Roman"/>
          <w:b/>
          <w:bCs/>
          <w:sz w:val="22"/>
        </w:rPr>
        <w:t xml:space="preserve">73</w:t>
      </w:r>
      <w:r>
        <w:rPr>
          <w:rFonts w:ascii="Times New Roman" w:hAnsi="Times New Roman"/>
          <w:sz w:val="22"/>
        </w:rPr>
        <w:t xml:space="preserve">, 49–61 (2021).</w:t>
      </w:r>
    </w:p>
    <w:p>
      <w:pPr>
        <w:numPr>
          <w:ilvl w:val="0"/>
          <w:numId w:val="1001"/>
        </w:numPr>
        <w:spacing w:line="360" w:lineRule="auto"/>
      </w:pPr>
      <w:r>
        <w:rPr>
          <w:rFonts w:ascii="Times New Roman" w:hAnsi="Times New Roman"/>
          <w:sz w:val="22"/>
        </w:rPr>
        <w:t xml:space="preserve">Llovet, J. M. et al. Molecular pathogenesis and systemic therapies for hepatocellular carcinoma.</w:t>
      </w:r>
      <w:r>
        <w:rPr>
          <w:rFonts w:ascii="Times New Roman" w:hAnsi="Times New Roman"/>
          <w:sz w:val="22"/>
        </w:rPr>
        <w:t xml:space="preserve"> </w:t>
      </w:r>
      <w:r>
        <w:rPr>
          <w:rFonts w:ascii="Times New Roman" w:hAnsi="Times New Roman"/>
          <w:i/>
          <w:iCs/>
          <w:sz w:val="22"/>
        </w:rPr>
        <w:t xml:space="preserve">Nat. Cancer</w:t>
      </w:r>
      <w:r>
        <w:rPr>
          <w:rFonts w:ascii="Times New Roman" w:hAnsi="Times New Roman"/>
          <w:sz w:val="22"/>
        </w:rPr>
        <w:t xml:space="preserve"> </w:t>
      </w:r>
      <w:r>
        <w:rPr>
          <w:rFonts w:ascii="Times New Roman" w:hAnsi="Times New Roman"/>
          <w:b/>
          <w:bCs/>
          <w:sz w:val="22"/>
        </w:rPr>
        <w:t xml:space="preserve">3</w:t>
      </w:r>
      <w:r>
        <w:rPr>
          <w:rFonts w:ascii="Times New Roman" w:hAnsi="Times New Roman"/>
          <w:sz w:val="22"/>
        </w:rPr>
        <w:t xml:space="preserve">, 386–401 (2022).</w:t>
      </w:r>
    </w:p>
    <w:p>
      <w:pPr>
        <w:numPr>
          <w:ilvl w:val="0"/>
          <w:numId w:val="1001"/>
        </w:numPr>
        <w:spacing w:line="360" w:lineRule="auto"/>
      </w:pPr>
      <w:r>
        <w:rPr>
          <w:rFonts w:ascii="Times New Roman" w:hAnsi="Times New Roman"/>
          <w:sz w:val="22"/>
        </w:rPr>
        <w:t xml:space="preserve">Lanzer, J. D. et al. A cross-study transcriptional patient map of heart failure defines conserved multicellular coordination in cardiac remodeling.</w:t>
      </w:r>
      <w:r>
        <w:rPr>
          <w:rFonts w:ascii="Times New Roman" w:hAnsi="Times New Roman"/>
          <w:sz w:val="22"/>
        </w:rPr>
        <w:t xml:space="preserve"> </w:t>
      </w:r>
      <w:r>
        <w:rPr>
          <w:rFonts w:ascii="Times New Roman" w:hAnsi="Times New Roman"/>
          <w:i/>
          <w:iCs/>
          <w:sz w:val="22"/>
        </w:rPr>
        <w:t xml:space="preserve">Nat. Commun.</w:t>
      </w:r>
      <w:r>
        <w:rPr>
          <w:rFonts w:ascii="Times New Roman" w:hAnsi="Times New Roman"/>
          <w:sz w:val="22"/>
        </w:rPr>
        <w:t xml:space="preserve"> </w:t>
      </w:r>
      <w:r>
        <w:rPr>
          <w:rFonts w:ascii="Times New Roman" w:hAnsi="Times New Roman"/>
          <w:b/>
          <w:bCs/>
          <w:sz w:val="22"/>
        </w:rPr>
        <w:t xml:space="preserve">16</w:t>
      </w:r>
      <w:r>
        <w:rPr>
          <w:rFonts w:ascii="Times New Roman" w:hAnsi="Times New Roman"/>
          <w:sz w:val="22"/>
        </w:rPr>
        <w:t xml:space="preserve">, 3560 (2025).</w:t>
      </w:r>
    </w:p>
    <w:p>
      <w:pPr>
        <w:numPr>
          <w:ilvl w:val="0"/>
          <w:numId w:val="1001"/>
        </w:numPr>
        <w:spacing w:line="360" w:lineRule="auto"/>
      </w:pPr>
      <w:r>
        <w:rPr>
          <w:rFonts w:ascii="Times New Roman" w:hAnsi="Times New Roman"/>
          <w:sz w:val="22"/>
        </w:rPr>
        <w:t xml:space="preserve">Xie, S., Xu, M., Deng, W. &amp; Tang, Q. Metabolic landscape in cardiac aging: insights into molecular biology and therapeutic implications.</w:t>
      </w:r>
      <w:r>
        <w:rPr>
          <w:rFonts w:ascii="Times New Roman" w:hAnsi="Times New Roman"/>
          <w:sz w:val="22"/>
        </w:rPr>
        <w:t xml:space="preserve"> </w:t>
      </w:r>
      <w:r>
        <w:rPr>
          <w:rFonts w:ascii="Times New Roman" w:hAnsi="Times New Roman"/>
          <w:i/>
          <w:iCs/>
          <w:sz w:val="22"/>
        </w:rPr>
        <w:t xml:space="preserve">Signal Transduct. Target. Ther.</w:t>
      </w:r>
      <w:r>
        <w:rPr>
          <w:rFonts w:ascii="Times New Roman" w:hAnsi="Times New Roman"/>
          <w:sz w:val="22"/>
        </w:rPr>
        <w:t xml:space="preserve"> </w:t>
      </w:r>
      <w:r>
        <w:rPr>
          <w:rFonts w:ascii="Times New Roman" w:hAnsi="Times New Roman"/>
          <w:b/>
          <w:bCs/>
          <w:sz w:val="22"/>
        </w:rPr>
        <w:t xml:space="preserve">8</w:t>
      </w:r>
      <w:r>
        <w:rPr>
          <w:rFonts w:ascii="Times New Roman" w:hAnsi="Times New Roman"/>
          <w:sz w:val="22"/>
        </w:rPr>
        <w:t xml:space="preserve">, 114 (2023).</w:t>
      </w:r>
    </w:p>
    <w:p>
      <w:pPr>
        <w:numPr>
          <w:ilvl w:val="0"/>
          <w:numId w:val="1001"/>
        </w:numPr>
        <w:spacing w:line="360" w:lineRule="auto"/>
      </w:pPr>
      <w:r>
        <w:rPr>
          <w:rFonts w:ascii="Times New Roman" w:hAnsi="Times New Roman"/>
          <w:sz w:val="22"/>
        </w:rPr>
        <w:t xml:space="preserve">Brito Querido, J., Díaz-López, I. &amp; Ramakrishnan, V. The molecular basis of translation initiation and its regulation in eukaryotes.</w:t>
      </w:r>
      <w:r>
        <w:rPr>
          <w:rFonts w:ascii="Times New Roman" w:hAnsi="Times New Roman"/>
          <w:sz w:val="22"/>
        </w:rPr>
        <w:t xml:space="preserve"> </w:t>
      </w:r>
      <w:r>
        <w:rPr>
          <w:rFonts w:ascii="Times New Roman" w:hAnsi="Times New Roman"/>
          <w:i/>
          <w:iCs/>
          <w:sz w:val="22"/>
        </w:rPr>
        <w:t xml:space="preserve">Nat. Rev. Mol. Cell Biol.</w:t>
      </w:r>
      <w:r>
        <w:rPr>
          <w:rFonts w:ascii="Times New Roman" w:hAnsi="Times New Roman"/>
          <w:sz w:val="22"/>
        </w:rPr>
        <w:t xml:space="preserve"> </w:t>
      </w:r>
      <w:r>
        <w:rPr>
          <w:rFonts w:ascii="Times New Roman" w:hAnsi="Times New Roman"/>
          <w:b/>
          <w:bCs/>
          <w:sz w:val="22"/>
        </w:rPr>
        <w:t xml:space="preserve">25</w:t>
      </w:r>
      <w:r>
        <w:rPr>
          <w:rFonts w:ascii="Times New Roman" w:hAnsi="Times New Roman"/>
          <w:sz w:val="22"/>
        </w:rPr>
        <w:t xml:space="preserve">, 168–186 (2024).</w:t>
      </w:r>
    </w:p>
    <w:p>
      <w:pPr>
        <w:numPr>
          <w:ilvl w:val="0"/>
          <w:numId w:val="1001"/>
        </w:numPr>
        <w:spacing w:line="360" w:lineRule="auto"/>
      </w:pPr>
      <w:r>
        <w:rPr>
          <w:rFonts w:ascii="Times New Roman" w:hAnsi="Times New Roman"/>
          <w:sz w:val="22"/>
        </w:rPr>
        <w:t xml:space="preserve">Jiao, L. et al. Ribosome biogenesis in disease: new players and therapeutic targets.</w:t>
      </w:r>
      <w:r>
        <w:rPr>
          <w:rFonts w:ascii="Times New Roman" w:hAnsi="Times New Roman"/>
          <w:sz w:val="22"/>
        </w:rPr>
        <w:t xml:space="preserve"> </w:t>
      </w:r>
      <w:r>
        <w:rPr>
          <w:rFonts w:ascii="Times New Roman" w:hAnsi="Times New Roman"/>
          <w:i/>
          <w:iCs/>
          <w:sz w:val="22"/>
        </w:rPr>
        <w:t xml:space="preserve">Signal Transduct. Target. Ther.</w:t>
      </w:r>
      <w:r>
        <w:rPr>
          <w:rFonts w:ascii="Times New Roman" w:hAnsi="Times New Roman"/>
          <w:sz w:val="22"/>
        </w:rPr>
        <w:t xml:space="preserve"> </w:t>
      </w:r>
      <w:r>
        <w:rPr>
          <w:rFonts w:ascii="Times New Roman" w:hAnsi="Times New Roman"/>
          <w:b/>
          <w:bCs/>
          <w:sz w:val="22"/>
        </w:rPr>
        <w:t xml:space="preserve">8</w:t>
      </w:r>
      <w:r>
        <w:rPr>
          <w:rFonts w:ascii="Times New Roman" w:hAnsi="Times New Roman"/>
          <w:sz w:val="22"/>
        </w:rPr>
        <w:t xml:space="preserve">, 15 (2023).</w:t>
      </w:r>
    </w:p>
    <w:p>
      <w:pPr>
        <w:numPr>
          <w:ilvl w:val="0"/>
          <w:numId w:val="1001"/>
        </w:numPr>
        <w:spacing w:line="360" w:lineRule="auto"/>
      </w:pPr>
      <w:r>
        <w:rPr>
          <w:rFonts w:ascii="Times New Roman" w:hAnsi="Times New Roman"/>
          <w:sz w:val="22"/>
        </w:rPr>
        <w:t xml:space="preserve">Jia, X. et al. Protein translation: biological processes and therapeutic strategies for human diseases.</w:t>
      </w:r>
      <w:r>
        <w:rPr>
          <w:rFonts w:ascii="Times New Roman" w:hAnsi="Times New Roman"/>
          <w:sz w:val="22"/>
        </w:rPr>
        <w:t xml:space="preserve"> </w:t>
      </w:r>
      <w:r>
        <w:rPr>
          <w:rFonts w:ascii="Times New Roman" w:hAnsi="Times New Roman"/>
          <w:i/>
          <w:iCs/>
          <w:sz w:val="22"/>
        </w:rPr>
        <w:t xml:space="preserve">Signal Transduct. Target. Ther.</w:t>
      </w:r>
      <w:r>
        <w:rPr>
          <w:rFonts w:ascii="Times New Roman" w:hAnsi="Times New Roman"/>
          <w:sz w:val="22"/>
        </w:rPr>
        <w:t xml:space="preserve"> </w:t>
      </w:r>
      <w:r>
        <w:rPr>
          <w:rFonts w:ascii="Times New Roman" w:hAnsi="Times New Roman"/>
          <w:b/>
          <w:bCs/>
          <w:sz w:val="22"/>
        </w:rPr>
        <w:t xml:space="preserve">9</w:t>
      </w:r>
      <w:r>
        <w:rPr>
          <w:rFonts w:ascii="Times New Roman" w:hAnsi="Times New Roman"/>
          <w:sz w:val="22"/>
        </w:rPr>
        <w:t xml:space="preserve">, 44 (2024).</w:t>
      </w:r>
    </w:p>
    <w:p>
      <w:pPr>
        <w:numPr>
          <w:ilvl w:val="0"/>
          <w:numId w:val="1001"/>
        </w:numPr>
        <w:spacing w:line="360" w:lineRule="auto"/>
      </w:pPr>
      <w:r>
        <w:rPr>
          <w:rFonts w:ascii="Times New Roman" w:hAnsi="Times New Roman"/>
          <w:sz w:val="22"/>
        </w:rPr>
        <w:t xml:space="preserve">Goul, C., Peruzzo, R. &amp; Zoncu, R. The molecular basis of nutrient sensing and signalling by mTORC1 in metabolism regulation and disease.</w:t>
      </w:r>
      <w:r>
        <w:rPr>
          <w:rFonts w:ascii="Times New Roman" w:hAnsi="Times New Roman"/>
          <w:sz w:val="22"/>
        </w:rPr>
        <w:t xml:space="preserve"> </w:t>
      </w:r>
      <w:r>
        <w:rPr>
          <w:rFonts w:ascii="Times New Roman" w:hAnsi="Times New Roman"/>
          <w:i/>
          <w:iCs/>
          <w:sz w:val="22"/>
        </w:rPr>
        <w:t xml:space="preserve">Nat. Rev. Mol. Cell Biol.</w:t>
      </w:r>
      <w:r>
        <w:rPr>
          <w:rFonts w:ascii="Times New Roman" w:hAnsi="Times New Roman"/>
          <w:sz w:val="22"/>
        </w:rPr>
        <w:t xml:space="preserve"> </w:t>
      </w:r>
      <w:r>
        <w:rPr>
          <w:rFonts w:ascii="Times New Roman" w:hAnsi="Times New Roman"/>
          <w:b/>
          <w:bCs/>
          <w:sz w:val="22"/>
        </w:rPr>
        <w:t xml:space="preserve">24</w:t>
      </w:r>
      <w:r>
        <w:rPr>
          <w:rFonts w:ascii="Times New Roman" w:hAnsi="Times New Roman"/>
          <w:sz w:val="22"/>
        </w:rPr>
        <w:t xml:space="preserve">, 857–875 (2023).</w:t>
      </w:r>
    </w:p>
    <w:p>
      <w:pPr>
        <w:numPr>
          <w:ilvl w:val="0"/>
          <w:numId w:val="1001"/>
        </w:numPr>
        <w:spacing w:line="360" w:lineRule="auto"/>
      </w:pPr>
      <w:r>
        <w:rPr>
          <w:rFonts w:ascii="Times New Roman" w:hAnsi="Times New Roman"/>
          <w:sz w:val="22"/>
        </w:rPr>
        <w:t xml:space="preserve">Bartish, M. et al. The role of eIF4F-driven mRNA translation in regulating the tumour microenvironment.</w:t>
      </w:r>
      <w:r>
        <w:rPr>
          <w:rFonts w:ascii="Times New Roman" w:hAnsi="Times New Roman"/>
          <w:sz w:val="22"/>
        </w:rPr>
        <w:t xml:space="preserve"> </w:t>
      </w:r>
      <w:r>
        <w:rPr>
          <w:rFonts w:ascii="Times New Roman" w:hAnsi="Times New Roman"/>
          <w:i/>
          <w:iCs/>
          <w:sz w:val="22"/>
        </w:rPr>
        <w:t xml:space="preserve">Nat. Rev. Cancer</w:t>
      </w:r>
      <w:r>
        <w:rPr>
          <w:rFonts w:ascii="Times New Roman" w:hAnsi="Times New Roman"/>
          <w:sz w:val="22"/>
        </w:rPr>
        <w:t xml:space="preserve"> </w:t>
      </w:r>
      <w:r>
        <w:rPr>
          <w:rFonts w:ascii="Times New Roman" w:hAnsi="Times New Roman"/>
          <w:b/>
          <w:bCs/>
          <w:sz w:val="22"/>
        </w:rPr>
        <w:t xml:space="preserve">23</w:t>
      </w:r>
      <w:r>
        <w:rPr>
          <w:rFonts w:ascii="Times New Roman" w:hAnsi="Times New Roman"/>
          <w:sz w:val="22"/>
        </w:rPr>
        <w:t xml:space="preserve">, 408–425 (2023).</w:t>
      </w:r>
    </w:p>
    <w:p>
      <w:pPr>
        <w:numPr>
          <w:ilvl w:val="0"/>
          <w:numId w:val="1001"/>
        </w:numPr>
        <w:spacing w:line="360" w:lineRule="auto"/>
      </w:pPr>
      <w:r>
        <w:rPr>
          <w:rFonts w:ascii="Times New Roman" w:hAnsi="Times New Roman"/>
          <w:sz w:val="22"/>
        </w:rPr>
        <w:t xml:space="preserve">Jakobsen, S. T. &amp; Siersbæk, R. Transcriptional regulation by MYC: an emerging new model.</w:t>
      </w:r>
      <w:r>
        <w:rPr>
          <w:rFonts w:ascii="Times New Roman" w:hAnsi="Times New Roman"/>
          <w:sz w:val="22"/>
        </w:rPr>
        <w:t xml:space="preserve"> </w:t>
      </w:r>
      <w:r>
        <w:rPr>
          <w:rFonts w:ascii="Times New Roman" w:hAnsi="Times New Roman"/>
          <w:i/>
          <w:iCs/>
          <w:sz w:val="22"/>
        </w:rPr>
        <w:t xml:space="preserve">Oncogene</w:t>
      </w:r>
      <w:r>
        <w:rPr>
          <w:rFonts w:ascii="Times New Roman" w:hAnsi="Times New Roman"/>
          <w:sz w:val="22"/>
        </w:rPr>
        <w:t xml:space="preserve"> </w:t>
      </w:r>
      <w:r>
        <w:rPr>
          <w:rFonts w:ascii="Times New Roman" w:hAnsi="Times New Roman"/>
          <w:b/>
          <w:bCs/>
          <w:sz w:val="22"/>
        </w:rPr>
        <w:t xml:space="preserve">44</w:t>
      </w:r>
      <w:r>
        <w:rPr>
          <w:rFonts w:ascii="Times New Roman" w:hAnsi="Times New Roman"/>
          <w:sz w:val="22"/>
        </w:rPr>
        <w:t xml:space="preserve">, 1–7 (2025).</w:t>
      </w:r>
    </w:p>
    <w:p>
      <w:pPr>
        <w:numPr>
          <w:ilvl w:val="0"/>
          <w:numId w:val="1001"/>
        </w:numPr>
        <w:spacing w:line="360" w:lineRule="auto"/>
      </w:pPr>
      <w:r>
        <w:rPr>
          <w:rFonts w:ascii="Times New Roman" w:hAnsi="Times New Roman"/>
          <w:sz w:val="22"/>
        </w:rPr>
        <w:t xml:space="preserve">Love, M. I., Huber, W. &amp; Anders, S. Moderated estimation of fold change and dispersion for RNA-seq data with DESeq2.</w:t>
      </w:r>
      <w:r>
        <w:rPr>
          <w:rFonts w:ascii="Times New Roman" w:hAnsi="Times New Roman"/>
          <w:sz w:val="22"/>
        </w:rPr>
        <w:t xml:space="preserve"> </w:t>
      </w:r>
      <w:r>
        <w:rPr>
          <w:rFonts w:ascii="Times New Roman" w:hAnsi="Times New Roman"/>
          <w:i/>
          <w:iCs/>
          <w:sz w:val="22"/>
        </w:rPr>
        <w:t xml:space="preserve">Genome Biol.</w:t>
      </w:r>
      <w:r>
        <w:rPr>
          <w:rFonts w:ascii="Times New Roman" w:hAnsi="Times New Roman"/>
          <w:sz w:val="22"/>
        </w:rPr>
        <w:t xml:space="preserve"> </w:t>
      </w:r>
      <w:r>
        <w:rPr>
          <w:rFonts w:ascii="Times New Roman" w:hAnsi="Times New Roman"/>
          <w:b/>
          <w:bCs/>
          <w:sz w:val="22"/>
        </w:rPr>
        <w:t xml:space="preserve">15</w:t>
      </w:r>
      <w:r>
        <w:rPr>
          <w:rFonts w:ascii="Times New Roman" w:hAnsi="Times New Roman"/>
          <w:sz w:val="22"/>
        </w:rPr>
        <w:t xml:space="preserve">, 550 (2014).</w:t>
      </w:r>
    </w:p>
    <w:p>
      <w:pPr>
        <w:numPr>
          <w:ilvl w:val="0"/>
          <w:numId w:val="1001"/>
        </w:numPr>
        <w:spacing w:line="360" w:lineRule="auto"/>
      </w:pPr>
      <w:r>
        <w:rPr>
          <w:rFonts w:ascii="Times New Roman" w:hAnsi="Times New Roman"/>
          <w:sz w:val="22"/>
        </w:rPr>
        <w:t xml:space="preserve">Zhang, B. &amp; Horvath, S. A general framework for weighted gene co-expression network analysis.</w:t>
      </w:r>
      <w:r>
        <w:rPr>
          <w:rFonts w:ascii="Times New Roman" w:hAnsi="Times New Roman"/>
          <w:sz w:val="22"/>
        </w:rPr>
        <w:t xml:space="preserve"> </w:t>
      </w:r>
      <w:r>
        <w:rPr>
          <w:rFonts w:ascii="Times New Roman" w:hAnsi="Times New Roman"/>
          <w:i/>
          <w:iCs/>
          <w:sz w:val="22"/>
        </w:rPr>
        <w:t xml:space="preserve">Stat. Appl. Genet. Mol. Biol.</w:t>
      </w:r>
      <w:r>
        <w:rPr>
          <w:rFonts w:ascii="Times New Roman" w:hAnsi="Times New Roman"/>
          <w:sz w:val="22"/>
        </w:rPr>
        <w:t xml:space="preserve"> </w:t>
      </w:r>
      <w:r>
        <w:rPr>
          <w:rFonts w:ascii="Times New Roman" w:hAnsi="Times New Roman"/>
          <w:b/>
          <w:bCs/>
          <w:sz w:val="22"/>
        </w:rPr>
        <w:t xml:space="preserve">4</w:t>
      </w:r>
      <w:r>
        <w:rPr>
          <w:rFonts w:ascii="Times New Roman" w:hAnsi="Times New Roman"/>
          <w:sz w:val="22"/>
        </w:rPr>
        <w:t xml:space="preserve">, Article 17 (2005).</w:t>
      </w:r>
    </w:p>
    <w:p>
      <w:pPr>
        <w:numPr>
          <w:ilvl w:val="0"/>
          <w:numId w:val="1001"/>
        </w:numPr>
        <w:spacing w:line="360" w:lineRule="auto"/>
      </w:pPr>
      <w:r>
        <w:rPr>
          <w:rFonts w:ascii="Times New Roman" w:hAnsi="Times New Roman"/>
          <w:sz w:val="22"/>
        </w:rPr>
        <w:t xml:space="preserve">Langfelder, P. &amp; Horvath, S. WGCNA: an R package for weighted correlation network analysis.</w:t>
      </w:r>
      <w:r>
        <w:rPr>
          <w:rFonts w:ascii="Times New Roman" w:hAnsi="Times New Roman"/>
          <w:sz w:val="22"/>
        </w:rPr>
        <w:t xml:space="preserve"> </w:t>
      </w:r>
      <w:r>
        <w:rPr>
          <w:rFonts w:ascii="Times New Roman" w:hAnsi="Times New Roman"/>
          <w:i/>
          <w:iCs/>
          <w:sz w:val="22"/>
        </w:rPr>
        <w:t xml:space="preserve">BMC Bioinformatics</w:t>
      </w:r>
      <w:r>
        <w:rPr>
          <w:rFonts w:ascii="Times New Roman" w:hAnsi="Times New Roman"/>
          <w:sz w:val="22"/>
        </w:rPr>
        <w:t xml:space="preserve"> </w:t>
      </w:r>
      <w:r>
        <w:rPr>
          <w:rFonts w:ascii="Times New Roman" w:hAnsi="Times New Roman"/>
          <w:b/>
          <w:bCs/>
          <w:sz w:val="22"/>
        </w:rPr>
        <w:t xml:space="preserve">9</w:t>
      </w:r>
      <w:r>
        <w:rPr>
          <w:rFonts w:ascii="Times New Roman" w:hAnsi="Times New Roman"/>
          <w:sz w:val="22"/>
        </w:rPr>
        <w:t xml:space="preserve">, 559 (2008).</w:t>
      </w:r>
    </w:p>
    <w:p>
      <w:pPr>
        <w:numPr>
          <w:ilvl w:val="0"/>
          <w:numId w:val="1001"/>
        </w:numPr>
        <w:spacing w:line="360" w:lineRule="auto"/>
      </w:pPr>
      <w:r>
        <w:rPr>
          <w:rFonts w:ascii="Times New Roman" w:hAnsi="Times New Roman"/>
          <w:sz w:val="22"/>
        </w:rPr>
        <w:t xml:space="preserve">Wu, T. et al. clusterProfiler 4.0: a universal enrichment tool for interpreting omics data.</w:t>
      </w:r>
      <w:r>
        <w:rPr>
          <w:rFonts w:ascii="Times New Roman" w:hAnsi="Times New Roman"/>
          <w:sz w:val="22"/>
        </w:rPr>
        <w:t xml:space="preserve"> </w:t>
      </w:r>
      <w:r>
        <w:rPr>
          <w:rFonts w:ascii="Times New Roman" w:hAnsi="Times New Roman"/>
          <w:i/>
          <w:iCs/>
          <w:sz w:val="22"/>
        </w:rPr>
        <w:t xml:space="preserve">Innovation</w:t>
      </w:r>
      <w:r>
        <w:rPr>
          <w:rFonts w:ascii="Times New Roman" w:hAnsi="Times New Roman"/>
          <w:sz w:val="22"/>
        </w:rPr>
        <w:t xml:space="preserve"> </w:t>
      </w:r>
      <w:r>
        <w:rPr>
          <w:rFonts w:ascii="Times New Roman" w:hAnsi="Times New Roman"/>
          <w:b/>
          <w:bCs/>
          <w:sz w:val="22"/>
        </w:rPr>
        <w:t xml:space="preserve">2</w:t>
      </w:r>
      <w:r>
        <w:rPr>
          <w:rFonts w:ascii="Times New Roman" w:hAnsi="Times New Roman"/>
          <w:sz w:val="22"/>
        </w:rPr>
        <w:t xml:space="preserve">, 100141 (2021).</w:t>
      </w:r>
    </w:p>
    <w:p>
      <w:pPr>
        <w:numPr>
          <w:ilvl w:val="0"/>
          <w:numId w:val="1001"/>
        </w:numPr>
        <w:spacing w:line="360" w:lineRule="auto"/>
      </w:pPr>
      <w:r>
        <w:rPr>
          <w:rFonts w:ascii="Times New Roman" w:hAnsi="Times New Roman"/>
          <w:sz w:val="22"/>
        </w:rPr>
        <w:t xml:space="preserve">Hänzelmann, S., Castelo, R. &amp; Guinney, J. GSVA: gene set variation analysis for microarray and RNA-seq data.</w:t>
      </w:r>
      <w:r>
        <w:rPr>
          <w:rFonts w:ascii="Times New Roman" w:hAnsi="Times New Roman"/>
          <w:sz w:val="22"/>
        </w:rPr>
        <w:t xml:space="preserve"> </w:t>
      </w:r>
      <w:r>
        <w:rPr>
          <w:rFonts w:ascii="Times New Roman" w:hAnsi="Times New Roman"/>
          <w:i/>
          <w:iCs/>
          <w:sz w:val="22"/>
        </w:rPr>
        <w:t xml:space="preserve">BMC Bioinformatics</w:t>
      </w:r>
      <w:r>
        <w:rPr>
          <w:rFonts w:ascii="Times New Roman" w:hAnsi="Times New Roman"/>
          <w:sz w:val="22"/>
        </w:rPr>
        <w:t xml:space="preserve"> </w:t>
      </w:r>
      <w:r>
        <w:rPr>
          <w:rFonts w:ascii="Times New Roman" w:hAnsi="Times New Roman"/>
          <w:b/>
          <w:bCs/>
          <w:sz w:val="22"/>
        </w:rPr>
        <w:t xml:space="preserve">14</w:t>
      </w:r>
      <w:r>
        <w:rPr>
          <w:rFonts w:ascii="Times New Roman" w:hAnsi="Times New Roman"/>
          <w:sz w:val="22"/>
        </w:rPr>
        <w:t xml:space="preserve">, 7 (2013).</w:t>
      </w:r>
    </w:p>
    <w:p>
      <w:pPr>
        <w:numPr>
          <w:ilvl w:val="0"/>
          <w:numId w:val="1001"/>
        </w:numPr>
        <w:spacing w:line="360" w:lineRule="auto"/>
      </w:pPr>
      <w:r>
        <w:rPr>
          <w:rFonts w:ascii="Times New Roman" w:hAnsi="Times New Roman"/>
          <w:sz w:val="22"/>
        </w:rPr>
        <w:t xml:space="preserve">Barbie, D. A. et al. Systematic RNA interference reveals that oncogenic KRAS-driven cancers require TBK1.</w:t>
      </w:r>
      <w:r>
        <w:rPr>
          <w:rFonts w:ascii="Times New Roman" w:hAnsi="Times New Roman"/>
          <w:sz w:val="22"/>
        </w:rPr>
        <w:t xml:space="preserve"> </w:t>
      </w:r>
      <w:r>
        <w:rPr>
          <w:rFonts w:ascii="Times New Roman" w:hAnsi="Times New Roman"/>
          <w:i/>
          <w:iCs/>
          <w:sz w:val="22"/>
        </w:rPr>
        <w:t xml:space="preserve">Nature</w:t>
      </w:r>
      <w:r>
        <w:rPr>
          <w:rFonts w:ascii="Times New Roman" w:hAnsi="Times New Roman"/>
          <w:sz w:val="22"/>
        </w:rPr>
        <w:t xml:space="preserve"> </w:t>
      </w:r>
      <w:r>
        <w:rPr>
          <w:rFonts w:ascii="Times New Roman" w:hAnsi="Times New Roman"/>
          <w:b/>
          <w:bCs/>
          <w:sz w:val="22"/>
        </w:rPr>
        <w:t xml:space="preserve">462</w:t>
      </w:r>
      <w:r>
        <w:rPr>
          <w:rFonts w:ascii="Times New Roman" w:hAnsi="Times New Roman"/>
          <w:sz w:val="22"/>
        </w:rPr>
        <w:t xml:space="preserve">, 108–112 (2009).</w:t>
      </w:r>
    </w:p>
    <w:p>
      <w:pPr>
        <w:numPr>
          <w:ilvl w:val="0"/>
          <w:numId w:val="1001"/>
        </w:numPr>
        <w:spacing w:line="360" w:lineRule="auto"/>
      </w:pPr>
      <w:r>
        <w:rPr>
          <w:rFonts w:ascii="Times New Roman" w:hAnsi="Times New Roman"/>
          <w:sz w:val="22"/>
        </w:rPr>
        <w:t xml:space="preserve">Ritterhoff, J. &amp; Tian, R. Metabolic mechanisms in physiological and pathological cardiac hypertrophy: new paradigms and challenges.</w:t>
      </w:r>
      <w:r>
        <w:rPr>
          <w:rFonts w:ascii="Times New Roman" w:hAnsi="Times New Roman"/>
          <w:sz w:val="22"/>
        </w:rPr>
        <w:t xml:space="preserve"> </w:t>
      </w:r>
      <w:r>
        <w:rPr>
          <w:rFonts w:ascii="Times New Roman" w:hAnsi="Times New Roman"/>
          <w:i/>
          <w:iCs/>
          <w:sz w:val="22"/>
        </w:rPr>
        <w:t xml:space="preserve">Nat. Rev. Cardiol.</w:t>
      </w:r>
      <w:r>
        <w:rPr>
          <w:rFonts w:ascii="Times New Roman" w:hAnsi="Times New Roman"/>
          <w:sz w:val="22"/>
        </w:rPr>
        <w:t xml:space="preserve"> </w:t>
      </w:r>
      <w:r>
        <w:rPr>
          <w:rFonts w:ascii="Times New Roman" w:hAnsi="Times New Roman"/>
          <w:b/>
          <w:bCs/>
          <w:sz w:val="22"/>
        </w:rPr>
        <w:t xml:space="preserve">20</w:t>
      </w:r>
      <w:r>
        <w:rPr>
          <w:rFonts w:ascii="Times New Roman" w:hAnsi="Times New Roman"/>
          <w:sz w:val="22"/>
        </w:rPr>
        <w:t xml:space="preserve">, 739–753 (2023).</w:t>
      </w:r>
    </w:p>
    <w:p>
      <w:pPr>
        <w:numPr>
          <w:ilvl w:val="0"/>
          <w:numId w:val="1001"/>
        </w:numPr>
        <w:spacing w:line="360" w:lineRule="auto"/>
      </w:pPr>
      <w:r>
        <w:rPr>
          <w:rFonts w:ascii="Times New Roman" w:hAnsi="Times New Roman"/>
          <w:sz w:val="22"/>
        </w:rPr>
        <w:t xml:space="preserve">Costa-Mattioli, M. &amp; Walter, P. The integrated stress response: from mechanism to disease.</w:t>
      </w:r>
      <w:r>
        <w:rPr>
          <w:rFonts w:ascii="Times New Roman" w:hAnsi="Times New Roman"/>
          <w:sz w:val="22"/>
        </w:rPr>
        <w:t xml:space="preserve"> </w:t>
      </w:r>
      <w:r>
        <w:rPr>
          <w:rFonts w:ascii="Times New Roman" w:hAnsi="Times New Roman"/>
          <w:i/>
          <w:iCs/>
          <w:sz w:val="22"/>
        </w:rPr>
        <w:t xml:space="preserve">Science</w:t>
      </w:r>
      <w:r>
        <w:rPr>
          <w:rFonts w:ascii="Times New Roman" w:hAnsi="Times New Roman"/>
          <w:sz w:val="22"/>
        </w:rPr>
        <w:t xml:space="preserve"> </w:t>
      </w:r>
      <w:r>
        <w:rPr>
          <w:rFonts w:ascii="Times New Roman" w:hAnsi="Times New Roman"/>
          <w:b/>
          <w:bCs/>
          <w:sz w:val="22"/>
        </w:rPr>
        <w:t xml:space="preserve">368</w:t>
      </w:r>
      <w:r>
        <w:rPr>
          <w:rFonts w:ascii="Times New Roman" w:hAnsi="Times New Roman"/>
          <w:sz w:val="22"/>
        </w:rPr>
        <w:t xml:space="preserve">, eaat5314 (2020).</w:t>
      </w:r>
    </w:p>
    <w:p>
      <w:pPr>
        <w:numPr>
          <w:ilvl w:val="0"/>
          <w:numId w:val="1001"/>
        </w:numPr>
        <w:spacing w:line="360" w:lineRule="auto"/>
      </w:pPr>
      <w:r>
        <w:rPr>
          <w:rFonts w:ascii="Times New Roman" w:hAnsi="Times New Roman"/>
          <w:sz w:val="22"/>
        </w:rPr>
        <w:t xml:space="preserve">Wek, R. C., Anthony, T. G. &amp; Staschke, K. A. Surviving and adapting to stress: translational control and the integrated stress response.</w:t>
      </w:r>
      <w:r>
        <w:rPr>
          <w:rFonts w:ascii="Times New Roman" w:hAnsi="Times New Roman"/>
          <w:sz w:val="22"/>
        </w:rPr>
        <w:t xml:space="preserve"> </w:t>
      </w:r>
      <w:r>
        <w:rPr>
          <w:rFonts w:ascii="Times New Roman" w:hAnsi="Times New Roman"/>
          <w:i/>
          <w:iCs/>
          <w:sz w:val="22"/>
        </w:rPr>
        <w:t xml:space="preserve">Antioxid. Redox Signal.</w:t>
      </w:r>
      <w:r>
        <w:rPr>
          <w:rFonts w:ascii="Times New Roman" w:hAnsi="Times New Roman"/>
          <w:sz w:val="22"/>
        </w:rPr>
        <w:t xml:space="preserve"> </w:t>
      </w:r>
      <w:r>
        <w:rPr>
          <w:rFonts w:ascii="Times New Roman" w:hAnsi="Times New Roman"/>
          <w:b/>
          <w:bCs/>
          <w:sz w:val="22"/>
        </w:rPr>
        <w:t xml:space="preserve">39</w:t>
      </w:r>
      <w:r>
        <w:rPr>
          <w:rFonts w:ascii="Times New Roman" w:hAnsi="Times New Roman"/>
          <w:sz w:val="22"/>
        </w:rPr>
        <w:t xml:space="preserve">, 351–373 (2023).</w:t>
      </w:r>
    </w:p>
    <w:p>
      <w:pPr>
        <w:numPr>
          <w:ilvl w:val="0"/>
          <w:numId w:val="1001"/>
        </w:numPr>
        <w:spacing w:line="360" w:lineRule="auto"/>
      </w:pPr>
      <w:r>
        <w:rPr>
          <w:rFonts w:ascii="Times New Roman" w:hAnsi="Times New Roman"/>
          <w:sz w:val="22"/>
        </w:rPr>
        <w:t xml:space="preserve">Ramalho, S., Dopler, A. &amp; Faller, W. J. Ribosome specialization in cancer: a spotlight on ribosomal proteins.</w:t>
      </w:r>
      <w:r>
        <w:rPr>
          <w:rFonts w:ascii="Times New Roman" w:hAnsi="Times New Roman"/>
          <w:sz w:val="22"/>
        </w:rPr>
        <w:t xml:space="preserve"> </w:t>
      </w:r>
      <w:r>
        <w:rPr>
          <w:rFonts w:ascii="Times New Roman" w:hAnsi="Times New Roman"/>
          <w:i/>
          <w:iCs/>
          <w:sz w:val="22"/>
        </w:rPr>
        <w:t xml:space="preserve">NAR Cancer</w:t>
      </w:r>
      <w:r>
        <w:rPr>
          <w:rFonts w:ascii="Times New Roman" w:hAnsi="Times New Roman"/>
          <w:sz w:val="22"/>
        </w:rPr>
        <w:t xml:space="preserve"> </w:t>
      </w:r>
      <w:r>
        <w:rPr>
          <w:rFonts w:ascii="Times New Roman" w:hAnsi="Times New Roman"/>
          <w:b/>
          <w:bCs/>
          <w:sz w:val="22"/>
        </w:rPr>
        <w:t xml:space="preserve">4</w:t>
      </w:r>
      <w:r>
        <w:rPr>
          <w:rFonts w:ascii="Times New Roman" w:hAnsi="Times New Roman"/>
          <w:sz w:val="22"/>
        </w:rPr>
        <w:t xml:space="preserve">, zcae029 (2024).</w:t>
      </w:r>
    </w:p>
    <w:p>
      <w:pPr>
        <w:numPr>
          <w:ilvl w:val="0"/>
          <w:numId w:val="1001"/>
        </w:numPr>
        <w:spacing w:line="360" w:lineRule="auto"/>
      </w:pPr>
      <w:r>
        <w:rPr>
          <w:rFonts w:ascii="Times New Roman" w:hAnsi="Times New Roman"/>
          <w:sz w:val="22"/>
        </w:rPr>
        <w:t xml:space="preserve">Lu, H. J., Koju, N. &amp; Sheng, R. Mammalian integrated stress responses in stressed organelles and their functions.</w:t>
      </w:r>
      <w:r>
        <w:rPr>
          <w:rFonts w:ascii="Times New Roman" w:hAnsi="Times New Roman"/>
          <w:sz w:val="22"/>
        </w:rPr>
        <w:t xml:space="preserve"> </w:t>
      </w:r>
      <w:r>
        <w:rPr>
          <w:rFonts w:ascii="Times New Roman" w:hAnsi="Times New Roman"/>
          <w:i/>
          <w:iCs/>
          <w:sz w:val="22"/>
        </w:rPr>
        <w:t xml:space="preserve">Acta Pharmacol. Sin.</w:t>
      </w:r>
      <w:r>
        <w:rPr>
          <w:rFonts w:ascii="Times New Roman" w:hAnsi="Times New Roman"/>
          <w:sz w:val="22"/>
        </w:rPr>
        <w:t xml:space="preserve"> </w:t>
      </w:r>
      <w:r>
        <w:rPr>
          <w:rFonts w:ascii="Times New Roman" w:hAnsi="Times New Roman"/>
          <w:b/>
          <w:bCs/>
          <w:sz w:val="22"/>
        </w:rPr>
        <w:t xml:space="preserve">45</w:t>
      </w:r>
      <w:r>
        <w:rPr>
          <w:rFonts w:ascii="Times New Roman" w:hAnsi="Times New Roman"/>
          <w:sz w:val="22"/>
        </w:rPr>
        <w:t xml:space="preserve">, 1095–1114 (2024).</w:t>
      </w:r>
    </w:p>
    <w:p>
      <w:pPr>
        <w:numPr>
          <w:ilvl w:val="0"/>
          <w:numId w:val="1001"/>
        </w:numPr>
        <w:spacing w:line="360" w:lineRule="auto"/>
      </w:pPr>
      <w:r>
        <w:rPr>
          <w:rFonts w:ascii="Times New Roman" w:hAnsi="Times New Roman"/>
          <w:sz w:val="22"/>
        </w:rPr>
        <w:t xml:space="preserve">Neill, G. &amp; Masson, G. R. A stay of execution: ATF4 regulation and potential outcomes for the integrated stress response.</w:t>
      </w:r>
      <w:r>
        <w:rPr>
          <w:rFonts w:ascii="Times New Roman" w:hAnsi="Times New Roman"/>
          <w:sz w:val="22"/>
        </w:rPr>
        <w:t xml:space="preserve"> </w:t>
      </w:r>
      <w:r>
        <w:rPr>
          <w:rFonts w:ascii="Times New Roman" w:hAnsi="Times New Roman"/>
          <w:i/>
          <w:iCs/>
          <w:sz w:val="22"/>
        </w:rPr>
        <w:t xml:space="preserve">Front. Mol. Neurosci.</w:t>
      </w:r>
      <w:r>
        <w:rPr>
          <w:rFonts w:ascii="Times New Roman" w:hAnsi="Times New Roman"/>
          <w:sz w:val="22"/>
        </w:rPr>
        <w:t xml:space="preserve"> </w:t>
      </w:r>
      <w:r>
        <w:rPr>
          <w:rFonts w:ascii="Times New Roman" w:hAnsi="Times New Roman"/>
          <w:b/>
          <w:bCs/>
          <w:sz w:val="22"/>
        </w:rPr>
        <w:t xml:space="preserve">16</w:t>
      </w:r>
      <w:r>
        <w:rPr>
          <w:rFonts w:ascii="Times New Roman" w:hAnsi="Times New Roman"/>
          <w:sz w:val="22"/>
        </w:rPr>
        <w:t xml:space="preserve">, 1112253 (2023).</w:t>
      </w:r>
    </w:p>
    <w:p>
      <w:pPr>
        <w:numPr>
          <w:ilvl w:val="0"/>
          <w:numId w:val="1001"/>
        </w:numPr>
        <w:spacing w:line="360" w:lineRule="auto"/>
      </w:pPr>
      <w:r>
        <w:rPr>
          <w:rFonts w:ascii="Times New Roman" w:hAnsi="Times New Roman"/>
          <w:sz w:val="22"/>
        </w:rPr>
        <w:t xml:space="preserve">Lines, C. L., McGrath, M. J., Dorwart, T. &amp; Conn, C. S. The integrated stress response in cancer progression: a force for plasticity and resistance.</w:t>
      </w:r>
      <w:r>
        <w:rPr>
          <w:rFonts w:ascii="Times New Roman" w:hAnsi="Times New Roman"/>
          <w:sz w:val="22"/>
        </w:rPr>
        <w:t xml:space="preserve"> </w:t>
      </w:r>
      <w:r>
        <w:rPr>
          <w:rFonts w:ascii="Times New Roman" w:hAnsi="Times New Roman"/>
          <w:i/>
          <w:iCs/>
          <w:sz w:val="22"/>
        </w:rPr>
        <w:t xml:space="preserve">Front. Oncol.</w:t>
      </w:r>
      <w:r>
        <w:rPr>
          <w:rFonts w:ascii="Times New Roman" w:hAnsi="Times New Roman"/>
          <w:sz w:val="22"/>
        </w:rPr>
        <w:t xml:space="preserve"> </w:t>
      </w:r>
      <w:r>
        <w:rPr>
          <w:rFonts w:ascii="Times New Roman" w:hAnsi="Times New Roman"/>
          <w:b/>
          <w:bCs/>
          <w:sz w:val="22"/>
        </w:rPr>
        <w:t xml:space="preserve">13</w:t>
      </w:r>
      <w:r>
        <w:rPr>
          <w:rFonts w:ascii="Times New Roman" w:hAnsi="Times New Roman"/>
          <w:sz w:val="22"/>
        </w:rPr>
        <w:t xml:space="preserve">, 1206561 (2023).</w:t>
      </w:r>
    </w:p>
    <w:p>
      <w:pPr>
        <w:numPr>
          <w:ilvl w:val="0"/>
          <w:numId w:val="1001"/>
        </w:numPr>
        <w:spacing w:line="360" w:lineRule="auto"/>
      </w:pPr>
      <w:r>
        <w:rPr>
          <w:rFonts w:ascii="Times New Roman" w:hAnsi="Times New Roman"/>
          <w:sz w:val="22"/>
        </w:rPr>
        <w:t xml:space="preserve">Shiraishi, C. et al. RPL3L-containing ribosomes determine translation elongation dynamics required for cardiac function.</w:t>
      </w:r>
      <w:r>
        <w:rPr>
          <w:rFonts w:ascii="Times New Roman" w:hAnsi="Times New Roman"/>
          <w:sz w:val="22"/>
        </w:rPr>
        <w:t xml:space="preserve"> </w:t>
      </w:r>
      <w:r>
        <w:rPr>
          <w:rFonts w:ascii="Times New Roman" w:hAnsi="Times New Roman"/>
          <w:i/>
          <w:iCs/>
          <w:sz w:val="22"/>
        </w:rPr>
        <w:t xml:space="preserve">Nat. Commun.</w:t>
      </w:r>
      <w:r>
        <w:rPr>
          <w:rFonts w:ascii="Times New Roman" w:hAnsi="Times New Roman"/>
          <w:sz w:val="22"/>
        </w:rPr>
        <w:t xml:space="preserve"> </w:t>
      </w:r>
      <w:r>
        <w:rPr>
          <w:rFonts w:ascii="Times New Roman" w:hAnsi="Times New Roman"/>
          <w:b/>
          <w:bCs/>
          <w:sz w:val="22"/>
        </w:rPr>
        <w:t xml:space="preserve">14</w:t>
      </w:r>
      <w:r>
        <w:rPr>
          <w:rFonts w:ascii="Times New Roman" w:hAnsi="Times New Roman"/>
          <w:sz w:val="22"/>
        </w:rPr>
        <w:t xml:space="preserve">, 2131 (2023).</w:t>
      </w:r>
    </w:p>
    <w:bookmarkEnd w:id="45"/>
    <w:bookmarkStart w:id="46" w:name="acknowledgements"/>
    <w:p>
      <w:pPr>
        <w:pStyle w:val="Heading2"/>
        <w:spacing w:line="360" w:lineRule="auto"/>
      </w:pPr>
      <w:r>
        <w:rPr>
          <w:rFonts w:ascii="Times New Roman" w:hAnsi="Times New Roman"/>
          <w:b/>
          <w:sz w:val="22"/>
        </w:rPr>
        <w:t xml:space="preserve">Acknowledgements</w:t>
      </w:r>
    </w:p>
    <w:p>
      <w:pPr>
        <w:pStyle w:val="FirstParagraph"/>
        <w:spacing w:line="360" w:lineRule="auto"/>
      </w:pPr>
      <w:r>
        <w:rPr>
          <w:rFonts w:ascii="Times New Roman" w:hAnsi="Times New Roman"/>
          <w:sz w:val="22"/>
        </w:rPr>
        <w:t xml:space="preserve">We thank all TCGA, GEO, and MSigDB database researchers and patients involved in the datasets used in this study, for their willingness to share relevant data and their contributions to medical progress.</w:t>
      </w:r>
    </w:p>
    <w:bookmarkEnd w:id="46"/>
    <w:bookmarkStart w:id="47" w:name="author-contributions"/>
    <w:p>
      <w:pPr>
        <w:pStyle w:val="Heading2"/>
        <w:spacing w:line="360" w:lineRule="auto"/>
      </w:pPr>
      <w:r>
        <w:rPr>
          <w:rFonts w:ascii="Times New Roman" w:hAnsi="Times New Roman"/>
          <w:b/>
          <w:sz w:val="22"/>
        </w:rPr>
        <w:t xml:space="preserve">Author contributions</w:t>
      </w:r>
    </w:p>
    <w:p>
      <w:pPr>
        <w:pStyle w:val="FirstParagraph"/>
        <w:spacing w:line="360" w:lineRule="auto"/>
      </w:pPr>
      <w:r>
        <w:rPr>
          <w:rFonts w:ascii="Times New Roman" w:hAnsi="Times New Roman"/>
          <w:b/>
          <w:bCs/>
          <w:sz w:val="22"/>
        </w:rPr>
        <w:t xml:space="preserve">[Author 1]</w:t>
      </w:r>
      <w:r>
        <w:rPr>
          <w:rFonts w:ascii="Times New Roman" w:hAnsi="Times New Roman"/>
          <w:sz w:val="22"/>
        </w:rPr>
        <w:t xml:space="preserve">: Writing – original draft, Visualization, Validation, Software, Methodology, Investigation, Formal analysis, Data curation, Conceptualization.</w:t>
      </w:r>
    </w:p>
    <w:p>
      <w:pPr>
        <w:pStyle w:val="BodyText"/>
        <w:spacing w:line="360" w:lineRule="auto"/>
      </w:pPr>
      <w:r>
        <w:rPr>
          <w:rFonts w:ascii="Times New Roman" w:hAnsi="Times New Roman"/>
          <w:b/>
          <w:bCs/>
          <w:sz w:val="22"/>
        </w:rPr>
        <w:t xml:space="preserve">[Author 2]</w:t>
      </w:r>
      <w:r>
        <w:rPr>
          <w:rFonts w:ascii="Times New Roman" w:hAnsi="Times New Roman"/>
          <w:sz w:val="22"/>
        </w:rPr>
        <w:t xml:space="preserve">: Methodology, Data curation, Formal analysis, Writing – review &amp; editing.</w:t>
      </w:r>
    </w:p>
    <w:p>
      <w:pPr>
        <w:pStyle w:val="BodyText"/>
        <w:spacing w:line="360" w:lineRule="auto"/>
      </w:pPr>
      <w:r>
        <w:rPr>
          <w:rFonts w:ascii="Times New Roman" w:hAnsi="Times New Roman"/>
          <w:b/>
          <w:bCs/>
          <w:sz w:val="22"/>
        </w:rPr>
        <w:t xml:space="preserve">[Corresponding Author]</w:t>
      </w:r>
      <w:r>
        <w:rPr>
          <w:rFonts w:ascii="Times New Roman" w:hAnsi="Times New Roman"/>
          <w:sz w:val="22"/>
        </w:rPr>
        <w:t xml:space="preserve">: Writing – review &amp; editing, Validation, Supervision, Project administration, Methodology, Investigation, Formal analysis, Conceptualization.</w:t>
      </w:r>
    </w:p>
    <w:p>
      <w:pPr>
        <w:pStyle w:val="BodyText"/>
        <w:spacing w:line="360" w:lineRule="auto"/>
      </w:pPr>
      <w:r>
        <w:rPr>
          <w:rFonts w:ascii="Times New Roman" w:hAnsi="Times New Roman"/>
          <w:sz w:val="22"/>
        </w:rPr>
        <w:t xml:space="preserve">All authors have read and approved the final version of the manuscript.</w:t>
      </w:r>
    </w:p>
    <w:bookmarkEnd w:id="47"/>
    <w:bookmarkStart w:id="48" w:name="competing-interests"/>
    <w:p>
      <w:pPr>
        <w:pStyle w:val="Heading2"/>
        <w:spacing w:line="360" w:lineRule="auto"/>
      </w:pPr>
      <w:r>
        <w:rPr>
          <w:rFonts w:ascii="Times New Roman" w:hAnsi="Times New Roman"/>
          <w:b/>
          <w:sz w:val="22"/>
        </w:rPr>
        <w:t xml:space="preserve">Competing interests</w:t>
      </w:r>
    </w:p>
    <w:p>
      <w:pPr>
        <w:pStyle w:val="FirstParagraph"/>
        <w:spacing w:line="360" w:lineRule="auto"/>
      </w:pPr>
      <w:r>
        <w:rPr>
          <w:rFonts w:ascii="Times New Roman" w:hAnsi="Times New Roman"/>
          <w:sz w:val="22"/>
        </w:rPr>
        <w:t xml:space="preserve">The authors declare that they have no known competing financial interests or personal relationships that could have appeared to influence the work reported in this paper.</w:t>
      </w:r>
    </w:p>
    <w:bookmarkEnd w:id="48"/>
    <w:bookmarkStart w:id="49" w:name="funding"/>
    <w:p>
      <w:pPr>
        <w:pStyle w:val="Heading2"/>
        <w:spacing w:line="360" w:lineRule="auto"/>
      </w:pPr>
      <w:r>
        <w:rPr>
          <w:rFonts w:ascii="Times New Roman" w:hAnsi="Times New Roman"/>
          <w:b/>
          <w:sz w:val="22"/>
        </w:rPr>
        <w:t xml:space="preserve">Funding</w:t>
      </w:r>
    </w:p>
    <w:p>
      <w:pPr>
        <w:pStyle w:val="FirstParagraph"/>
        <w:spacing w:line="360" w:lineRule="auto"/>
      </w:pPr>
      <w:r>
        <w:rPr>
          <w:rFonts w:ascii="Times New Roman" w:hAnsi="Times New Roman"/>
          <w:sz w:val="22"/>
        </w:rPr>
        <w:t xml:space="preserve">This research did not receive any specific grant from funding agencies in the public, commercial, or not-for-profit sectors.</w:t>
      </w:r>
    </w:p>
    <w:bookmarkEnd w:id="49"/>
    <w:bookmarkStart w:id="50" w:name="extended-data"/>
    <w:p>
      <w:pPr>
        <w:pStyle w:val="Heading2"/>
        <w:spacing w:line="360" w:lineRule="auto"/>
      </w:pPr>
      <w:r>
        <w:rPr>
          <w:rFonts w:ascii="Times New Roman" w:hAnsi="Times New Roman"/>
          <w:b/>
          <w:sz w:val="22"/>
        </w:rPr>
        <w:t xml:space="preserve">Extended Data</w:t>
      </w:r>
    </w:p>
    <w:p>
      <w:pPr>
        <w:pStyle w:val="FirstParagraph"/>
        <w:spacing w:line="360" w:lineRule="auto"/>
      </w:pPr>
      <w:r>
        <w:rPr>
          <w:rFonts w:ascii="Times New Roman" w:hAnsi="Times New Roman"/>
          <w:b/>
          <w:bCs/>
          <w:sz w:val="22"/>
        </w:rPr>
        <w:t xml:space="preserve">Extended Data Fig. 1 | Green module hub gene identification.</w:t>
      </w:r>
      <w:r>
        <w:rPr>
          <w:rFonts w:ascii="Times New Roman" w:hAnsi="Times New Roman"/>
          <w:sz w:val="22"/>
        </w:rPr>
        <w:t xml:space="preserve"> </w:t>
      </w:r>
      <w:r>
        <w:rPr>
          <w:rFonts w:ascii="Times New Roman" w:hAnsi="Times New Roman"/>
          <w:sz w:val="22"/>
        </w:rPr>
        <w:t xml:space="preserve">Module Membership vs. Gene Significance scatter plot for the HF green module (227 genes). Hub genes (red) satisfy |GS| &gt; 0.2 and |MM| &gt; 0.8 (dual criteria).</w:t>
      </w:r>
    </w:p>
    <w:p>
      <w:pPr>
        <w:pStyle w:val="BodyText"/>
        <w:spacing w:line="360" w:lineRule="auto"/>
      </w:pPr>
      <w:r>
        <w:rPr>
          <w:rFonts w:ascii="Times New Roman" w:hAnsi="Times New Roman"/>
          <w:b/>
          <w:bCs/>
          <w:sz w:val="22"/>
        </w:rPr>
        <w:t xml:space="preserve">Extended Data Fig. 2 | TATS exploratory survival analysis by etiology subgroup.</w:t>
      </w:r>
      <w:r>
        <w:rPr>
          <w:rFonts w:ascii="Times New Roman" w:hAnsi="Times New Roman"/>
          <w:sz w:val="22"/>
        </w:rPr>
        <w:t xml:space="preserve"> </w:t>
      </w:r>
      <w:r>
        <w:rPr>
          <w:rFonts w:ascii="Times New Roman" w:hAnsi="Times New Roman"/>
          <w:sz w:val="22"/>
        </w:rPr>
        <w:t xml:space="preserve">Kaplan–Meier overall survival curves for TATS (median split) in GSE141198 stratified by HBV, HCV, and NBNC etiology subgroups.</w:t>
      </w:r>
    </w:p>
    <w:p>
      <w:pPr>
        <w:pStyle w:val="BodyText"/>
        <w:spacing w:line="360" w:lineRule="auto"/>
      </w:pPr>
      <w:r>
        <w:rPr>
          <w:rFonts w:ascii="Times New Roman" w:hAnsi="Times New Roman"/>
          <w:b/>
          <w:bCs/>
          <w:sz w:val="22"/>
        </w:rPr>
        <w:t xml:space="preserve">Extended Data Fig. 3 | Soft threshold selection for WGCNA.</w:t>
      </w:r>
      <w:r>
        <w:rPr>
          <w:rFonts w:ascii="Times New Roman" w:hAnsi="Times New Roman"/>
          <w:sz w:val="22"/>
        </w:rPr>
        <w:t xml:space="preserve"> </w:t>
      </w:r>
      <w:r>
        <w:rPr>
          <w:rFonts w:ascii="Times New Roman" w:hAnsi="Times New Roman"/>
          <w:sz w:val="22"/>
        </w:rPr>
        <w:t xml:space="preserve">Scale-free topology fit index (R²) and mean connectivity as a function of soft-threshold power β.</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GSE141198 (HCC, RNA-seq, β = 4).</w:t>
      </w:r>
      <w:r>
        <w:rPr>
          <w:rFonts w:ascii="Times New Roman" w:hAnsi="Times New Roman"/>
          <w:sz w:val="22"/>
        </w:rPr>
        <w:t xml:space="preserve"> </w:t>
      </w: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GSE57338 (HF, microarray, β = 17, signed R² = 0.865).</w:t>
      </w:r>
    </w:p>
    <w:p>
      <w:pPr>
        <w:pStyle w:val="BodyText"/>
        <w:spacing w:line="360" w:lineRule="auto"/>
      </w:pPr>
      <w:r>
        <w:rPr>
          <w:rFonts w:ascii="Times New Roman" w:hAnsi="Times New Roman"/>
          <w:b/>
          <w:bCs/>
          <w:sz w:val="22"/>
        </w:rPr>
        <w:t xml:space="preserve">Extended Data Fig. 4 | Green module internal robustness and cross-disease coherence assessment.</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Intra-modular TOM distribution for the green module (227 genes, red) versus null expectation from 10,000 random gene sets of equal size (gray).</w:t>
      </w:r>
      <w:r>
        <w:rPr>
          <w:rFonts w:ascii="Times New Roman" w:hAnsi="Times New Roman"/>
          <w:sz w:val="22"/>
        </w:rPr>
        <w:t xml:space="preserve"> </w:t>
      </w:r>
      <w:r>
        <w:rPr>
          <w:rFonts w:ascii="Times New Roman" w:hAnsi="Times New Roman"/>
          <w:i/>
          <w:iCs/>
          <w:sz w:val="22"/>
        </w:rPr>
        <w:t xml:space="preserve">Z</w:t>
      </w:r>
      <w:r>
        <w:rPr>
          <w:rFonts w:ascii="Times New Roman" w:hAnsi="Times New Roman"/>
          <w:sz w:val="22"/>
        </w:rPr>
        <w:t xml:space="preserve"> </w:t>
      </w:r>
      <w:r>
        <w:rPr>
          <w:rFonts w:ascii="Times New Roman" w:hAnsi="Times New Roman"/>
          <w:sz w:val="22"/>
        </w:rPr>
        <w:t xml:space="preserve">= 62.8, permutation</w:t>
      </w:r>
      <w:r>
        <w:rPr>
          <w:rFonts w:ascii="Times New Roman" w:hAnsi="Times New Roman"/>
          <w:sz w:val="22"/>
        </w:rPr>
        <w:t xml:space="preserve"> </w:t>
      </w:r>
      <w:r>
        <w:rPr>
          <w:rFonts w:ascii="Times New Roman" w:hAnsi="Times New Roman"/>
          <w:i/>
          <w:iCs/>
          <w:sz w:val="22"/>
        </w:rPr>
        <w:t xml:space="preserve">P</w:t>
      </w:r>
      <w:r>
        <w:rPr>
          <w:rFonts w:ascii="Times New Roman" w:hAnsi="Times New Roman"/>
          <w:sz w:val="22"/>
        </w:rPr>
        <w:t xml:space="preserve"> </w:t>
      </w:r>
      <w:r>
        <w:rPr>
          <w:rFonts w:ascii="Times New Roman" w:hAnsi="Times New Roman"/>
          <w:sz w:val="22"/>
        </w:rPr>
        <w:t xml:space="preserve">&lt; 0.0001.</w:t>
      </w:r>
      <w:r>
        <w:rPr>
          <w:rFonts w:ascii="Times New Roman" w:hAnsi="Times New Roman"/>
          <w:sz w:val="22"/>
        </w:rPr>
        <w:t xml:space="preserve"> </w:t>
      </w: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Gene-level jackknife resampling (90% retention, 100 iterations) assessing connectivity stability (CV = 1.6%).</w:t>
      </w:r>
      <w:r>
        <w:rPr>
          <w:rFonts w:ascii="Times New Roman" w:hAnsi="Times New Roman"/>
          <w:sz w:val="22"/>
        </w:rPr>
        <w:t xml:space="preserve"> </w:t>
      </w:r>
      <w:r>
        <w:rPr>
          <w:rFonts w:ascii="Times New Roman" w:hAnsi="Times New Roman"/>
          <w:b/>
          <w:bCs/>
          <w:sz w:val="22"/>
        </w:rPr>
        <w:t xml:space="preserve">(c)</w:t>
      </w:r>
      <w:r>
        <w:rPr>
          <w:rFonts w:ascii="Times New Roman" w:hAnsi="Times New Roman"/>
          <w:sz w:val="22"/>
        </w:rPr>
        <w:t xml:space="preserve"> </w:t>
      </w:r>
      <w:r>
        <w:rPr>
          <w:rFonts w:ascii="Times New Roman" w:hAnsi="Times New Roman"/>
          <w:sz w:val="22"/>
        </w:rPr>
        <w:t xml:space="preserve">Cross-disease coherence: mean absolute pairwise Pearson correlation of green module genes in the independent GSE141198 expression matrix (red) versus 1,000 random gene sets (gray).</w:t>
      </w:r>
    </w:p>
    <w:bookmarkEnd w:id="50"/>
    <w:bookmarkStart w:id="51" w:name="supplementary-information"/>
    <w:p>
      <w:pPr>
        <w:pStyle w:val="Heading2"/>
        <w:spacing w:line="360" w:lineRule="auto"/>
      </w:pPr>
      <w:r>
        <w:rPr>
          <w:rFonts w:ascii="Times New Roman" w:hAnsi="Times New Roman"/>
          <w:b/>
          <w:sz w:val="22"/>
        </w:rPr>
        <w:t xml:space="preserve">Supplementary Information</w:t>
      </w:r>
    </w:p>
    <w:p>
      <w:pPr>
        <w:pStyle w:val="FirstParagraph"/>
        <w:spacing w:line="360" w:lineRule="auto"/>
      </w:pPr>
      <w:r>
        <w:rPr>
          <w:rFonts w:ascii="Times New Roman" w:hAnsi="Times New Roman"/>
          <w:sz w:val="22"/>
        </w:rPr>
        <w:t xml:space="preserve">Supplementary Information is available for this paper, including:</w:t>
      </w:r>
    </w:p>
    <w:p>
      <w:pPr>
        <w:pStyle w:val="BodyText"/>
        <w:spacing w:line="360" w:lineRule="auto"/>
      </w:pPr>
      <w:r>
        <w:rPr>
          <w:rFonts w:ascii="Times New Roman" w:hAnsi="Times New Roman"/>
          <w:b/>
          <w:bCs/>
          <w:sz w:val="22"/>
        </w:rPr>
        <w:t xml:space="preserve">Supplementary Table 1.</w:t>
      </w:r>
      <w:r>
        <w:rPr>
          <w:rFonts w:ascii="Times New Roman" w:hAnsi="Times New Roman"/>
          <w:sz w:val="22"/>
        </w:rPr>
        <w:t xml:space="preserve"> </w:t>
      </w:r>
      <w:r>
        <w:rPr>
          <w:rFonts w:ascii="Times New Roman" w:hAnsi="Times New Roman"/>
          <w:sz w:val="22"/>
        </w:rPr>
        <w:t xml:space="preserve">HF green module gene list (227 genes) with module membership and gene significance statistics.</w:t>
      </w:r>
    </w:p>
    <w:p>
      <w:pPr>
        <w:pStyle w:val="BodyText"/>
        <w:spacing w:line="360" w:lineRule="auto"/>
      </w:pPr>
      <w:r>
        <w:rPr>
          <w:rFonts w:ascii="Times New Roman" w:hAnsi="Times New Roman"/>
          <w:b/>
          <w:bCs/>
          <w:sz w:val="22"/>
        </w:rPr>
        <w:t xml:space="preserve">Supplementary Table 2.</w:t>
      </w:r>
      <w:r>
        <w:rPr>
          <w:rFonts w:ascii="Times New Roman" w:hAnsi="Times New Roman"/>
          <w:sz w:val="22"/>
        </w:rPr>
        <w:t xml:space="preserve"> </w:t>
      </w:r>
      <w:r>
        <w:rPr>
          <w:rFonts w:ascii="Times New Roman" w:hAnsi="Times New Roman"/>
          <w:sz w:val="22"/>
        </w:rPr>
        <w:t xml:space="preserve">Complete ssGSEA pathway effect sizes (Cohen’s</w:t>
      </w:r>
      <w:r>
        <w:rPr>
          <w:rFonts w:ascii="Times New Roman" w:hAnsi="Times New Roman"/>
          <w:sz w:val="22"/>
        </w:rPr>
        <w:t xml:space="preserve"> </w:t>
      </w:r>
      <w:r>
        <w:rPr>
          <w:rFonts w:ascii="Times New Roman" w:hAnsi="Times New Roman"/>
          <w:i/>
          <w:iCs/>
          <w:sz w:val="22"/>
        </w:rPr>
        <w:t xml:space="preserve">d</w:t>
      </w:r>
      <w:r>
        <w:rPr>
          <w:rFonts w:ascii="Times New Roman" w:hAnsi="Times New Roman"/>
          <w:sz w:val="22"/>
        </w:rPr>
        <w:t xml:space="preserve">) for all 81 pathways in HF and HCC.</w:t>
      </w:r>
    </w:p>
    <w:p>
      <w:pPr>
        <w:pStyle w:val="BodyText"/>
        <w:spacing w:line="360" w:lineRule="auto"/>
      </w:pPr>
      <w:r>
        <w:rPr>
          <w:rFonts w:ascii="Times New Roman" w:hAnsi="Times New Roman"/>
          <w:b/>
          <w:bCs/>
          <w:sz w:val="22"/>
        </w:rPr>
        <w:t xml:space="preserve">Supplementary Table 3.</w:t>
      </w:r>
      <w:r>
        <w:rPr>
          <w:rFonts w:ascii="Times New Roman" w:hAnsi="Times New Roman"/>
          <w:sz w:val="22"/>
        </w:rPr>
        <w:t xml:space="preserve"> </w:t>
      </w:r>
      <w:r>
        <w:rPr>
          <w:rFonts w:ascii="Times New Roman" w:hAnsi="Times New Roman"/>
          <w:sz w:val="22"/>
        </w:rPr>
        <w:t xml:space="preserve">Cross-disease log</w:t>
      </w:r>
      <w:r>
        <w:rPr>
          <w:rFonts w:ascii="Times New Roman" w:hAnsi="Times New Roman"/>
          <w:sz w:val="22"/>
        </w:rPr>
        <w:t xml:space="preserve">2</w:t>
      </w:r>
      <w:r>
        <w:rPr>
          <w:rFonts w:ascii="Times New Roman" w:hAnsi="Times New Roman"/>
          <w:sz w:val="22"/>
        </w:rPr>
        <w:t xml:space="preserve">FC and FDR for translation-related module genes.</w:t>
      </w:r>
    </w:p>
    <w:p>
      <w:pPr>
        <w:pStyle w:val="BodyText"/>
        <w:spacing w:line="360" w:lineRule="auto"/>
      </w:pPr>
      <w:r>
        <w:rPr>
          <w:rFonts w:ascii="Times New Roman" w:hAnsi="Times New Roman"/>
          <w:b/>
          <w:bCs/>
          <w:sz w:val="22"/>
        </w:rPr>
        <w:t xml:space="preserve">Supplementary Table 4.</w:t>
      </w:r>
      <w:r>
        <w:rPr>
          <w:rFonts w:ascii="Times New Roman" w:hAnsi="Times New Roman"/>
          <w:sz w:val="22"/>
        </w:rPr>
        <w:t xml:space="preserve"> </w:t>
      </w:r>
      <w:r>
        <w:rPr>
          <w:rFonts w:ascii="Times New Roman" w:hAnsi="Times New Roman"/>
          <w:sz w:val="22"/>
        </w:rPr>
        <w:t xml:space="preserve">Translation-related pathways showing mirror perturbation (HF↓ HCC↑) with binomial test statistics.</w:t>
      </w:r>
    </w:p>
    <w:p>
      <w:pPr>
        <w:pStyle w:val="BodyText"/>
        <w:spacing w:line="360" w:lineRule="auto"/>
      </w:pPr>
      <w:r>
        <w:rPr>
          <w:rFonts w:ascii="Times New Roman" w:hAnsi="Times New Roman"/>
          <w:b/>
          <w:bCs/>
          <w:sz w:val="22"/>
        </w:rPr>
        <w:t xml:space="preserve">Supplementary Table 5.</w:t>
      </w:r>
      <w:r>
        <w:rPr>
          <w:rFonts w:ascii="Times New Roman" w:hAnsi="Times New Roman"/>
          <w:sz w:val="22"/>
        </w:rPr>
        <w:t xml:space="preserve"> </w:t>
      </w:r>
      <w:r>
        <w:rPr>
          <w:rFonts w:ascii="Times New Roman" w:hAnsi="Times New Roman"/>
          <w:sz w:val="22"/>
        </w:rPr>
        <w:t xml:space="preserve">GO Biological Process enrichment results for the HF green module (clusterProfiler, BH-adjusted).</w:t>
      </w:r>
    </w:p>
    <w:p>
      <w:pPr>
        <w:pStyle w:val="BodyText"/>
        <w:spacing w:line="360" w:lineRule="auto"/>
      </w:pPr>
      <w:r>
        <w:rPr>
          <w:rFonts w:ascii="Times New Roman" w:hAnsi="Times New Roman"/>
          <w:b/>
          <w:bCs/>
          <w:sz w:val="22"/>
        </w:rPr>
        <w:t xml:space="preserve">Supplementary Table 6.</w:t>
      </w:r>
      <w:r>
        <w:rPr>
          <w:rFonts w:ascii="Times New Roman" w:hAnsi="Times New Roman"/>
          <w:sz w:val="22"/>
        </w:rPr>
        <w:t xml:space="preserve"> </w:t>
      </w:r>
      <w:r>
        <w:rPr>
          <w:rFonts w:ascii="Times New Roman" w:hAnsi="Times New Roman"/>
          <w:sz w:val="22"/>
        </w:rPr>
        <w:t xml:space="preserve">Complete TF–TATS Spearman correlation statistics for all 19 candidate transcription factors.</w:t>
      </w:r>
    </w:p>
    <w:p>
      <w:pPr>
        <w:pStyle w:val="BodyText"/>
        <w:spacing w:line="360" w:lineRule="auto"/>
      </w:pPr>
      <w:r>
        <w:rPr>
          <w:rFonts w:ascii="Times New Roman" w:hAnsi="Times New Roman"/>
          <w:b/>
          <w:bCs/>
          <w:sz w:val="22"/>
        </w:rPr>
        <w:t xml:space="preserve">Supplementary Table 7.</w:t>
      </w:r>
      <w:r>
        <w:rPr>
          <w:rFonts w:ascii="Times New Roman" w:hAnsi="Times New Roman"/>
          <w:sz w:val="22"/>
        </w:rPr>
        <w:t xml:space="preserve"> </w:t>
      </w:r>
      <w:r>
        <w:rPr>
          <w:rFonts w:ascii="Times New Roman" w:hAnsi="Times New Roman"/>
          <w:sz w:val="22"/>
        </w:rPr>
        <w:t xml:space="preserve">Gene overlap analysis between TATS gene set and Hallmark pathway gene sets, with de-overlap sensitivity analysis.</w:t>
      </w:r>
    </w:p>
    <w:bookmarkEnd w:id="51"/>
    <w:bookmarkEnd w:id="52"/>
    <w:sectPr>
      <w:footnotePr>
        <w:numRestart w:val="eachSect"/>
      </w:footnotePr>
      <w:pgSz w:w="11906" w:h="16838"/>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360" w:lineRule="auto"/>
    </w:pPr>
    <w:rPr>
      <w:rFonts w:ascii="Times New Roman" w:hAnsi="Times New Roman"/>
      <w:b w:val="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360" w:lineRule="auto"/>
      <w:outlineLvl w:val="0"/>
    </w:pPr>
    <w:rPr>
      <w:rFonts w:asciiTheme="majorHAnsi" w:cstheme="majorBidi" w:eastAsiaTheme="majorEastAsia" w:hAnsiTheme="majorHAnsi" w:ascii="Times New Roman" w:hAnsi="Times New Roman"/>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360" w:lineRule="auto"/>
      <w:outlineLvl w:val="1"/>
    </w:pPr>
    <w:rPr>
      <w:rFonts w:asciiTheme="majorHAnsi" w:cstheme="majorBidi" w:eastAsiaTheme="majorEastAsia" w:hAnsiTheme="majorHAnsi" w:ascii="Times New Roman" w:hAnsi="Times New Roman"/>
      <w:b/>
      <w:color w:themeColor="accent1" w:themeShade="BF" w:val="0F4761"/>
      <w:sz w:val="22"/>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360" w:lineRule="auto"/>
      <w:outlineLvl w:val="2"/>
    </w:pPr>
    <w:rPr>
      <w:rFonts w:cstheme="majorBidi" w:eastAsiaTheme="majorEastAsia" w:ascii="Times New Roman" w:hAnsi="Times New Roman"/>
      <w:b/>
      <w:color w:themeColor="accent1" w:themeShade="BF" w:val="0F476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1" Type="http://schemas.openxmlformats.org/officeDocument/2006/relationships/image" Target="media/rId21.png"/><Relationship Id="rId25" Type="http://schemas.openxmlformats.org/officeDocument/2006/relationships/image" Target="media/rId25.png"/><Relationship Id="rId17" Type="http://schemas.openxmlformats.org/officeDocument/2006/relationships/image" Target="media/rId17.png"/><Relationship Id="rId13" Type="http://schemas.openxmlformats.org/officeDocument/2006/relationships/image" Target="media/rId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2026-07-29T06:05:58Z</dcterms:created>
  <dcterms:modified xsi:type="dcterms:W3CDTF">2026-07-29T06:05:58Z</dcterms:modified>
</cp:coreProperties>
</file>

<file path=docProps/custom.xml><?xml version="1.0" encoding="utf-8"?>
<Properties xmlns="http://schemas.openxmlformats.org/officeDocument/2006/custom-properties" xmlns:vt="http://schemas.openxmlformats.org/officeDocument/2006/docPropsVTypes"/>
</file>