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upplementary-information"/>
    <w:p>
      <w:pPr>
        <w:pStyle w:val="Heading1"/>
        <w:spacing w:line="276" w:lineRule="auto"/>
      </w:pPr>
      <w:r>
        <w:rPr>
          <w:rFonts w:ascii="Times New Roman" w:hAnsi="Times New Roman" w:eastAsia="宋体"/>
          <w:b/>
          <w:sz w:val="32"/>
        </w:rPr>
        <w:t xml:space="preserve">Supplementary Information</w:t>
      </w:r>
    </w:p>
    <w:bookmarkStart w:id="9" w:name="X054daf64d21c2aba5ee67c76a36e7d218b2d9f0"/>
    <w:p>
      <w:pPr>
        <w:pStyle w:val="Heading2"/>
        <w:spacing w:line="276" w:lineRule="auto"/>
      </w:pPr>
      <w:r>
        <w:rPr>
          <w:rFonts w:ascii="Times New Roman" w:hAnsi="Times New Roman" w:eastAsia="宋体"/>
          <w:b/>
          <w:sz w:val="28"/>
        </w:rPr>
        <w:t xml:space="preserve">Distinct network organization accompanies mirror perturbation of translation-related transcriptional programs in heart failure and hepatocellular carcinoma</w:t>
      </w:r>
    </w:p>
    <w:p>
      <w:pPr>
        <w:pStyle w:val="FirstParagraph"/>
        <w:spacing w:line="276" w:lineRule="auto"/>
      </w:pPr>
      <w:r>
        <w:rPr>
          <w:rFonts w:ascii="Times New Roman" w:hAnsi="Times New Roman" w:eastAsia="宋体"/>
          <w:sz w:val="24"/>
        </w:rPr>
        <w:t xml:space="preserve">[Author 1], [Author 2], [Corresponding Author]</w:t>
      </w:r>
    </w:p>
    <w:p>
      <w:pPr>
        <w:spacing w:line="276" w:lineRule="auto"/>
      </w:pPr>
      <w:r>
        <w:rPr>
          <w:rFonts w:ascii="Times New Roman" w:hAnsi="Times New Roman" w:eastAsia="宋体"/>
          <w:sz w:val="24"/>
        </w:rPr>
        <w:pict>
          <v:rect style="width:0;height:1.5pt" o:hralign="center" o:hrstd="t" o:hr="t"/>
        </w:pict>
      </w:r>
    </w:p>
    <w:bookmarkEnd w:id="9"/>
    <w:bookmarkStart w:id="25" w:name="supplementary-figures"/>
    <w:p>
      <w:pPr>
        <w:pStyle w:val="Heading2"/>
        <w:spacing w:line="276" w:lineRule="auto"/>
      </w:pPr>
      <w:r>
        <w:rPr>
          <w:rFonts w:ascii="Times New Roman" w:hAnsi="Times New Roman" w:eastAsia="宋体"/>
          <w:b/>
          <w:sz w:val="28"/>
        </w:rPr>
        <w:t xml:space="preserve">Supplementary Figures</w:t>
      </w:r>
    </w:p>
    <w:p>
      <w:pPr>
        <w:pStyle w:val="CaptionedFigure"/>
        <w:spacing w:line="276" w:lineRule="auto"/>
      </w:pPr>
      <w:r>
        <w:rPr>
          <w:rFonts w:ascii="Times New Roman" w:hAnsi="Times New Roman" w:eastAsia="宋体"/>
          <w:sz w:val="24"/>
        </w:rPr>
        <w:drawing>
          <wp:inline>
            <wp:extent cx="5334000" cy="4667249"/>
            <wp:effectExtent b="0" l="0" r="0" t="0"/>
            <wp:docPr descr="Supplementary Figure S1" title="" id="11" name="Picture"/>
            <a:graphic>
              <a:graphicData uri="http://schemas.openxmlformats.org/drawingml/2006/picture">
                <pic:pic>
                  <pic:nvPicPr>
                    <pic:cNvPr descr="figures/Figure_S1_Direction_Consistency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276" w:lineRule="auto"/>
      </w:pPr>
      <w:r>
        <w:rPr>
          <w:rFonts w:ascii="Times New Roman" w:hAnsi="Times New Roman" w:eastAsia="宋体"/>
          <w:sz w:val="24"/>
        </w:rPr>
        <w:t xml:space="preserve">Supplementary Figure S1</w:t>
      </w:r>
    </w:p>
    <w:p>
      <w:pPr>
        <w:pStyle w:val="BodyText"/>
        <w:spacing w:line="276" w:lineRule="auto"/>
        <w:jc w:val="left"/>
      </w:pPr>
      <w:r>
        <w:rPr>
          <w:rFonts w:ascii="Times New Roman" w:hAnsi="Times New Roman" w:eastAsia="宋体"/>
          <w:b/>
          <w:bCs/>
          <w:sz w:val="20"/>
        </w:rPr>
        <w:t xml:space="preserve">Fig. S1. Green module hub gene identification.</w:t>
      </w:r>
      <w:r>
        <w:rPr>
          <w:rFonts w:ascii="Times New Roman" w:hAnsi="Times New Roman" w:eastAsia="宋体"/>
          <w:sz w:val="20"/>
        </w:rPr>
        <w:t xml:space="preserve"> </w:t>
      </w:r>
      <w:r>
        <w:rPr>
          <w:rFonts w:ascii="Times New Roman" w:hAnsi="Times New Roman" w:eastAsia="宋体"/>
          <w:sz w:val="20"/>
        </w:rPr>
        <w:t xml:space="preserve">Module Membership vs. Gene Significance scatter plot for 227 green module genes. Hub genes (|GS| &gt; 0.2 and |MM| &gt; 0.8) are highlighted in green; top 10 hub genes are labeled.</w:t>
      </w:r>
    </w:p>
    <w:p>
      <w:pPr>
        <w:spacing w:line="276" w:lineRule="auto"/>
      </w:pPr>
      <w:r>
        <w:rPr>
          <w:rFonts w:ascii="Times New Roman" w:hAnsi="Times New Roman" w:eastAsia="宋体"/>
          <w:sz w:val="24"/>
        </w:rPr>
        <w:pict>
          <v:rect style="width:0;height:1.5pt" o:hralign="center" o:hrstd="t" o:hr="t"/>
        </w:pict>
      </w:r>
    </w:p>
    <w:p>
      <w:pPr>
        <w:pStyle w:val="CaptionedFigure"/>
        <w:spacing w:line="276" w:lineRule="auto"/>
      </w:pPr>
      <w:r>
        <w:rPr>
          <w:rFonts w:ascii="Times New Roman" w:hAnsi="Times New Roman" w:eastAsia="宋体"/>
          <w:sz w:val="24"/>
        </w:rPr>
        <w:drawing>
          <wp:inline>
            <wp:extent cx="5334000" cy="1778000"/>
            <wp:effectExtent b="0" l="0" r="0" t="0"/>
            <wp:docPr descr="Supplementary Figure S2" title="" id="14" name="Picture"/>
            <a:graphic>
              <a:graphicData uri="http://schemas.openxmlformats.org/drawingml/2006/picture">
                <pic:pic>
                  <pic:nvPicPr>
                    <pic:cNvPr descr="figures/Figure_S2_TATS_Subgroup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276" w:lineRule="auto"/>
      </w:pPr>
      <w:r>
        <w:rPr>
          <w:rFonts w:ascii="Times New Roman" w:hAnsi="Times New Roman" w:eastAsia="宋体"/>
          <w:sz w:val="24"/>
        </w:rPr>
        <w:t xml:space="preserve">Supplementary Figure S2</w:t>
      </w:r>
    </w:p>
    <w:p>
      <w:pPr>
        <w:pStyle w:val="BodyText"/>
        <w:spacing w:line="276" w:lineRule="auto"/>
        <w:jc w:val="left"/>
      </w:pPr>
      <w:r>
        <w:rPr>
          <w:rFonts w:ascii="Times New Roman" w:hAnsi="Times New Roman" w:eastAsia="宋体"/>
          <w:b/>
          <w:bCs/>
          <w:sz w:val="20"/>
        </w:rPr>
        <w:t xml:space="preserve">Fig. S2. TATS exploratory survival analysis in GSE141198 by etiology subgroup.</w:t>
      </w:r>
      <w:r>
        <w:rPr>
          <w:rFonts w:ascii="Times New Roman" w:hAnsi="Times New Roman" w:eastAsia="宋体"/>
          <w:sz w:val="20"/>
        </w:rPr>
        <w:t xml:space="preserve"> </w:t>
      </w:r>
      <w:r>
        <w:rPr>
          <w:rFonts w:ascii="Times New Roman" w:hAnsi="Times New Roman" w:eastAsia="宋体"/>
          <w:sz w:val="20"/>
        </w:rPr>
        <w:t xml:space="preserve">Kaplan–Meier survival curves stratified by HBV, HCV, and NBNC etiology. TATS (median split) shows no significant prognostic value in any subgroup, consistent with the overall cohort analysis.</w:t>
      </w:r>
    </w:p>
    <w:p>
      <w:pPr>
        <w:spacing w:line="276" w:lineRule="auto"/>
      </w:pPr>
      <w:r>
        <w:rPr>
          <w:rFonts w:ascii="Times New Roman" w:hAnsi="Times New Roman" w:eastAsia="宋体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276" w:lineRule="auto"/>
      </w:pPr>
      <w:r>
        <w:rPr>
          <w:rFonts w:ascii="Times New Roman" w:hAnsi="Times New Roman" w:eastAsia="宋体"/>
          <w:sz w:val="24"/>
        </w:rPr>
        <w:drawing>
          <wp:inline>
            <wp:extent cx="5334000" cy="2667000"/>
            <wp:effectExtent b="0" l="0" r="0" t="0"/>
            <wp:docPr descr="Supplementary Figure S3A" title="" id="17" name="Picture"/>
            <a:graphic>
              <a:graphicData uri="http://schemas.openxmlformats.org/drawingml/2006/picture">
                <pic:pic>
                  <pic:nvPicPr>
                    <pic:cNvPr descr="figures/Figure_S4A_SoftThreshold_GSE141198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ascii="Times New Roman" w:hAnsi="Times New Roman" w:eastAsia="宋体"/>
          <w:sz w:val="24"/>
        </w:rPr>
        <w:drawing>
          <wp:inline>
            <wp:extent cx="5334000" cy="2667000"/>
            <wp:effectExtent b="0" l="0" r="0" t="0"/>
            <wp:docPr descr="Supplementary Figure S3B" title="" id="20" name="Picture"/>
            <a:graphic>
              <a:graphicData uri="http://schemas.openxmlformats.org/drawingml/2006/picture">
                <pic:pic>
                  <pic:nvPicPr>
                    <pic:cNvPr descr="figures/Figure_S4B_SoftThreshold_GSE57338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276" w:lineRule="auto"/>
        <w:jc w:val="left"/>
      </w:pPr>
      <w:r>
        <w:rPr>
          <w:rFonts w:ascii="Times New Roman" w:hAnsi="Times New Roman" w:eastAsia="宋体"/>
          <w:b/>
          <w:bCs/>
          <w:sz w:val="20"/>
        </w:rPr>
        <w:t xml:space="preserve">Fig. S3. Soft threshold selection for WGCNA.</w:t>
      </w:r>
      <w:r>
        <w:rPr>
          <w:rFonts w:ascii="Times New Roman" w:hAnsi="Times New Roman" w:eastAsia="宋体"/>
          <w:sz w:val="20"/>
        </w:rPr>
        <w:t xml:space="preserve"> </w:t>
      </w:r>
      <w:r>
        <w:rPr>
          <w:rFonts w:ascii="Times New Roman" w:hAnsi="Times New Roman" w:eastAsia="宋体"/>
          <w:sz w:val="20"/>
        </w:rPr>
        <w:t xml:space="preserve">Scale-free topology model fit (R², left panels) and mean connectivity (right panels) as a function of soft threshold power (β). (A) GSE141198 (HCC): β = 4, signed R² = 0.84. (B) GSE57338 (HF): β = 17, signed R² = 0.865. The R² ≈ 0.85 criterion (dashed red line) was used for threshold selection.</w:t>
      </w:r>
    </w:p>
    <w:p>
      <w:pPr>
        <w:spacing w:line="276" w:lineRule="auto"/>
      </w:pPr>
      <w:r>
        <w:rPr>
          <w:rFonts w:ascii="Times New Roman" w:hAnsi="Times New Roman" w:eastAsia="宋体"/>
          <w:sz w:val="24"/>
        </w:rPr>
        <w:pict>
          <v:rect style="width:0;height:1.5pt" o:hralign="center" o:hrstd="t" o:hr="t"/>
        </w:pict>
      </w:r>
    </w:p>
    <w:p>
      <w:pPr>
        <w:pStyle w:val="CaptionedFigure"/>
        <w:spacing w:line="276" w:lineRule="auto"/>
      </w:pPr>
      <w:r>
        <w:rPr>
          <w:rFonts w:ascii="Times New Roman" w:hAnsi="Times New Roman" w:eastAsia="宋体"/>
          <w:sz w:val="24"/>
        </w:rPr>
        <w:drawing>
          <wp:inline>
            <wp:extent cx="5334000" cy="2222500"/>
            <wp:effectExtent b="0" l="0" r="0" t="0"/>
            <wp:docPr descr="Supplementary Figure S4" title="" id="23" name="Picture"/>
            <a:graphic>
              <a:graphicData uri="http://schemas.openxmlformats.org/drawingml/2006/picture">
                <pic:pic>
                  <pic:nvPicPr>
                    <pic:cNvPr descr="figures/Figure_S7_Module_Robustnes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276" w:lineRule="auto"/>
      </w:pPr>
      <w:r>
        <w:rPr>
          <w:rFonts w:ascii="Times New Roman" w:hAnsi="Times New Roman" w:eastAsia="宋体"/>
          <w:sz w:val="24"/>
        </w:rPr>
        <w:t xml:space="preserve">Supplementary Figure S4</w:t>
      </w:r>
    </w:p>
    <w:p>
      <w:pPr>
        <w:pStyle w:val="BodyText"/>
        <w:spacing w:line="276" w:lineRule="auto"/>
        <w:jc w:val="left"/>
      </w:pPr>
      <w:r>
        <w:rPr>
          <w:rFonts w:ascii="Times New Roman" w:hAnsi="Times New Roman" w:eastAsia="宋体"/>
          <w:b/>
          <w:bCs/>
          <w:sz w:val="20"/>
        </w:rPr>
        <w:t xml:space="preserve">Fig. S4. Module internal robustness and cross-disease coherence assessment.</w:t>
      </w:r>
      <w:r>
        <w:rPr>
          <w:rFonts w:ascii="Times New Roman" w:hAnsi="Times New Roman" w:eastAsia="宋体"/>
          <w:sz w:val="20"/>
        </w:rPr>
        <w:t xml:space="preserve"> </w:t>
      </w:r>
      <w:r>
        <w:rPr>
          <w:rFonts w:ascii="Times New Roman" w:hAnsi="Times New Roman" w:eastAsia="宋体"/>
          <w:sz w:val="20"/>
        </w:rPr>
        <w:t xml:space="preserve">(A) Permutation histogram: mean intra-modular TOM for 10,000 random gene sets vs. green module (Z = 62.8, p &lt; 0.0001). (B) Intra-modular connectivity by module. (C) Cross-disease gene set coherence: mean absolute pairwise correlation of green module genes in HCC (GSE141198) vs. random gene sets (Z = 2.9, p = 0.008).</w:t>
      </w:r>
    </w:p>
    <w:p>
      <w:pPr>
        <w:spacing w:line="276" w:lineRule="auto"/>
      </w:pPr>
      <w:r>
        <w:rPr>
          <w:rFonts w:ascii="Times New Roman" w:hAnsi="Times New Roman" w:eastAsia="宋体"/>
          <w:sz w:val="24"/>
        </w:rPr>
        <w:pict>
          <v:rect style="width:0;height:1.5pt" o:hralign="center" o:hrstd="t" o:hr="t"/>
        </w:pict>
      </w:r>
    </w:p>
    <w:bookmarkEnd w:id="25"/>
    <w:bookmarkStart w:id="26" w:name="supplementary-tables"/>
    <w:p>
      <w:pPr>
        <w:pStyle w:val="Heading2"/>
        <w:spacing w:line="276" w:lineRule="auto"/>
      </w:pPr>
      <w:r>
        <w:rPr>
          <w:rFonts w:ascii="Times New Roman" w:hAnsi="Times New Roman" w:eastAsia="宋体"/>
          <w:b/>
          <w:sz w:val="28"/>
        </w:rPr>
        <w:t xml:space="preserve">Supplementary Tables</w:t>
      </w:r>
    </w:p>
    <w:p>
      <w:pPr>
        <w:pStyle w:val="FirstParagraph"/>
        <w:spacing w:line="276" w:lineRule="auto"/>
      </w:pPr>
      <w:r>
        <w:rPr>
          <w:rFonts w:ascii="Times New Roman" w:hAnsi="Times New Roman" w:eastAsia="宋体"/>
          <w:b/>
          <w:bCs/>
          <w:sz w:val="24"/>
        </w:rPr>
        <w:t xml:space="preserve">Table S1.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ascii="Times New Roman" w:hAnsi="Times New Roman" w:eastAsia="宋体"/>
          <w:sz w:val="24"/>
        </w:rPr>
        <w:t xml:space="preserve">HF green module gene list (227 genes) with Module Membership, Gene Significance, and hub gene annotation.</w:t>
      </w:r>
    </w:p>
    <w:p>
      <w:pPr>
        <w:pStyle w:val="BodyText"/>
        <w:spacing w:line="276" w:lineRule="auto"/>
      </w:pPr>
      <w:r>
        <w:rPr>
          <w:rFonts w:ascii="Times New Roman" w:hAnsi="Times New Roman" w:eastAsia="宋体"/>
          <w:b/>
          <w:bCs/>
          <w:sz w:val="24"/>
        </w:rPr>
        <w:t xml:space="preserve">Table S2.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ascii="Times New Roman" w:hAnsi="Times New Roman" w:eastAsia="宋体"/>
          <w:sz w:val="24"/>
        </w:rPr>
        <w:t xml:space="preserve">Complete ssGSEA pathway effect sizes (Cohen’s d) for 81 pathways across HCC (TCGA-LIHC) and HF (GSE57338), with cross-disease comparison. Includes mirror direction annotation (Yes/No: whether the pathway shows HCC↑/HF↓ pattern) and pathway source (Hallmark/KEGG/Reactome).</w:t>
      </w:r>
    </w:p>
    <w:p>
      <w:pPr>
        <w:pStyle w:val="BodyText"/>
        <w:spacing w:line="276" w:lineRule="auto"/>
      </w:pPr>
      <w:r>
        <w:rPr>
          <w:rFonts w:ascii="Times New Roman" w:hAnsi="Times New Roman" w:eastAsia="宋体"/>
          <w:b/>
          <w:bCs/>
          <w:sz w:val="24"/>
        </w:rPr>
        <w:t xml:space="preserve">Table S3.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ascii="Times New Roman" w:hAnsi="Times New Roman" w:eastAsia="宋体"/>
          <w:sz w:val="24"/>
        </w:rPr>
        <w:t xml:space="preserve">Cross-disease log2FC and FDR for translation-related module genes in HF (GSE57338) and HCC (TCGA-LIHC).</w:t>
      </w:r>
    </w:p>
    <w:p>
      <w:pPr>
        <w:pStyle w:val="BodyText"/>
        <w:spacing w:line="276" w:lineRule="auto"/>
      </w:pPr>
      <w:r>
        <w:rPr>
          <w:rFonts w:ascii="Times New Roman" w:hAnsi="Times New Roman" w:eastAsia="宋体"/>
          <w:b/>
          <w:bCs/>
          <w:sz w:val="24"/>
        </w:rPr>
        <w:t xml:space="preserve">Table S4.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ascii="Times New Roman" w:hAnsi="Times New Roman" w:eastAsia="宋体"/>
          <w:sz w:val="24"/>
        </w:rPr>
        <w:t xml:space="preserve">Translation-related pathways showing mirror perturbation (HCC↑/HF↓) with cross-disease Cohen’s d effect sizes. Includes pathway name, source database (Hallmark/KEGG/Reactome), HF and HCC effect sizes, and mirror direction annotation for all 33 translation-related pathways.</w:t>
      </w:r>
    </w:p>
    <w:p>
      <w:pPr>
        <w:pStyle w:val="BodyText"/>
        <w:spacing w:line="276" w:lineRule="auto"/>
      </w:pPr>
      <w:r>
        <w:rPr>
          <w:rFonts w:ascii="Times New Roman" w:hAnsi="Times New Roman" w:eastAsia="宋体"/>
          <w:b/>
          <w:bCs/>
          <w:sz w:val="24"/>
        </w:rPr>
        <w:t xml:space="preserve">Table S5.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ascii="Times New Roman" w:hAnsi="Times New Roman" w:eastAsia="宋体"/>
          <w:sz w:val="24"/>
        </w:rPr>
        <w:t xml:space="preserve">GO Biological Process enrichment with fold enrichment for the HF green module (227 genes). Includes GO ID, description, GeneRatio, BgRatio, fold enrichment, p-value, adjusted p-value, and translation-related annotation for 29 significantly enriched terms.</w:t>
      </w:r>
    </w:p>
    <w:p>
      <w:pPr>
        <w:pStyle w:val="BodyText"/>
        <w:spacing w:line="276" w:lineRule="auto"/>
      </w:pPr>
      <w:r>
        <w:rPr>
          <w:rFonts w:ascii="Times New Roman" w:hAnsi="Times New Roman" w:eastAsia="宋体"/>
          <w:b/>
          <w:bCs/>
          <w:sz w:val="24"/>
        </w:rPr>
        <w:t xml:space="preserve">Table S6.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ascii="Times New Roman" w:hAnsi="Times New Roman" w:eastAsia="宋体"/>
          <w:sz w:val="24"/>
        </w:rPr>
        <w:t xml:space="preserve">Complete TF–TATS Spearman correlation statistics for all 19 candidate transcription factors in GSE141198 (n = 148 tumors). Includes Spearman ρ, p-value, FDR (Benjamini–Hochberg correction), and significance annotation.</w:t>
      </w:r>
    </w:p>
    <w:p>
      <w:pPr>
        <w:pStyle w:val="BodyText"/>
        <w:spacing w:line="276" w:lineRule="auto"/>
      </w:pPr>
      <w:r>
        <w:rPr>
          <w:rFonts w:ascii="Times New Roman" w:hAnsi="Times New Roman" w:eastAsia="宋体"/>
          <w:b/>
          <w:bCs/>
          <w:sz w:val="24"/>
        </w:rPr>
        <w:t xml:space="preserve">Table S7.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ascii="Times New Roman" w:hAnsi="Times New Roman" w:eastAsia="宋体"/>
          <w:sz w:val="24"/>
        </w:rPr>
        <w:t xml:space="preserve">Gene overlap analysis between TATS constituent genes (227 green module genes) and Hallmark pathway gene sets (MYC Targets V1/V2, E2F Targets, MTORC1 Signaling, G2M Checkpoint, Unfolded Protein Response, and negative controls). Includes overlap count, percentage, Jaccard index, and hypergeometric test results. Also includes de-overlap sensitivity analysis results (TF–TATS correlations before and after removal of shared genes) and bootstrap 95% confidence intervals for key Spearman correlations.</w:t>
      </w:r>
    </w:p>
    <w:bookmarkEnd w:id="26"/>
    <w:bookmarkEnd w:id="27"/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76" w:lineRule="auto"/>
    </w:pPr>
    <w:rPr>
      <w:rFonts w:ascii="Times New Roman" w:hAnsi="Times New Roman" w:eastAsia="宋体"/>
      <w:b w:val="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before="0" w:after="120" w:line="276" w:lineRule="auto"/>
    </w:pPr>
    <w:rPr>
      <w:rFonts w:ascii="Times New Roman" w:hAnsi="Times New Roman" w:eastAsia="宋体"/>
      <w:b w:val="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0" w:line="276" w:lineRule="auto"/>
    </w:pPr>
    <w:rPr>
      <w:rFonts w:ascii="Times New Roman" w:hAnsi="Times New Roman" w:eastAsia="宋体"/>
      <w:b w:val="0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0" w:line="276" w:lineRule="auto"/>
      <w:outlineLvl w:val="0"/>
    </w:pPr>
    <w:rPr>
      <w:rFonts w:asciiTheme="majorHAnsi" w:cstheme="majorBidi" w:eastAsiaTheme="majorEastAsia" w:hAnsiTheme="majorHAnsi" w:ascii="Times New Roman" w:hAnsi="Times New Roman" w:eastAsia="宋体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0" w:line="276" w:lineRule="auto"/>
      <w:outlineLvl w:val="1"/>
    </w:pPr>
    <w:rPr>
      <w:rFonts w:asciiTheme="majorHAnsi" w:cstheme="majorBidi" w:eastAsiaTheme="majorEastAsia" w:hAnsiTheme="majorHAnsi" w:ascii="Times New Roman" w:hAnsi="Times New Roman" w:eastAsia="宋体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0" w:line="276" w:lineRule="auto"/>
      <w:outlineLvl w:val="2"/>
    </w:pPr>
    <w:rPr>
      <w:rFonts w:cstheme="majorBidi" w:eastAsiaTheme="majorEastAsia" w:ascii="Times New Roman" w:hAnsi="Times New Roman" w:eastAsia="宋体"/>
      <w:b/>
      <w:color w:themeColor="accent1" w:themeShade="BF" w:val="0F4761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3" Type="http://schemas.openxmlformats.org/officeDocument/2006/relationships/image" Target="media/rId13.png"/><Relationship Id="rId16" Type="http://schemas.openxmlformats.org/officeDocument/2006/relationships/image" Target="media/rId16.png"/><Relationship Id="rId19" Type="http://schemas.openxmlformats.org/officeDocument/2006/relationships/image" Target="media/rId19.png"/><Relationship Id="rId22" Type="http://schemas.openxmlformats.org/officeDocument/2006/relationships/image" Target="media/rId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2026-07-27T05:49:49Z</dcterms:created>
  <dcterms:modified xsi:type="dcterms:W3CDTF">2026-07-27T05:49:49Z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