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over-letter-hepatology-communications"/>
    <w:p>
      <w:pPr>
        <w:pStyle w:val="Heading1"/>
        <w:spacing w:line="276" w:lineRule="auto"/>
      </w:pPr>
      <w:r>
        <w:rPr>
          <w:rFonts w:ascii="Times New Roman" w:hAnsi="Times New Roman"/>
          <w:color w:val="000000"/>
        </w:rPr>
        <w:t xml:space="preserve">Cover Letter — Hepatology Communications</w:t>
      </w:r>
    </w:p>
    <w:p>
      <w:pPr>
        <w:pStyle w:val="FirstParagraph"/>
        <w:spacing w:line="276" w:lineRule="auto"/>
      </w:pPr>
      <w:r>
        <w:rPr>
          <w:rFonts w:ascii="Times New Roman" w:hAnsi="Times New Roman"/>
          <w:b/>
          <w:bCs/>
          <w:color w:val="000000"/>
        </w:rPr>
        <w:t xml:space="preserve">Date:</w:t>
      </w:r>
      <w:r>
        <w:rPr>
          <w:rFonts w:ascii="Times New Roman" w:hAnsi="Times New Roman"/>
          <w:color w:val="000000"/>
        </w:rPr>
        <w:t xml:space="preserve"> </w:t>
      </w:r>
      <w:r>
        <w:rPr>
          <w:rFonts w:ascii="Times New Roman" w:hAnsi="Times New Roman"/>
          <w:color w:val="000000"/>
        </w:rPr>
        <w:t xml:space="preserve">August 16, 2026</w:t>
      </w:r>
    </w:p>
    <w:p>
      <w:pPr>
        <w:pStyle w:val="BodyText"/>
        <w:spacing w:line="276" w:lineRule="auto"/>
      </w:pPr>
      <w:r>
        <w:rPr>
          <w:rFonts w:ascii="Times New Roman" w:hAnsi="Times New Roman"/>
          <w:b/>
          <w:bCs/>
          <w:color w:val="000000"/>
        </w:rPr>
        <w:t xml:space="preserve">To:</w:t>
      </w:r>
      <w:r>
        <w:rPr>
          <w:rFonts w:ascii="Times New Roman" w:hAnsi="Times New Roman"/>
          <w:color w:val="000000"/>
        </w:rPr>
        <w:t xml:space="preserve"> </w:t>
      </w:r>
      <w:r>
        <w:rPr>
          <w:rFonts w:ascii="Times New Roman" w:hAnsi="Times New Roman"/>
          <w:color w:val="000000"/>
        </w:rPr>
        <w:t xml:space="preserve">Editor-in-Chief, Hepatology Communications</w:t>
      </w:r>
    </w:p>
    <w:p>
      <w:pPr>
        <w:spacing w:line="276" w:lineRule="auto"/>
      </w:pPr>
      <w:r>
        <w:rPr>
          <w:rFonts w:ascii="Times New Roman" w:hAnsi="Times New Roman"/>
          <w:color w:val="000000"/>
        </w:rPr>
        <w:pict>
          <v:rect style="width:0;height:1.5pt" o:hralign="center" o:hrstd="t" o:hr="t"/>
        </w:pict>
      </w:r>
    </w:p>
    <w:p>
      <w:pPr>
        <w:pStyle w:val="FirstParagraph"/>
        <w:spacing w:line="276" w:lineRule="auto"/>
      </w:pPr>
      <w:r>
        <w:rPr>
          <w:rFonts w:ascii="Times New Roman" w:hAnsi="Times New Roman"/>
          <w:color w:val="000000"/>
        </w:rPr>
        <w:t xml:space="preserve">Dear Editor,</w:t>
      </w:r>
    </w:p>
    <w:p>
      <w:pPr>
        <w:pStyle w:val="BodyText"/>
        <w:spacing w:line="276" w:lineRule="auto"/>
      </w:pPr>
      <w:r>
        <w:rPr>
          <w:rFonts w:ascii="Times New Roman" w:hAnsi="Times New Roman"/>
          <w:color w:val="000000"/>
        </w:rPr>
        <w:t xml:space="preserve">We are pleased to submit our manuscript entitled</w:t>
      </w:r>
      <w:r>
        <w:rPr>
          <w:rFonts w:ascii="Times New Roman" w:hAnsi="Times New Roman"/>
          <w:color w:val="000000"/>
        </w:rPr>
        <w:t xml:space="preserve"> </w:t>
      </w:r>
      <w:r>
        <w:rPr>
          <w:rFonts w:ascii="Times New Roman" w:hAnsi="Times New Roman"/>
          <w:b/>
          <w:bCs/>
          <w:color w:val="000000"/>
        </w:rPr>
        <w:t xml:space="preserve">“Translation-related transcriptional programs in HCC: disease-context-dependent remodeling versus heart failure”</w:t>
      </w:r>
      <w:r>
        <w:rPr>
          <w:rFonts w:ascii="Times New Roman" w:hAnsi="Times New Roman"/>
          <w:color w:val="000000"/>
        </w:rPr>
        <w:t xml:space="preserve"> </w:t>
      </w:r>
      <w:r>
        <w:rPr>
          <w:rFonts w:ascii="Times New Roman" w:hAnsi="Times New Roman"/>
          <w:color w:val="000000"/>
        </w:rPr>
        <w:t xml:space="preserve">for consideration for publication in Hepatology Communications.</w:t>
      </w:r>
    </w:p>
    <w:bookmarkStart w:id="9" w:name="summary-of-the-study"/>
    <w:p>
      <w:pPr>
        <w:pStyle w:val="Heading2"/>
        <w:spacing w:line="276" w:lineRule="auto"/>
      </w:pPr>
      <w:r>
        <w:rPr>
          <w:rFonts w:ascii="Times New Roman" w:hAnsi="Times New Roman"/>
          <w:color w:val="000000"/>
        </w:rPr>
        <w:t xml:space="preserve">Summary of the Study</w:t>
      </w:r>
    </w:p>
    <w:p>
      <w:pPr>
        <w:pStyle w:val="FirstParagraph"/>
        <w:spacing w:line="276" w:lineRule="auto"/>
      </w:pPr>
      <w:r>
        <w:rPr>
          <w:rFonts w:ascii="Times New Roman" w:hAnsi="Times New Roman"/>
          <w:color w:val="000000"/>
        </w:rPr>
        <w:t xml:space="preserve">Hepatocellular carcinoma (HCC) requires sustained protein synthesis to support malignant proliferation, and translation — the most energetically expensive step of gene expression — is centrally dysregulated in this disease. Whether this activation reflects a transcriptional program shared across disease states or a context-dependent remodeling specific to HCC has remained unresolved. To answer this, we compared HCC against heart failure (HF), a disease of fundamentally opposing translational demand, using an integrative cross-disease transcriptomic framework applied to independent cohorts (HCC: GSE141198,</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148 and TCGA-LIHC,</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421; HF: GSE57338,</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313).</w:t>
      </w:r>
    </w:p>
    <w:p>
      <w:pPr>
        <w:pStyle w:val="BodyText"/>
        <w:spacing w:line="276" w:lineRule="auto"/>
      </w:pPr>
      <w:r>
        <w:rPr>
          <w:rFonts w:ascii="Times New Roman" w:hAnsi="Times New Roman"/>
          <w:color w:val="000000"/>
        </w:rPr>
        <w:t xml:space="preserve">We found three principal results:</w:t>
      </w:r>
    </w:p>
    <w:p>
      <w:pPr>
        <w:numPr>
          <w:ilvl w:val="0"/>
          <w:numId w:val="1001"/>
        </w:numPr>
        <w:spacing w:line="276" w:lineRule="auto"/>
      </w:pPr>
      <w:r>
        <w:rPr>
          <w:rFonts w:ascii="Times New Roman" w:hAnsi="Times New Roman"/>
          <w:b/>
          <w:bCs/>
          <w:color w:val="000000"/>
        </w:rPr>
        <w:t xml:space="preserve">Disease-specific network organization.</w:t>
      </w:r>
      <w:r>
        <w:rPr>
          <w:rFonts w:ascii="Times New Roman" w:hAnsi="Times New Roman"/>
          <w:color w:val="000000"/>
        </w:rPr>
        <w:t xml:space="preserve"> </w:t>
      </w:r>
      <w:r>
        <w:rPr>
          <w:rFonts w:ascii="Times New Roman" w:hAnsi="Times New Roman"/>
          <w:color w:val="000000"/>
        </w:rPr>
        <w:t xml:space="preserve">WGCNA identified translation-related co-expression modules in both diseases — the blue module in HCC (1,315 genes, enriched for cytoplasmic translation) and the green module in HF (227 genes, enriched for ribosome biogenesis) — but with limited gene-level overlap (62/227 genes; Fisher’s OR = 1.7,</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0.039), indicating disease-context-dependent network configurations rather than module conservation.</w:t>
      </w:r>
    </w:p>
    <w:p>
      <w:pPr>
        <w:numPr>
          <w:ilvl w:val="0"/>
          <w:numId w:val="1001"/>
        </w:numPr>
        <w:spacing w:line="276" w:lineRule="auto"/>
      </w:pPr>
      <w:r>
        <w:rPr>
          <w:rFonts w:ascii="Times New Roman" w:hAnsi="Times New Roman"/>
          <w:b/>
          <w:bCs/>
          <w:color w:val="000000"/>
        </w:rPr>
        <w:t xml:space="preserve">Mirror perturbation at the pathway level.</w:t>
      </w:r>
      <w:r>
        <w:rPr>
          <w:rFonts w:ascii="Times New Roman" w:hAnsi="Times New Roman"/>
          <w:color w:val="000000"/>
        </w:rPr>
        <w:t xml:space="preserve"> </w:t>
      </w:r>
      <w:r>
        <w:rPr>
          <w:rFonts w:ascii="Times New Roman" w:hAnsi="Times New Roman"/>
          <w:color w:val="000000"/>
        </w:rPr>
        <w:t xml:space="preserve">Cross-disease ssGSEA of 81 pathways revealed a strong negative correlation in translation-related pathway effect sizes (Spearman ρ = −0.598,</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0.0003; permutation</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0.0079). Twenty-four of 33 translation-related pathways were upregulated in HCC and downregulated in HF — a predominant mirror-direction pattern.</w:t>
      </w:r>
    </w:p>
    <w:p>
      <w:pPr>
        <w:numPr>
          <w:ilvl w:val="0"/>
          <w:numId w:val="1001"/>
        </w:numPr>
        <w:spacing w:line="276" w:lineRule="auto"/>
      </w:pPr>
      <w:r>
        <w:rPr>
          <w:rFonts w:ascii="Times New Roman" w:hAnsi="Times New Roman"/>
          <w:b/>
          <w:bCs/>
          <w:color w:val="000000"/>
        </w:rPr>
        <w:t xml:space="preserve">Disease-context dependence with candidate regulatory correlates.</w:t>
      </w:r>
      <w:r>
        <w:rPr>
          <w:rFonts w:ascii="Times New Roman" w:hAnsi="Times New Roman"/>
          <w:color w:val="000000"/>
        </w:rPr>
        <w:t xml:space="preserve"> </w:t>
      </w:r>
      <w:r>
        <w:rPr>
          <w:rFonts w:ascii="Times New Roman" w:hAnsi="Times New Roman"/>
          <w:color w:val="000000"/>
        </w:rPr>
        <w:t xml:space="preserve">The mirror perturbation was absent in same-organ disease controls (hypertrophic cardiomyopathy, ρ = −0.036; cirrhosis, ρ = +0.402), indicating disease-context rather than tissue-level baseline differences. Among regulatory correlates, MYC target pathway activity showed the strongest association with the translation-associated transcriptional score (TATS; ρ = +0.753,</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&lt; 0.0001), while ATF4, a central transcription factor of the integrated stress response (ISR), was the strongest individual transcription-factor correlate (ρ = +0.500, FDR &lt; 0.0001).</w:t>
      </w:r>
    </w:p>
    <w:p>
      <w:pPr>
        <w:pStyle w:val="FirstParagraph"/>
        <w:spacing w:line="276" w:lineRule="auto"/>
      </w:pPr>
      <w:r>
        <w:rPr>
          <w:rFonts w:ascii="Times New Roman" w:hAnsi="Times New Roman"/>
          <w:color w:val="000000"/>
        </w:rPr>
        <w:t xml:space="preserve">Collectively, these findings support a</w:t>
      </w:r>
      <w:r>
        <w:rPr>
          <w:rFonts w:ascii="Times New Roman" w:hAnsi="Times New Roman"/>
          <w:color w:val="000000"/>
        </w:rPr>
        <w:t xml:space="preserve"> </w:t>
      </w:r>
      <w:r>
        <w:rPr>
          <w:rFonts w:ascii="Times New Roman" w:hAnsi="Times New Roman"/>
          <w:b/>
          <w:bCs/>
          <w:color w:val="000000"/>
        </w:rPr>
        <w:t xml:space="preserve">disease-context-dependent remodeling</w:t>
      </w:r>
      <w:r>
        <w:rPr>
          <w:rFonts w:ascii="Times New Roman" w:hAnsi="Times New Roman"/>
          <w:color w:val="000000"/>
        </w:rPr>
        <w:t xml:space="preserve"> </w:t>
      </w:r>
      <w:r>
        <w:rPr>
          <w:rFonts w:ascii="Times New Roman" w:hAnsi="Times New Roman"/>
          <w:color w:val="000000"/>
        </w:rPr>
        <w:t xml:space="preserve">framework in HCC: translation-related transcriptional programs are organized through HCC-specific network architecture, converge on shared functional themes whose perturbation direction is shaped by disease context, and are associated with proliferative (MYC) and stress-responsive (ATF4/ISR) regulatory dimensions.</w:t>
      </w:r>
    </w:p>
    <w:bookmarkEnd w:id="9"/>
    <w:bookmarkStart w:id="10" w:name="fit-for-hepatology-communications"/>
    <w:p>
      <w:pPr>
        <w:pStyle w:val="Heading2"/>
        <w:spacing w:line="276" w:lineRule="auto"/>
      </w:pPr>
      <w:r>
        <w:rPr>
          <w:rFonts w:ascii="Times New Roman" w:hAnsi="Times New Roman"/>
          <w:color w:val="000000"/>
        </w:rPr>
        <w:t xml:space="preserve">Fit for Hepatology Communications</w:t>
      </w:r>
    </w:p>
    <w:p>
      <w:pPr>
        <w:pStyle w:val="FirstParagraph"/>
        <w:spacing w:line="276" w:lineRule="auto"/>
      </w:pPr>
      <w:r>
        <w:rPr>
          <w:rFonts w:ascii="Times New Roman" w:hAnsi="Times New Roman"/>
          <w:color w:val="000000"/>
        </w:rPr>
        <w:t xml:space="preserve">We believe this manuscript is well suited to Hepatology Communications for the following reasons:</w:t>
      </w:r>
    </w:p>
    <w:p>
      <w:pPr>
        <w:numPr>
          <w:ilvl w:val="0"/>
          <w:numId w:val="1002"/>
        </w:numPr>
        <w:spacing w:line="276" w:lineRule="auto"/>
      </w:pPr>
      <w:r>
        <w:rPr>
          <w:rFonts w:ascii="Times New Roman" w:hAnsi="Times New Roman"/>
          <w:b/>
          <w:bCs/>
          <w:color w:val="000000"/>
        </w:rPr>
        <w:t xml:space="preserve">Hepatology focus.</w:t>
      </w:r>
      <w:r>
        <w:rPr>
          <w:rFonts w:ascii="Times New Roman" w:hAnsi="Times New Roman"/>
          <w:color w:val="000000"/>
        </w:rPr>
        <w:t xml:space="preserve"> </w:t>
      </w:r>
      <w:r>
        <w:rPr>
          <w:rFonts w:ascii="Times New Roman" w:hAnsi="Times New Roman"/>
          <w:color w:val="000000"/>
        </w:rPr>
        <w:t xml:space="preserve">The study provides a systematic, quantitative characterization of translation-related transcriptional programs in HCC — a core topic in hepatocyte biology and hepatocarcinogenesis — using clinically relevant transcriptomic cohorts.</w:t>
      </w:r>
    </w:p>
    <w:p>
      <w:pPr>
        <w:numPr>
          <w:ilvl w:val="0"/>
          <w:numId w:val="1002"/>
        </w:numPr>
        <w:spacing w:line="276" w:lineRule="auto"/>
      </w:pPr>
      <w:r>
        <w:rPr>
          <w:rFonts w:ascii="Times New Roman" w:hAnsi="Times New Roman"/>
          <w:b/>
          <w:bCs/>
          <w:color w:val="000000"/>
        </w:rPr>
        <w:t xml:space="preserve">Integrative computational framework.</w:t>
      </w:r>
      <w:r>
        <w:rPr>
          <w:rFonts w:ascii="Times New Roman" w:hAnsi="Times New Roman"/>
          <w:color w:val="000000"/>
        </w:rPr>
        <w:t xml:space="preserve"> </w:t>
      </w:r>
      <w:r>
        <w:rPr>
          <w:rFonts w:ascii="Times New Roman" w:hAnsi="Times New Roman"/>
          <w:color w:val="000000"/>
        </w:rPr>
        <w:t xml:space="preserve">The study applies a rigorous, fully reproducible pipeline (WGCNA, ssGSEA, transcription-factor correlation analysis, permutation and de-overlap sensitivity testing) consistent with Hepatology Communications’ history of publishing genomics and bioinformatics studies in liver disease.</w:t>
      </w:r>
    </w:p>
    <w:p>
      <w:pPr>
        <w:numPr>
          <w:ilvl w:val="0"/>
          <w:numId w:val="1002"/>
        </w:numPr>
        <w:spacing w:line="276" w:lineRule="auto"/>
      </w:pPr>
      <w:r>
        <w:rPr>
          <w:rFonts w:ascii="Times New Roman" w:hAnsi="Times New Roman"/>
          <w:b/>
          <w:bCs/>
          <w:color w:val="000000"/>
        </w:rPr>
        <w:t xml:space="preserve">Conceptual advance.</w:t>
      </w:r>
      <w:r>
        <w:rPr>
          <w:rFonts w:ascii="Times New Roman" w:hAnsi="Times New Roman"/>
          <w:color w:val="000000"/>
        </w:rPr>
        <w:t xml:space="preserve"> </w:t>
      </w:r>
      <w:r>
        <w:rPr>
          <w:rFonts w:ascii="Times New Roman" w:hAnsi="Times New Roman"/>
          <w:color w:val="000000"/>
        </w:rPr>
        <w:t xml:space="preserve">By comparing HCC with a disease of opposing translational demand within a single analytical framework, we distinguish disease-specific network organization from shared functional themes — an approach that identifies regulatory logic invisible to single-disease analyses.</w:t>
      </w:r>
    </w:p>
    <w:p>
      <w:pPr>
        <w:numPr>
          <w:ilvl w:val="0"/>
          <w:numId w:val="1002"/>
        </w:numPr>
        <w:spacing w:line="276" w:lineRule="auto"/>
      </w:pPr>
      <w:r>
        <w:rPr>
          <w:rFonts w:ascii="Times New Roman" w:hAnsi="Times New Roman"/>
          <w:b/>
          <w:bCs/>
          <w:color w:val="000000"/>
        </w:rPr>
        <w:t xml:space="preserve">Translational relevance.</w:t>
      </w:r>
      <w:r>
        <w:rPr>
          <w:rFonts w:ascii="Times New Roman" w:hAnsi="Times New Roman"/>
          <w:color w:val="000000"/>
        </w:rPr>
        <w:t xml:space="preserve"> </w:t>
      </w:r>
      <w:r>
        <w:rPr>
          <w:rFonts w:ascii="Times New Roman" w:hAnsi="Times New Roman"/>
          <w:color w:val="000000"/>
        </w:rPr>
        <w:t xml:space="preserve">The identification of MYC and ATF4/ISR as candidate regulatory dimensions converging on the translational apparatus nominates translation-related programs as potential targetable vulnerabilities in HCC, complementing existing molecular-targeted and immunotherapeutic frameworks.</w:t>
      </w:r>
    </w:p>
    <w:bookmarkEnd w:id="10"/>
    <w:bookmarkStart w:id="11" w:name="artificial-intelligence-disclosure"/>
    <w:p>
      <w:pPr>
        <w:pStyle w:val="Heading2"/>
        <w:spacing w:line="276" w:lineRule="auto"/>
      </w:pPr>
      <w:r>
        <w:rPr>
          <w:rFonts w:ascii="Times New Roman" w:hAnsi="Times New Roman"/>
          <w:color w:val="000000"/>
        </w:rPr>
        <w:t xml:space="preserve">Artificial Intelligence Disclosure</w:t>
      </w:r>
    </w:p>
    <w:p>
      <w:pPr>
        <w:pStyle w:val="FirstParagraph"/>
        <w:spacing w:line="276" w:lineRule="auto"/>
      </w:pPr>
      <w:r>
        <w:rPr>
          <w:rFonts w:ascii="Times New Roman" w:hAnsi="Times New Roman"/>
          <w:color w:val="000000"/>
        </w:rPr>
        <w:t xml:space="preserve">During the preparation of this work, the authors used GPT-4 (OpenAI) for English language editing and refinement of the manuscript text. After using this tool, the authors reviewed and edited the content as needed and take full responsibility for the content of the publication. Consistent with the journal’s policy, this use is also disclosed in the manuscript (Methods,</w:t>
      </w:r>
      <w:r>
        <w:rPr>
          <w:rFonts w:ascii="Times New Roman" w:hAnsi="Times New Roman"/>
          <w:color w:val="000000"/>
        </w:rPr>
        <w:t xml:space="preserve"> </w:t>
      </w:r>
      <w:r>
        <w:rPr>
          <w:rFonts w:ascii="Times New Roman" w:hAnsi="Times New Roman"/>
          <w:color w:val="000000"/>
        </w:rPr>
        <w:t xml:space="preserve">“Large language model usage”</w:t>
      </w:r>
      <w:r>
        <w:rPr>
          <w:rFonts w:ascii="Times New Roman" w:hAnsi="Times New Roman"/>
          <w:color w:val="000000"/>
        </w:rPr>
        <w:t xml:space="preserve">).</w:t>
      </w:r>
    </w:p>
    <w:bookmarkEnd w:id="11"/>
    <w:bookmarkStart w:id="12" w:name="declarations"/>
    <w:p>
      <w:pPr>
        <w:pStyle w:val="Heading2"/>
        <w:spacing w:line="276" w:lineRule="auto"/>
      </w:pPr>
      <w:r>
        <w:rPr>
          <w:rFonts w:ascii="Times New Roman" w:hAnsi="Times New Roman"/>
          <w:color w:val="000000"/>
        </w:rPr>
        <w:t xml:space="preserve">Declarations</w:t>
      </w:r>
    </w:p>
    <w:p>
      <w:pPr>
        <w:pStyle w:val="Compact"/>
        <w:numPr>
          <w:ilvl w:val="0"/>
          <w:numId w:val="1003"/>
        </w:numPr>
        <w:spacing w:line="276" w:lineRule="auto"/>
      </w:pPr>
      <w:r>
        <w:rPr>
          <w:rFonts w:ascii="Times New Roman" w:hAnsi="Times New Roman"/>
          <w:color w:val="000000"/>
        </w:rPr>
        <w:t xml:space="preserve">This manuscript has not been published previously and is not under consideration elsewhere.</w:t>
      </w:r>
    </w:p>
    <w:p>
      <w:pPr>
        <w:pStyle w:val="Compact"/>
        <w:numPr>
          <w:ilvl w:val="0"/>
          <w:numId w:val="1003"/>
        </w:numPr>
        <w:spacing w:line="276" w:lineRule="auto"/>
      </w:pPr>
      <w:r>
        <w:rPr>
          <w:rFonts w:ascii="Times New Roman" w:hAnsi="Times New Roman"/>
          <w:color w:val="000000"/>
        </w:rPr>
        <w:t xml:space="preserve">All authors have approved the manuscript and agree with its submission to Hepatology Communications.</w:t>
      </w:r>
    </w:p>
    <w:p>
      <w:pPr>
        <w:pStyle w:val="Compact"/>
        <w:numPr>
          <w:ilvl w:val="0"/>
          <w:numId w:val="1003"/>
        </w:numPr>
        <w:spacing w:line="276" w:lineRule="auto"/>
      </w:pPr>
      <w:r>
        <w:rPr>
          <w:rFonts w:ascii="Times New Roman" w:hAnsi="Times New Roman"/>
          <w:color w:val="000000"/>
        </w:rPr>
        <w:t xml:space="preserve">The authors declare no competing interests.</w:t>
      </w:r>
    </w:p>
    <w:p>
      <w:pPr>
        <w:pStyle w:val="Compact"/>
        <w:numPr>
          <w:ilvl w:val="0"/>
          <w:numId w:val="1003"/>
        </w:numPr>
        <w:spacing w:line="276" w:lineRule="auto"/>
      </w:pPr>
      <w:r>
        <w:rPr>
          <w:rFonts w:ascii="Times New Roman" w:hAnsi="Times New Roman"/>
          <w:color w:val="000000"/>
        </w:rPr>
        <w:t xml:space="preserve">All datasets used are publicly available: GSE57338, GSE141198, GSE14520, GSE76427, GSE116250, GSE141910, and GSE89377 from GEO (https://www.ncbi.nlm.nih.gov/geo/); TCGA-LIHC from the GDC Data Portal (https://portal.gdc.cancer.gov/).</w:t>
      </w:r>
    </w:p>
    <w:p>
      <w:pPr>
        <w:pStyle w:val="Compact"/>
        <w:numPr>
          <w:ilvl w:val="0"/>
          <w:numId w:val="1003"/>
        </w:numPr>
        <w:spacing w:line="276" w:lineRule="auto"/>
      </w:pPr>
      <w:r>
        <w:rPr>
          <w:rFonts w:ascii="Times New Roman" w:hAnsi="Times New Roman"/>
          <w:color w:val="000000"/>
        </w:rPr>
        <w:t xml:space="preserve">Analysis code is publicly available at https://github.com/zxy048/translation-mirror-hf-hcc.</w:t>
      </w:r>
    </w:p>
    <w:bookmarkEnd w:id="12"/>
    <w:bookmarkStart w:id="13" w:name="author-information"/>
    <w:p>
      <w:pPr>
        <w:pStyle w:val="Heading2"/>
        <w:spacing w:line="276" w:lineRule="auto"/>
      </w:pPr>
      <w:r>
        <w:rPr>
          <w:rFonts w:ascii="Times New Roman" w:hAnsi="Times New Roman"/>
          <w:color w:val="000000"/>
        </w:rPr>
        <w:t xml:space="preserve">Author Information</w:t>
      </w:r>
    </w:p>
    <w:p>
      <w:pPr>
        <w:pStyle w:val="FirstParagraph"/>
        <w:spacing w:line="276" w:lineRule="auto"/>
      </w:pPr>
      <w:r>
        <w:rPr>
          <w:rFonts w:ascii="Times New Roman" w:hAnsi="Times New Roman"/>
          <w:color w:val="000000"/>
        </w:rPr>
        <w:t xml:space="preserve">Yuhe Hong</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(ORCID: 0009-0008-5028-0035; yuhe994@163.com), Yili Liu</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(yili20000612@163.com), Xianqi Li</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(l2840655442@163.com), Xin Wu</w:t>
      </w:r>
      <w:r>
        <w:rPr>
          <w:rFonts w:ascii="Times New Roman" w:hAnsi="Times New Roman"/>
          <w:color w:val="000000"/>
          <w:vertAlign w:val="superscript"/>
        </w:rPr>
        <w:t xml:space="preserve">2#</w:t>
      </w:r>
      <w:r>
        <w:rPr>
          <w:rFonts w:ascii="Times New Roman" w:hAnsi="Times New Roman"/>
          <w:color w:val="000000"/>
        </w:rPr>
        <w:t xml:space="preserve"> </w:t>
      </w:r>
      <w:r>
        <w:rPr>
          <w:rFonts w:ascii="Times New Roman" w:hAnsi="Times New Roman"/>
          <w:color w:val="000000"/>
        </w:rPr>
        <w:t xml:space="preserve">(wuxin0220@aliyun.com), Junhong Wang</w:t>
      </w:r>
      <w:r>
        <w:rPr>
          <w:rFonts w:ascii="Times New Roman" w:hAnsi="Times New Roman"/>
          <w:color w:val="000000"/>
          <w:vertAlign w:val="superscript"/>
        </w:rPr>
        <w:t xml:space="preserve">1,3*</w:t>
      </w:r>
      <w:r>
        <w:rPr>
          <w:rFonts w:ascii="Times New Roman" w:hAnsi="Times New Roman"/>
          <w:color w:val="000000"/>
        </w:rPr>
        <w:t xml:space="preserve"> </w:t>
      </w:r>
      <w:r>
        <w:rPr>
          <w:rFonts w:ascii="Times New Roman" w:hAnsi="Times New Roman"/>
          <w:color w:val="000000"/>
        </w:rPr>
        <w:t xml:space="preserve">(ORCID: 0000-0003-2314-1810)</w:t>
      </w:r>
    </w:p>
    <w:p>
      <w:pPr>
        <w:pStyle w:val="BodyText"/>
        <w:spacing w:line="276" w:lineRule="auto"/>
      </w:pP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Department of Cardiology, The First Affiliated Hospital of Nanjing Medical University, Nanjing, China</w:t>
      </w:r>
    </w:p>
    <w:p>
      <w:pPr>
        <w:pStyle w:val="BodyText"/>
        <w:spacing w:line="276" w:lineRule="auto"/>
      </w:pPr>
      <w:r>
        <w:rPr>
          <w:rFonts w:ascii="Times New Roman" w:hAnsi="Times New Roman"/>
          <w:color w:val="000000"/>
          <w:vertAlign w:val="superscript"/>
        </w:rPr>
        <w:t xml:space="preserve">2</w:t>
      </w:r>
      <w:r>
        <w:rPr>
          <w:rFonts w:ascii="Times New Roman" w:hAnsi="Times New Roman"/>
          <w:color w:val="000000"/>
        </w:rPr>
        <w:t xml:space="preserve"> </w:t>
      </w:r>
      <w:r>
        <w:rPr>
          <w:rFonts w:ascii="Times New Roman" w:hAnsi="Times New Roman"/>
          <w:color w:val="000000"/>
        </w:rPr>
        <w:t xml:space="preserve">Department of Reproduction Medicine, The First Affiliated Hospital of Nanjing Medical University, Nanjing, China</w:t>
      </w:r>
    </w:p>
    <w:p>
      <w:pPr>
        <w:pStyle w:val="BodyText"/>
        <w:spacing w:line="276" w:lineRule="auto"/>
      </w:pPr>
      <w:r>
        <w:rPr>
          <w:rFonts w:ascii="Times New Roman" w:hAnsi="Times New Roman"/>
          <w:color w:val="000000"/>
          <w:vertAlign w:val="superscript"/>
        </w:rPr>
        <w:t xml:space="preserve">3</w:t>
      </w:r>
      <w:r>
        <w:rPr>
          <w:rFonts w:ascii="Times New Roman" w:hAnsi="Times New Roman"/>
          <w:color w:val="000000"/>
        </w:rPr>
        <w:t xml:space="preserve"> </w:t>
      </w:r>
      <w:r>
        <w:rPr>
          <w:rFonts w:ascii="Times New Roman" w:hAnsi="Times New Roman"/>
          <w:color w:val="000000"/>
        </w:rPr>
        <w:t xml:space="preserve">Department of Cardiology, Liyang People’s Hospital, Liyang, China</w:t>
      </w:r>
    </w:p>
    <w:p>
      <w:pPr>
        <w:pStyle w:val="BodyText"/>
        <w:spacing w:line="276" w:lineRule="auto"/>
      </w:pPr>
      <w:r>
        <w:rPr>
          <w:rFonts w:ascii="Times New Roman" w:hAnsi="Times New Roman"/>
          <w:color w:val="000000"/>
          <w:vertAlign w:val="superscript"/>
        </w:rPr>
        <w:t xml:space="preserve">*</w:t>
      </w:r>
      <w:r>
        <w:rPr>
          <w:rFonts w:ascii="Times New Roman" w:hAnsi="Times New Roman"/>
          <w:color w:val="000000"/>
        </w:rPr>
        <w:t xml:space="preserve"> </w:t>
      </w:r>
      <w:r>
        <w:rPr>
          <w:rFonts w:ascii="Times New Roman" w:hAnsi="Times New Roman"/>
          <w:color w:val="000000"/>
        </w:rPr>
        <w:t xml:space="preserve">Lead corresponding author. E-mail: wangjunhong@jsph.org.cn</w:t>
      </w:r>
    </w:p>
    <w:p>
      <w:pPr>
        <w:pStyle w:val="BodyText"/>
        <w:spacing w:line="276" w:lineRule="auto"/>
      </w:pPr>
      <w:r>
        <w:rPr>
          <w:rFonts w:ascii="Times New Roman" w:hAnsi="Times New Roman"/>
          <w:color w:val="000000"/>
          <w:vertAlign w:val="superscript"/>
        </w:rPr>
        <w:t xml:space="preserve">#</w:t>
      </w:r>
      <w:r>
        <w:rPr>
          <w:rFonts w:ascii="Times New Roman" w:hAnsi="Times New Roman"/>
          <w:color w:val="000000"/>
        </w:rPr>
        <w:t xml:space="preserve"> </w:t>
      </w:r>
      <w:r>
        <w:rPr>
          <w:rFonts w:ascii="Times New Roman" w:hAnsi="Times New Roman"/>
          <w:color w:val="000000"/>
        </w:rPr>
        <w:t xml:space="preserve">Co-corresponding author. E-mail: wuxin0220@aliyun.com</w:t>
      </w:r>
    </w:p>
    <w:p>
      <w:pPr>
        <w:pStyle w:val="BodyText"/>
        <w:spacing w:line="276" w:lineRule="auto"/>
      </w:pPr>
      <w:r>
        <w:rPr>
          <w:rFonts w:ascii="Times New Roman" w:hAnsi="Times New Roman"/>
          <w:b/>
          <w:bCs/>
          <w:color w:val="000000"/>
        </w:rPr>
        <w:t xml:space="preserve">Note on corresponding author:</w:t>
      </w:r>
      <w:r>
        <w:rPr>
          <w:rFonts w:ascii="Times New Roman" w:hAnsi="Times New Roman"/>
          <w:color w:val="000000"/>
        </w:rPr>
        <w:t xml:space="preserve"> </w:t>
      </w:r>
      <w:r>
        <w:rPr>
          <w:rFonts w:ascii="Times New Roman" w:hAnsi="Times New Roman"/>
          <w:color w:val="000000"/>
        </w:rPr>
        <w:t xml:space="preserve">Junhong Wang is the lead corresponding author and Xin Wu is the co-corresponding author, as indicated in the manuscript and this cover letter by the asterisk (*) and hash (#) markers. For operational convenience during the submission process, Yuhe Hong (first author) is listed as the corresponding author in the submission system. The manuscript and this cover letter serve as the authoritative record for authorship and correspondence.</w:t>
      </w:r>
    </w:p>
    <w:p>
      <w:pPr>
        <w:spacing w:line="276" w:lineRule="auto"/>
      </w:pPr>
      <w:r>
        <w:rPr>
          <w:rFonts w:ascii="Times New Roman" w:hAnsi="Times New Roman"/>
          <w:color w:val="000000"/>
        </w:rPr>
        <w:pict>
          <v:rect style="width:0;height:1.5pt" o:hralign="center" o:hrstd="t" o:hr="t"/>
        </w:pict>
      </w:r>
    </w:p>
    <w:p>
      <w:pPr>
        <w:pStyle w:val="FirstParagraph"/>
        <w:spacing w:line="276" w:lineRule="auto"/>
      </w:pPr>
      <w:r>
        <w:rPr>
          <w:rFonts w:ascii="Times New Roman" w:hAnsi="Times New Roman"/>
          <w:color w:val="000000"/>
        </w:rPr>
        <w:t xml:space="preserve">Thank you for considering our manuscript. We look forward to your response.</w:t>
      </w:r>
    </w:p>
    <w:p>
      <w:pPr>
        <w:pStyle w:val="BodyText"/>
        <w:spacing w:line="276" w:lineRule="auto"/>
      </w:pPr>
      <w:r>
        <w:rPr>
          <w:rFonts w:ascii="Times New Roman" w:hAnsi="Times New Roman"/>
          <w:color w:val="000000"/>
        </w:rPr>
        <w:t xml:space="preserve">Sincerely,</w:t>
      </w:r>
    </w:p>
    <w:p>
      <w:pPr>
        <w:pStyle w:val="BodyText"/>
        <w:spacing w:line="276" w:lineRule="auto"/>
      </w:pPr>
      <w:r>
        <w:rPr>
          <w:rFonts w:ascii="Times New Roman" w:hAnsi="Times New Roman"/>
          <w:color w:val="000000"/>
        </w:rPr>
        <w:t xml:space="preserve">Junhong Wang</w:t>
      </w:r>
      <w:r>
        <w:rPr>
          <w:rFonts w:ascii="Times New Roman" w:hAnsi="Times New Roman"/>
          <w:color w:val="000000"/>
        </w:rPr>
        <w:t xml:space="preserve"> </w:t>
      </w:r>
      <w:r>
        <w:rPr>
          <w:rFonts w:ascii="Times New Roman" w:hAnsi="Times New Roman"/>
          <w:color w:val="000000"/>
        </w:rPr>
        <w:t xml:space="preserve">Department of Cardiology, The First Affiliated Hospital of Nanjing Medical University</w:t>
      </w:r>
      <w:r>
        <w:rPr>
          <w:rFonts w:ascii="Times New Roman" w:hAnsi="Times New Roman"/>
          <w:color w:val="000000"/>
        </w:rPr>
        <w:t xml:space="preserve"> </w:t>
      </w:r>
      <w:r>
        <w:rPr>
          <w:rFonts w:ascii="Times New Roman" w:hAnsi="Times New Roman"/>
          <w:color w:val="000000"/>
        </w:rPr>
        <w:t xml:space="preserve">Nanjing, China</w:t>
      </w:r>
      <w:r>
        <w:rPr>
          <w:rFonts w:ascii="Times New Roman" w:hAnsi="Times New Roman"/>
          <w:color w:val="000000"/>
        </w:rPr>
        <w:t xml:space="preserve"> </w:t>
      </w:r>
      <w:r>
        <w:rPr>
          <w:rFonts w:ascii="Times New Roman" w:hAnsi="Times New Roman"/>
          <w:color w:val="000000"/>
        </w:rPr>
        <w:t xml:space="preserve">E-mail: wangjunhong@jsph.org.cn</w:t>
      </w:r>
    </w:p>
    <w:p>
      <w:pPr>
        <w:pStyle w:val="BodyText"/>
        <w:spacing w:line="276" w:lineRule="auto"/>
      </w:pPr>
      <w:r>
        <w:rPr>
          <w:rFonts w:ascii="Times New Roman" w:hAnsi="Times New Roman"/>
          <w:color w:val="000000"/>
        </w:rPr>
        <w:t xml:space="preserve">On behalf of all authors.</w:t>
      </w:r>
    </w:p>
    <w:bookmarkEnd w:id="13"/>
    <w:bookmarkEnd w:id="14"/>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2026-08-16T08:43:09Z</dcterms:created>
  <dcterms:modified xsi:type="dcterms:W3CDTF">2026-08-16T08:43:09Z</dcterms:modified>
</cp:coreProperties>
</file>

<file path=docProps/custom.xml><?xml version="1.0" encoding="utf-8"?>
<Properties xmlns="http://schemas.openxmlformats.org/officeDocument/2006/custom-properties" xmlns:vt="http://schemas.openxmlformats.org/officeDocument/2006/docPropsVTypes"/>
</file>