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019dfd3b926bdeba78823231530c439a2c52b22"/>
    <w:p>
      <w:pPr>
        <w:pStyle w:val="Heading1"/>
        <w:spacing w:line="480" w:lineRule="auto"/>
      </w:pPr>
      <w:r>
        <w:rPr>
          <w:rFonts w:ascii="Times New Roman" w:hAnsi="Times New Roman"/>
          <w:b/>
          <w:color w:val="000000"/>
          <w:sz w:val="28"/>
        </w:rPr>
        <w:t xml:space="preserve">Translation-related transcriptional programs in HCC: disease-context-dependent remodeling versus heart failure</w:t>
      </w:r>
    </w:p>
    <w:p>
      <w:pPr>
        <w:pStyle w:val="FirstParagraph"/>
        <w:spacing w:line="480" w:lineRule="auto"/>
      </w:pPr>
      <w:r>
        <w:rPr>
          <w:rFonts w:ascii="Times New Roman" w:hAnsi="Times New Roman"/>
          <w:b w:val="0"/>
          <w:color w:val="000000"/>
          <w:sz w:val="24"/>
        </w:rPr>
        <w:t xml:space="preserve">Yuhe Hong</w:t>
      </w:r>
      <w:r>
        <w:rPr>
          <w:rFonts w:ascii="Times New Roman" w:hAnsi="Times New Roman"/>
          <w:b w:val="0"/>
          <w:color w:val="000000"/>
          <w:sz w:val="24"/>
          <w:vertAlign w:val="superscript"/>
        </w:rPr>
        <w:t xml:space="preserve">a</w:t>
      </w:r>
      <w:r>
        <w:rPr>
          <w:rFonts w:ascii="Times New Roman" w:hAnsi="Times New Roman"/>
          <w:b w:val="0"/>
          <w:color w:val="000000"/>
          <w:sz w:val="24"/>
        </w:rPr>
        <w:t xml:space="preserve">, Yili Liu</w:t>
      </w:r>
      <w:r>
        <w:rPr>
          <w:rFonts w:ascii="Times New Roman" w:hAnsi="Times New Roman"/>
          <w:b w:val="0"/>
          <w:color w:val="000000"/>
          <w:sz w:val="24"/>
          <w:vertAlign w:val="superscript"/>
        </w:rPr>
        <w:t xml:space="preserve">a</w:t>
      </w:r>
      <w:r>
        <w:rPr>
          <w:rFonts w:ascii="Times New Roman" w:hAnsi="Times New Roman"/>
          <w:b w:val="0"/>
          <w:color w:val="000000"/>
          <w:sz w:val="24"/>
        </w:rPr>
        <w:t xml:space="preserve">, Xianqi Li</w:t>
      </w:r>
      <w:r>
        <w:rPr>
          <w:rFonts w:ascii="Times New Roman" w:hAnsi="Times New Roman"/>
          <w:b w:val="0"/>
          <w:color w:val="000000"/>
          <w:sz w:val="24"/>
          <w:vertAlign w:val="superscript"/>
        </w:rPr>
        <w:t xml:space="preserve">a</w:t>
      </w:r>
      <w:r>
        <w:rPr>
          <w:rFonts w:ascii="Times New Roman" w:hAnsi="Times New Roman"/>
          <w:b w:val="0"/>
          <w:color w:val="000000"/>
          <w:sz w:val="24"/>
        </w:rPr>
        <w:t xml:space="preserve">, Xin Wu</w:t>
      </w:r>
      <w:r>
        <w:rPr>
          <w:rFonts w:ascii="Times New Roman" w:hAnsi="Times New Roman"/>
          <w:b w:val="0"/>
          <w:color w:val="000000"/>
          <w:sz w:val="24"/>
          <w:vertAlign w:val="superscript"/>
        </w:rPr>
        <w:t xml:space="preserve">b#</w:t>
      </w:r>
      <w:r>
        <w:rPr>
          <w:rFonts w:ascii="Times New Roman" w:hAnsi="Times New Roman"/>
          <w:b w:val="0"/>
          <w:color w:val="000000"/>
          <w:sz w:val="24"/>
        </w:rPr>
        <w:t xml:space="preserve">, Junhong Wang</w:t>
      </w:r>
      <w:r>
        <w:rPr>
          <w:rFonts w:ascii="Times New Roman" w:hAnsi="Times New Roman"/>
          <w:b w:val="0"/>
          <w:color w:val="000000"/>
          <w:sz w:val="24"/>
          <w:vertAlign w:val="superscript"/>
        </w:rPr>
        <w:t xml:space="preserve">a,c*</w:t>
      </w:r>
    </w:p>
    <w:p>
      <w:pPr>
        <w:pStyle w:val="BodyText"/>
        <w:spacing w:line="480" w:lineRule="auto"/>
      </w:pPr>
      <w:r>
        <w:rPr>
          <w:rFonts w:ascii="Times New Roman" w:hAnsi="Times New Roman"/>
          <w:b w:val="0"/>
          <w:color w:val="000000"/>
          <w:sz w:val="24"/>
          <w:vertAlign w:val="superscript"/>
        </w:rPr>
        <w:t xml:space="preserve">a</w:t>
      </w:r>
      <w:r>
        <w:rPr>
          <w:rFonts w:ascii="Times New Roman" w:hAnsi="Times New Roman"/>
          <w:b w:val="0"/>
          <w:color w:val="000000"/>
          <w:sz w:val="24"/>
        </w:rPr>
        <w:t xml:space="preserve"> </w:t>
      </w:r>
      <w:r>
        <w:rPr>
          <w:rFonts w:ascii="Times New Roman" w:hAnsi="Times New Roman"/>
          <w:b w:val="0"/>
          <w:color w:val="000000"/>
          <w:sz w:val="24"/>
        </w:rPr>
        <w:t xml:space="preserve">Department of Cardiology, The First Affiliated Hospital of Nanjing Medical University, Nanjing, China</w:t>
      </w:r>
    </w:p>
    <w:p>
      <w:pPr>
        <w:pStyle w:val="BodyText"/>
        <w:spacing w:line="480" w:lineRule="auto"/>
      </w:pPr>
      <w:r>
        <w:rPr>
          <w:rFonts w:ascii="Times New Roman" w:hAnsi="Times New Roman"/>
          <w:b w:val="0"/>
          <w:color w:val="000000"/>
          <w:sz w:val="24"/>
          <w:vertAlign w:val="superscript"/>
        </w:rPr>
        <w:t xml:space="preserve">b</w:t>
      </w:r>
      <w:r>
        <w:rPr>
          <w:rFonts w:ascii="Times New Roman" w:hAnsi="Times New Roman"/>
          <w:b w:val="0"/>
          <w:color w:val="000000"/>
          <w:sz w:val="24"/>
        </w:rPr>
        <w:t xml:space="preserve"> </w:t>
      </w:r>
      <w:r>
        <w:rPr>
          <w:rFonts w:ascii="Times New Roman" w:hAnsi="Times New Roman"/>
          <w:b w:val="0"/>
          <w:color w:val="000000"/>
          <w:sz w:val="24"/>
        </w:rPr>
        <w:t xml:space="preserve">Department of Reproduction Medicine, The First Affiliated Hospital of Nanjing Medical University, Nanjing, China</w:t>
      </w:r>
    </w:p>
    <w:p>
      <w:pPr>
        <w:pStyle w:val="BodyText"/>
        <w:spacing w:line="480" w:lineRule="auto"/>
      </w:pPr>
      <w:r>
        <w:rPr>
          <w:rFonts w:ascii="Times New Roman" w:hAnsi="Times New Roman"/>
          <w:b w:val="0"/>
          <w:color w:val="000000"/>
          <w:sz w:val="24"/>
          <w:vertAlign w:val="superscript"/>
        </w:rPr>
        <w:t xml:space="preserve">c</w:t>
      </w:r>
      <w:r>
        <w:rPr>
          <w:rFonts w:ascii="Times New Roman" w:hAnsi="Times New Roman"/>
          <w:b w:val="0"/>
          <w:color w:val="000000"/>
          <w:sz w:val="24"/>
        </w:rPr>
        <w:t xml:space="preserve"> </w:t>
      </w:r>
      <w:r>
        <w:rPr>
          <w:rFonts w:ascii="Times New Roman" w:hAnsi="Times New Roman"/>
          <w:b w:val="0"/>
          <w:color w:val="000000"/>
          <w:sz w:val="24"/>
        </w:rPr>
        <w:t xml:space="preserve">Department of Cardiology, Liyang People’s Hospital, Liyang, China</w:t>
      </w:r>
    </w:p>
    <w:p>
      <w:pPr>
        <w:pStyle w:val="BodyText"/>
        <w:spacing w:line="480" w:lineRule="auto"/>
      </w:pPr>
      <w:r>
        <w:rPr>
          <w:rFonts w:ascii="Times New Roman" w:hAnsi="Times New Roman"/>
          <w:b w:val="0"/>
          <w:color w:val="000000"/>
          <w:sz w:val="24"/>
          <w:vertAlign w:val="superscript"/>
        </w:rPr>
        <w:t xml:space="preserve">*</w:t>
      </w:r>
      <w:r>
        <w:rPr>
          <w:rFonts w:ascii="Times New Roman" w:hAnsi="Times New Roman"/>
          <w:b w:val="0"/>
          <w:color w:val="000000"/>
          <w:sz w:val="24"/>
        </w:rPr>
        <w:t xml:space="preserve"> </w:t>
      </w:r>
      <w:r>
        <w:rPr>
          <w:rFonts w:ascii="Times New Roman" w:hAnsi="Times New Roman"/>
          <w:b w:val="0"/>
          <w:color w:val="000000"/>
          <w:sz w:val="24"/>
        </w:rPr>
        <w:t xml:space="preserve">Lead corresponding author. E-mail: wangjunhong@jsph.org.cn</w:t>
      </w:r>
    </w:p>
    <w:p>
      <w:pPr>
        <w:pStyle w:val="BodyText"/>
        <w:spacing w:line="480" w:lineRule="auto"/>
      </w:pPr>
      <w:r>
        <w:rPr>
          <w:rFonts w:ascii="Times New Roman" w:hAnsi="Times New Roman"/>
          <w:b w:val="0"/>
          <w:color w:val="000000"/>
          <w:sz w:val="24"/>
          <w:vertAlign w:val="superscript"/>
        </w:rPr>
        <w:t xml:space="preserve">#</w:t>
      </w:r>
      <w:r>
        <w:rPr>
          <w:rFonts w:ascii="Times New Roman" w:hAnsi="Times New Roman"/>
          <w:b w:val="0"/>
          <w:color w:val="000000"/>
          <w:sz w:val="24"/>
        </w:rPr>
        <w:t xml:space="preserve"> </w:t>
      </w:r>
      <w:r>
        <w:rPr>
          <w:rFonts w:ascii="Times New Roman" w:hAnsi="Times New Roman"/>
          <w:b w:val="0"/>
          <w:color w:val="000000"/>
          <w:sz w:val="24"/>
        </w:rPr>
        <w:t xml:space="preserve">Co-corresponding author. E-mail: wuxin0220@aliyun.com</w:t>
      </w:r>
    </w:p>
    <w:p>
      <w:pPr>
        <w:pStyle w:val="BodyText"/>
        <w:spacing w:line="480" w:lineRule="auto"/>
      </w:pPr>
      <w:r>
        <w:rPr>
          <w:rFonts w:ascii="Times New Roman" w:hAnsi="Times New Roman"/>
          <w:b w:val="0"/>
          <w:bCs/>
          <w:color w:val="000000"/>
          <w:sz w:val="24"/>
        </w:rPr>
        <w:t xml:space="preserve">Keywords:</w:t>
      </w:r>
      <w:r>
        <w:rPr>
          <w:rFonts w:ascii="Times New Roman" w:hAnsi="Times New Roman"/>
          <w:b w:val="0"/>
          <w:color w:val="000000"/>
          <w:sz w:val="24"/>
        </w:rPr>
        <w:t xml:space="preserve"> </w:t>
      </w:r>
      <w:r>
        <w:rPr>
          <w:rFonts w:ascii="Times New Roman" w:hAnsi="Times New Roman"/>
          <w:b w:val="0"/>
          <w:color w:val="000000"/>
          <w:sz w:val="24"/>
        </w:rPr>
        <w:t xml:space="preserve">Translation; Hepatocellular carcinoma; Heart failure; WGCNA; ssGSEA; ATF4; Integrated stress response; MYC</w:t>
      </w:r>
    </w:p>
    <w:bookmarkStart w:id="9" w:name="abstract"/>
    <w:p>
      <w:pPr>
        <w:pStyle w:val="Heading2"/>
        <w:pageBreakBefore/>
        <w:spacing w:line="480" w:lineRule="auto"/>
      </w:pPr>
      <w:r>
        <w:rPr>
          <w:rFonts w:ascii="Times New Roman" w:hAnsi="Times New Roman"/>
          <w:b/>
          <w:color w:val="000000"/>
          <w:sz w:val="24"/>
        </w:rPr>
        <w:t xml:space="preserve">Abstract</w:t>
      </w:r>
    </w:p>
    <w:p>
      <w:pPr>
        <w:pStyle w:val="FirstParagraph"/>
        <w:spacing w:line="480" w:lineRule="auto"/>
      </w:pPr>
      <w:r>
        <w:rPr>
          <w:rFonts w:ascii="Times New Roman" w:hAnsi="Times New Roman"/>
          <w:b w:val="0"/>
          <w:bCs/>
          <w:color w:val="000000"/>
          <w:sz w:val="24"/>
        </w:rPr>
        <w:t xml:space="preserve">Background:</w:t>
      </w:r>
      <w:r>
        <w:rPr>
          <w:rFonts w:ascii="Times New Roman" w:hAnsi="Times New Roman"/>
          <w:b w:val="0"/>
          <w:color w:val="000000"/>
          <w:sz w:val="24"/>
        </w:rPr>
        <w:t xml:space="preserve"> </w:t>
      </w:r>
      <w:r>
        <w:rPr>
          <w:rFonts w:ascii="Times New Roman" w:hAnsi="Times New Roman"/>
          <w:b w:val="0"/>
          <w:color w:val="000000"/>
          <w:sz w:val="24"/>
        </w:rPr>
        <w:t xml:space="preserve">Hepatocellular carcinoma (HCC) requires sustained protein synthesis to support malignant proliferation, and translation-related transcriptional programs are consistently activated in HCC. Whether this activation reflects a conserved program shared with diseases of opposing translational demand, or disease-context-dependent remodeling, remains unresolved.</w:t>
      </w:r>
    </w:p>
    <w:p>
      <w:pPr>
        <w:pStyle w:val="BodyText"/>
        <w:spacing w:line="480" w:lineRule="auto"/>
      </w:pPr>
      <w:r>
        <w:rPr>
          <w:rFonts w:ascii="Times New Roman" w:hAnsi="Times New Roman"/>
          <w:b w:val="0"/>
          <w:bCs/>
          <w:color w:val="000000"/>
          <w:sz w:val="24"/>
        </w:rPr>
        <w:t xml:space="preserve">Methods:</w:t>
      </w:r>
      <w:r>
        <w:rPr>
          <w:rFonts w:ascii="Times New Roman" w:hAnsi="Times New Roman"/>
          <w:b w:val="0"/>
          <w:color w:val="000000"/>
          <w:sz w:val="24"/>
        </w:rPr>
        <w:t xml:space="preserve"> </w:t>
      </w:r>
      <w:r>
        <w:rPr>
          <w:rFonts w:ascii="Times New Roman" w:hAnsi="Times New Roman"/>
          <w:b w:val="0"/>
          <w:color w:val="000000"/>
          <w:sz w:val="24"/>
        </w:rPr>
        <w:t xml:space="preserve">We performed weighted gene co-expression network analysis (WGCNA) of HCC tumor transcriptomes (GSE141198,</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TCGA-LIHC,</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421) and failing myocardium (GSE57338,</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single-sample gene set enrichment analysis (ssGSEA) across 81 pathways, and transcription factor (TF)-translation-associated transcriptional score (TATS) correlation analysis. Same-organ disease controls (hypertrophic cardiomyopathy, GSE141910; cirrhosis, GSE89377) and an independent HF cohort (GSE116250) were analyzed to assess disease-context dependence.</w:t>
      </w:r>
    </w:p>
    <w:p>
      <w:pPr>
        <w:pStyle w:val="BodyText"/>
        <w:spacing w:line="480" w:lineRule="auto"/>
      </w:pPr>
      <w:r>
        <w:rPr>
          <w:rFonts w:ascii="Times New Roman" w:hAnsi="Times New Roman"/>
          <w:b w:val="0"/>
          <w:bCs/>
          <w:color w:val="000000"/>
          <w:sz w:val="24"/>
        </w:rPr>
        <w:t xml:space="preserve">Results:</w:t>
      </w:r>
      <w:r>
        <w:rPr>
          <w:rFonts w:ascii="Times New Roman" w:hAnsi="Times New Roman"/>
          <w:b w:val="0"/>
          <w:color w:val="000000"/>
          <w:sz w:val="24"/>
        </w:rPr>
        <w:t xml:space="preserve"> </w:t>
      </w:r>
      <w:r>
        <w:rPr>
          <w:rFonts w:ascii="Times New Roman" w:hAnsi="Times New Roman"/>
          <w:b w:val="0"/>
          <w:color w:val="000000"/>
          <w:sz w:val="24"/>
        </w:rPr>
        <w:t xml:space="preserve">WGCNA identified translation-related modules in HCC (blue module, 1,315 genes, enriched for cytoplasmic translation) and HF (green module, 227 genes, enriched for ribosome biogenesis) with limited gene-level overlap (62/227 genes; Fisher’s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Despite the distinct network architecture, 24 of 33 translation-related pathways exhibited mirror perturbation between diseases (Spearman ρ = −0.598,</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0.0003), a pattern absent in same-organ disease controls (hypertrophic cardiomyopathy, ρ = −0.036; cirrhosis, ρ = +0.402). ATF4 was the strongest individual TF correlate of TATS (ρ = +0.500, FDR &lt; 0.0001), whereas MYC target pathway activity showed the highest overall association (ρ = +0.753,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w:t>
      </w:r>
    </w:p>
    <w:p>
      <w:pPr>
        <w:pStyle w:val="BodyText"/>
        <w:spacing w:line="480" w:lineRule="auto"/>
      </w:pPr>
      <w:r>
        <w:rPr>
          <w:rFonts w:ascii="Times New Roman" w:hAnsi="Times New Roman"/>
          <w:b w:val="0"/>
          <w:bCs/>
          <w:color w:val="000000"/>
          <w:sz w:val="24"/>
        </w:rPr>
        <w:t xml:space="preserve">Conclusion:</w:t>
      </w:r>
      <w:r>
        <w:rPr>
          <w:rFonts w:ascii="Times New Roman" w:hAnsi="Times New Roman"/>
          <w:b w:val="0"/>
          <w:color w:val="000000"/>
          <w:sz w:val="24"/>
        </w:rPr>
        <w:t xml:space="preserve"> </w:t>
      </w:r>
      <w:r>
        <w:rPr>
          <w:rFonts w:ascii="Times New Roman" w:hAnsi="Times New Roman"/>
          <w:b w:val="0"/>
          <w:color w:val="000000"/>
          <w:sz w:val="24"/>
        </w:rPr>
        <w:t xml:space="preserve">Translation-related programs in HCC are organized through a disease-specific network architecture, yet converge on shared functional themes with opposite perturbation directions relative to HF. These findings identified disease-context-dependent remodeling, with proliferative (MYC) and stress-responsive (ATF4/integrated stress response) signaling as the dominant associated regulatory dimensions, providing a framework for translation-targeted investigation in HCC.</w:t>
      </w:r>
    </w:p>
    <w:bookmarkEnd w:id="9"/>
    <w:bookmarkStart w:id="10" w:name="introduction"/>
    <w:p>
      <w:pPr>
        <w:pStyle w:val="Heading2"/>
        <w:spacing w:line="480" w:lineRule="auto"/>
      </w:pPr>
      <w:r>
        <w:rPr>
          <w:rFonts w:ascii="Times New Roman" w:hAnsi="Times New Roman"/>
          <w:b/>
          <w:color w:val="000000"/>
          <w:sz w:val="24"/>
        </w:rPr>
        <w:t xml:space="preserve">1. Introduction</w:t>
      </w:r>
    </w:p>
    <w:p>
      <w:pPr>
        <w:pStyle w:val="FirstParagraph"/>
        <w:spacing w:line="480" w:lineRule="auto"/>
      </w:pPr>
      <w:r>
        <w:rPr>
          <w:rFonts w:ascii="Times New Roman" w:hAnsi="Times New Roman"/>
          <w:b w:val="0"/>
          <w:color w:val="000000"/>
          <w:sz w:val="24"/>
        </w:rPr>
        <w:t xml:space="preserve">Hepatocellular carcinoma (HCC) is an aggressive malignancy whose growth is sustained by unrestrained proliferation, which in turn demands a dramatically expanded capacity for protein synthesis[1,2]. Translation, the final and most energetically expensive step of gene expression, is central to this demand[3]. In HCC, oncogenic pathways converge on the translational apparatus to upregulate ribosome biogenesis and protein synthesis[4,5], and translational control is increasingly being recognized as a targetable vulnerability in cancer[6,7]. MYC, a master regulator of both proliferation and translation, is among the most frequently activated oncogenes in HCC[8].</w:t>
      </w:r>
    </w:p>
    <w:p>
      <w:pPr>
        <w:pStyle w:val="BodyText"/>
        <w:spacing w:line="480" w:lineRule="auto"/>
      </w:pPr>
      <w:r>
        <w:rPr>
          <w:rFonts w:ascii="Times New Roman" w:hAnsi="Times New Roman"/>
          <w:b w:val="0"/>
          <w:color w:val="000000"/>
          <w:sz w:val="24"/>
        </w:rPr>
        <w:t xml:space="preserve">Translation-related transcriptional programs, however, are not uniformly activated across disease states. Heart failure (HF), a chronic degenerative condition of the energy-depleted myocardium, is characterized by suppression of anabolic processes, including ribosome biogenesis and cap-dependent translation, as a response associated with energy conservation[9,10]. mTORC1 signaling, a central anabolic regulator of translation, is inhibited in the failing heart[11,12]. These mirror-image pressures on the same molecular machinery raise a fundamental question: does the same translation-related transcriptional program operate in both diseases, with the disease context determining only the direction of perturbation[13]?</w:t>
      </w:r>
    </w:p>
    <w:p>
      <w:pPr>
        <w:pStyle w:val="BodyText"/>
        <w:spacing w:line="480" w:lineRule="auto"/>
      </w:pPr>
      <w:r>
        <w:rPr>
          <w:rFonts w:ascii="Times New Roman" w:hAnsi="Times New Roman"/>
          <w:b w:val="0"/>
          <w:color w:val="000000"/>
          <w:sz w:val="24"/>
        </w:rPr>
        <w:t xml:space="preserve">Answering this question requires moving beyond a single disease framework. Existing transcriptomic studies on translation-related programs have largely been confined to single-disease contexts, identifying differentially expressed genes, co-expression modules, or prognostic signatures within one disease at a time[13]. While these studies have generated valuable disease-specific insights, they cannot distinguish disease-specific features from those reflecting the general organizational principles of the translational system. Cross-disease comparative transcriptomics — the parallel analysis of independent datasets using identical computational pipelines — provides a direct strategy. Here, we applied an integrative cross-disease framework to investigate how disease context shapes translation-related programs in HCC, with three objectives: (i) identify translation-related co-expression modules via systematic WGCNA-based module discovery, (ii) quantitatively compare pathway-level perturbations across diseases, and (iii) investigate transcriptional correlates of translation-related activity, explicitly testing whether network organization is shared or disease-specific rather than assuming module conservation.</w:t>
      </w:r>
    </w:p>
    <w:bookmarkEnd w:id="10"/>
    <w:bookmarkStart w:id="21" w:name="methods"/>
    <w:p>
      <w:pPr>
        <w:pStyle w:val="Heading2"/>
        <w:spacing w:line="480" w:lineRule="auto"/>
      </w:pPr>
      <w:r>
        <w:rPr>
          <w:rFonts w:ascii="Times New Roman" w:hAnsi="Times New Roman"/>
          <w:b/>
          <w:color w:val="000000"/>
          <w:sz w:val="24"/>
        </w:rPr>
        <w:t xml:space="preserve">2. Methods</w:t>
      </w:r>
    </w:p>
    <w:bookmarkStart w:id="11" w:name="data-acquisition-and-preprocessing"/>
    <w:p>
      <w:pPr>
        <w:pStyle w:val="Heading3"/>
        <w:spacing w:line="480" w:lineRule="auto"/>
      </w:pPr>
      <w:r>
        <w:rPr>
          <w:rFonts w:ascii="Times New Roman" w:hAnsi="Times New Roman"/>
          <w:b/>
          <w:color w:val="000000"/>
          <w:sz w:val="24"/>
        </w:rPr>
        <w:t xml:space="preserve">Data acquisition and preprocessing</w:t>
      </w:r>
    </w:p>
    <w:p>
      <w:pPr>
        <w:pStyle w:val="FirstParagraph"/>
        <w:spacing w:line="480" w:lineRule="auto"/>
      </w:pPr>
      <w:r>
        <w:rPr>
          <w:rFonts w:ascii="Times New Roman" w:hAnsi="Times New Roman"/>
          <w:b w:val="0"/>
          <w:color w:val="000000"/>
          <w:sz w:val="24"/>
        </w:rPr>
        <w:t xml:space="preserve">All datasets used in this study are publicly available and were collected with informed consent and ethical approval, as described in their respective publications. No new data involving human participants or animals were generated.</w:t>
      </w:r>
    </w:p>
    <w:p>
      <w:pPr>
        <w:pStyle w:val="BodyText"/>
        <w:spacing w:line="480" w:lineRule="auto"/>
      </w:pPr>
      <w:r>
        <w:rPr>
          <w:rFonts w:ascii="Times New Roman" w:hAnsi="Times New Roman"/>
          <w:b w:val="0"/>
          <w:color w:val="000000"/>
          <w:sz w:val="24"/>
        </w:rPr>
        <w:t xml:space="preserve">Datasets were selected based on the following criteria: (i) availability of both disease and non-disease control samples within the same study, (ii) sample size ≥ 100, and (iii) publicly available raw or normalized expression matrices.</w:t>
      </w:r>
    </w:p>
    <w:p>
      <w:pPr>
        <w:pStyle w:val="BodyText"/>
        <w:spacing w:line="480" w:lineRule="auto"/>
      </w:pPr>
      <w:r>
        <w:rPr>
          <w:rFonts w:ascii="Times New Roman" w:hAnsi="Times New Roman"/>
          <w:b w:val="0"/>
          <w:bCs/>
          <w:color w:val="000000"/>
          <w:sz w:val="24"/>
        </w:rPr>
        <w:t xml:space="preserve">GSE57338 (HF).</w:t>
      </w:r>
      <w:r>
        <w:rPr>
          <w:rFonts w:ascii="Times New Roman" w:hAnsi="Times New Roman"/>
          <w:b w:val="0"/>
          <w:color w:val="000000"/>
          <w:sz w:val="24"/>
        </w:rPr>
        <w:t xml:space="preserve"> </w:t>
      </w:r>
      <w:r>
        <w:rPr>
          <w:rFonts w:ascii="Times New Roman" w:hAnsi="Times New Roman"/>
          <w:b w:val="0"/>
          <w:color w:val="000000"/>
          <w:sz w:val="24"/>
        </w:rPr>
        <w:t xml:space="preserve">Downloaded from GEO,</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left ventricular samples (including dilated cardiomyopathy, ischemic cardiomyopathy, and non-failing controls), platform GPL11532 (Affymetrix HuGene 1.1 ST Array). Probes were filtered to retain expression above a background threshold (log</w:t>
      </w:r>
      <w:r>
        <w:rPr>
          <w:rFonts w:ascii="Times New Roman" w:hAnsi="Times New Roman"/>
          <w:b w:val="0"/>
          <w:color w:val="000000"/>
          <w:sz w:val="24"/>
          <w:vertAlign w:val="subscript"/>
        </w:rPr>
        <w:t xml:space="preserve">2</w:t>
      </w:r>
      <w:r>
        <w:rPr>
          <w:rFonts w:ascii="Times New Roman" w:hAnsi="Times New Roman"/>
          <w:b w:val="0"/>
          <w:color w:val="000000"/>
          <w:sz w:val="24"/>
        </w:rPr>
        <w:t xml:space="preserve"> </w:t>
      </w:r>
      <w:r>
        <w:rPr>
          <w:rFonts w:ascii="Times New Roman" w:hAnsi="Times New Roman"/>
          <w:b w:val="0"/>
          <w:color w:val="000000"/>
          <w:sz w:val="24"/>
        </w:rPr>
        <w:t xml:space="preserve">intensity ≥ 4) in ≥ 20% of samples and mapped to gene symbols via the hugene11sttranscriptcluster.db annotation package, with multiple probes averaged per gene.</w:t>
      </w:r>
    </w:p>
    <w:p>
      <w:pPr>
        <w:pStyle w:val="BodyText"/>
        <w:spacing w:line="480" w:lineRule="auto"/>
      </w:pPr>
      <w:r>
        <w:rPr>
          <w:rFonts w:ascii="Times New Roman" w:hAnsi="Times New Roman"/>
          <w:b w:val="0"/>
          <w:bCs/>
          <w:color w:val="000000"/>
          <w:sz w:val="24"/>
        </w:rPr>
        <w:t xml:space="preserve">TCGA-LIHC (HCC discovery set).</w:t>
      </w:r>
      <w:r>
        <w:rPr>
          <w:rFonts w:ascii="Times New Roman" w:hAnsi="Times New Roman"/>
          <w:b w:val="0"/>
          <w:color w:val="000000"/>
          <w:sz w:val="24"/>
        </w:rPr>
        <w:t xml:space="preserve"> </w:t>
      </w:r>
      <w:r>
        <w:rPr>
          <w:rFonts w:ascii="Times New Roman" w:hAnsi="Times New Roman"/>
          <w:b w:val="0"/>
          <w:color w:val="000000"/>
          <w:sz w:val="24"/>
        </w:rPr>
        <w:t xml:space="preserve">Downloaded from the TCGA GDC portal,</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424 samples (371 tumor + 50 normal + 3 recurrent tumor), RNA-seq (Illumina), using</w:t>
      </w:r>
      <w:r>
        <w:rPr>
          <w:rFonts w:ascii="Times New Roman" w:hAnsi="Times New Roman"/>
          <w:b w:val="0"/>
          <w:color w:val="000000"/>
          <w:sz w:val="24"/>
        </w:rPr>
        <w:t xml:space="preserve"> </w:t>
      </w:r>
      <w:r>
        <w:rPr>
          <w:rStyle w:val="VerbatimChar"/>
          <w:rFonts w:ascii="Times New Roman" w:hAnsi="Times New Roman"/>
          <w:b w:val="0"/>
          <w:color w:val="000000"/>
          <w:sz w:val="24"/>
        </w:rPr>
        <w:t xml:space="preserve">assay(se, "unstranded")</w:t>
      </w:r>
      <w:r>
        <w:rPr>
          <w:rFonts w:ascii="Times New Roman" w:hAnsi="Times New Roman"/>
          <w:b w:val="0"/>
          <w:color w:val="000000"/>
          <w:sz w:val="24"/>
        </w:rPr>
        <w:t xml:space="preserve"> </w:t>
      </w:r>
      <w:r>
        <w:rPr>
          <w:rFonts w:ascii="Times New Roman" w:hAnsi="Times New Roman"/>
          <w:b w:val="0"/>
          <w:color w:val="000000"/>
          <w:sz w:val="24"/>
        </w:rPr>
        <w:t xml:space="preserve">for counts. Three recurrent tumor samples were excluded from differential expression and pathway analyses; therefore, all downstream analyses used</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421 (371 tumor vs. 50 normal). DESeq2 variance stabilizing transformation (VST) normalization was applied using the vst function[14] with</w:t>
      </w:r>
      <w:r>
        <w:rPr>
          <w:rFonts w:ascii="Times New Roman" w:hAnsi="Times New Roman"/>
          <w:b w:val="0"/>
          <w:color w:val="000000"/>
          <w:sz w:val="24"/>
        </w:rPr>
        <w:t xml:space="preserve"> </w:t>
      </w:r>
      <w:r>
        <w:rPr>
          <w:rStyle w:val="VerbatimChar"/>
          <w:rFonts w:ascii="Times New Roman" w:hAnsi="Times New Roman"/>
          <w:b w:val="0"/>
          <w:color w:val="000000"/>
          <w:sz w:val="24"/>
        </w:rPr>
        <w:t xml:space="preserve">blind = TRUE</w:t>
      </w:r>
      <w:r>
        <w:rPr>
          <w:rFonts w:ascii="Times New Roman" w:hAnsi="Times New Roman"/>
          <w:b w:val="0"/>
          <w:color w:val="000000"/>
          <w:sz w:val="24"/>
        </w:rPr>
        <w:t xml:space="preserve"> </w:t>
      </w:r>
      <w:r>
        <w:rPr>
          <w:rFonts w:ascii="Times New Roman" w:hAnsi="Times New Roman"/>
          <w:b w:val="0"/>
          <w:color w:val="000000"/>
          <w:sz w:val="24"/>
        </w:rPr>
        <w:t xml:space="preserve">and</w:t>
      </w:r>
      <w:r>
        <w:rPr>
          <w:rFonts w:ascii="Times New Roman" w:hAnsi="Times New Roman"/>
          <w:b w:val="0"/>
          <w:color w:val="000000"/>
          <w:sz w:val="24"/>
        </w:rPr>
        <w:t xml:space="preserve"> </w:t>
      </w:r>
      <w:r>
        <w:rPr>
          <w:rStyle w:val="VerbatimChar"/>
          <w:rFonts w:ascii="Times New Roman" w:hAnsi="Times New Roman"/>
          <w:b w:val="0"/>
          <w:color w:val="000000"/>
          <w:sz w:val="24"/>
        </w:rPr>
        <w:t xml:space="preserve">nsub = 1000</w:t>
      </w:r>
      <w:r>
        <w:rPr>
          <w:rFonts w:ascii="Times New Roman" w:hAnsi="Times New Roman"/>
          <w:b w:val="0"/>
          <w:color w:val="000000"/>
          <w:sz w:val="24"/>
        </w:rPr>
        <w:t xml:space="preserve"> </w:t>
      </w:r>
      <w:r>
        <w:rPr>
          <w:rFonts w:ascii="Times New Roman" w:hAnsi="Times New Roman"/>
          <w:b w:val="0"/>
          <w:color w:val="000000"/>
          <w:sz w:val="24"/>
        </w:rPr>
        <w:t xml:space="preserve">parameters (design = ~ 1), followed by filtering for genes with counts ≥ 10 in at least 20% of samples. Ensembl IDs were converted into gene symbols using org.Hs.eg.db.</w:t>
      </w:r>
    </w:p>
    <w:p>
      <w:pPr>
        <w:pStyle w:val="BodyText"/>
        <w:spacing w:line="480" w:lineRule="auto"/>
      </w:pPr>
      <w:r>
        <w:rPr>
          <w:rFonts w:ascii="Times New Roman" w:hAnsi="Times New Roman"/>
          <w:b w:val="0"/>
          <w:bCs/>
          <w:color w:val="000000"/>
          <w:sz w:val="24"/>
        </w:rPr>
        <w:t xml:space="preserve">GSE141198 (HCC validation set).</w:t>
      </w:r>
      <w:r>
        <w:rPr>
          <w:rFonts w:ascii="Times New Roman" w:hAnsi="Times New Roman"/>
          <w:b w:val="0"/>
          <w:color w:val="000000"/>
          <w:sz w:val="24"/>
        </w:rPr>
        <w:t xml:space="preserve"> </w:t>
      </w:r>
      <w:r>
        <w:rPr>
          <w:rFonts w:ascii="Times New Roman" w:hAnsi="Times New Roman"/>
          <w:b w:val="0"/>
          <w:color w:val="000000"/>
          <w:sz w:val="24"/>
        </w:rPr>
        <w:t xml:space="preserve">Downloaded from GEO,</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HCC tumors (RNA-seq), and 94 OS events. Processing pipeline identical to that of TCGA-LIHC.</w:t>
      </w:r>
    </w:p>
    <w:p>
      <w:pPr>
        <w:pStyle w:val="BodyText"/>
        <w:spacing w:line="480" w:lineRule="auto"/>
      </w:pPr>
      <w:r>
        <w:rPr>
          <w:rFonts w:ascii="Times New Roman" w:hAnsi="Times New Roman"/>
          <w:b w:val="0"/>
          <w:bCs/>
          <w:color w:val="000000"/>
          <w:sz w:val="24"/>
        </w:rPr>
        <w:t xml:space="preserve">GSE14520 and GSE76427 (external validation).</w:t>
      </w:r>
      <w:r>
        <w:rPr>
          <w:rFonts w:ascii="Times New Roman" w:hAnsi="Times New Roman"/>
          <w:b w:val="0"/>
          <w:color w:val="000000"/>
          <w:sz w:val="24"/>
        </w:rPr>
        <w:t xml:space="preserve"> </w:t>
      </w:r>
      <w:r>
        <w:rPr>
          <w:rFonts w:ascii="Times New Roman" w:hAnsi="Times New Roman"/>
          <w:b w:val="0"/>
          <w:color w:val="000000"/>
          <w:sz w:val="24"/>
        </w:rPr>
        <w:t xml:space="preserve">GSE14520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221 HCC tumors, GPL3921 Affymetrix HT Human Genome U133A Array) and GSE76427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115 HCC tumors, GPL10558 Illumina HumanHT-12 V4.0) were downloaded from GEO for external TATS validation. Processing and TATS calculations were performed identically across all validation cohorts.</w:t>
      </w:r>
    </w:p>
    <w:bookmarkEnd w:id="11"/>
    <w:bookmarkStart w:id="12" w:name="wgcna-co-expression-network-analysis"/>
    <w:p>
      <w:pPr>
        <w:pStyle w:val="Heading3"/>
        <w:spacing w:line="480" w:lineRule="auto"/>
      </w:pPr>
      <w:r>
        <w:rPr>
          <w:rFonts w:ascii="Times New Roman" w:hAnsi="Times New Roman"/>
          <w:b/>
          <w:color w:val="000000"/>
          <w:sz w:val="24"/>
        </w:rPr>
        <w:t xml:space="preserve">WGCNA co-expression network analysis</w:t>
      </w:r>
    </w:p>
    <w:p>
      <w:pPr>
        <w:pStyle w:val="FirstParagraph"/>
        <w:spacing w:line="480" w:lineRule="auto"/>
      </w:pPr>
      <w:r>
        <w:rPr>
          <w:rFonts w:ascii="Times New Roman" w:hAnsi="Times New Roman"/>
          <w:b w:val="0"/>
          <w:color w:val="000000"/>
          <w:sz w:val="24"/>
        </w:rPr>
        <w:t xml:space="preserve">The WGCNA input data consisted of gene expression matrices that were filtered and normalized as described above. For GSE57338 (microarray data), the bottom 20% of genes by variance were removed, and the top 6,000 most variable genes were retained for network construction (retaining 177 of 214 ribosomal/translation-related genes in the full expression matrix). For GSE141198 (RNA-seq data), all the expressed genes that passed the above filters (5,003 genes) were used. Signed network analysis was performed using the WGCNA package[15,16]. The soft threshold, β, was selected to best approximate the scale-free topology criterion (targeting R² ≈ 0.85; GSE57338: β = 17, signed R² = 0.865; GSE141198: β = 4, R² = 0.84; Supplementary Fig. S3). Network construction parameters were independently optimized for each dataset according to platform-specific data characteristics, rather than being artificially matched across diseases.</w:t>
      </w:r>
    </w:p>
    <w:p>
      <w:pPr>
        <w:pStyle w:val="BodyText"/>
        <w:spacing w:line="480" w:lineRule="auto"/>
      </w:pPr>
      <w:r>
        <w:rPr>
          <w:rFonts w:ascii="Times New Roman" w:hAnsi="Times New Roman"/>
          <w:b w:val="0"/>
          <w:color w:val="000000"/>
          <w:sz w:val="24"/>
        </w:rPr>
        <w:t xml:space="preserve">For GSE57338, the following manual stepwise procedure was used: Pearson correlation (stats::cor) → signed adjacency matrix [(0.5 × (1 + cor))^β] → TOM similarity (WGCNA::TOMsimilarity, TOMType =</w:t>
      </w:r>
      <w:r>
        <w:rPr>
          <w:rFonts w:ascii="Times New Roman" w:hAnsi="Times New Roman"/>
          <w:b w:val="0"/>
          <w:color w:val="000000"/>
          <w:sz w:val="24"/>
        </w:rPr>
        <w:t xml:space="preserve"> </w:t>
      </w:r>
      <w:r>
        <w:rPr>
          <w:rFonts w:ascii="Times New Roman" w:hAnsi="Times New Roman"/>
          <w:b w:val="0"/>
          <w:color w:val="000000"/>
          <w:sz w:val="24"/>
        </w:rPr>
        <w:t xml:space="preserve">“signed”</w:t>
      </w:r>
      <w:r>
        <w:rPr>
          <w:rFonts w:ascii="Times New Roman" w:hAnsi="Times New Roman"/>
          <w:b w:val="0"/>
          <w:color w:val="000000"/>
          <w:sz w:val="24"/>
        </w:rPr>
        <w:t xml:space="preserve">) → hierarchical clustering (hclust, method =</w:t>
      </w:r>
      <w:r>
        <w:rPr>
          <w:rFonts w:ascii="Times New Roman" w:hAnsi="Times New Roman"/>
          <w:b w:val="0"/>
          <w:color w:val="000000"/>
          <w:sz w:val="24"/>
        </w:rPr>
        <w:t xml:space="preserve"> </w:t>
      </w:r>
      <w:r>
        <w:rPr>
          <w:rFonts w:ascii="Times New Roman" w:hAnsi="Times New Roman"/>
          <w:b w:val="0"/>
          <w:color w:val="000000"/>
          <w:sz w:val="24"/>
        </w:rPr>
        <w:t xml:space="preserve">“average”</w:t>
      </w:r>
      <w:r>
        <w:rPr>
          <w:rFonts w:ascii="Times New Roman" w:hAnsi="Times New Roman"/>
          <w:b w:val="0"/>
          <w:color w:val="000000"/>
          <w:sz w:val="24"/>
        </w:rPr>
        <w:t xml:space="preserve">) → dynamic tree cutting (dynamicTreeCut::cutreeDynamic, deepSplit = 2, minClusterSize = 30). This manual procedure was adopted to ensure platform compatibility across R versions. For GSE141198, the WGCNA blockwiseModules one-step function was used for network construction (networkType =</w:t>
      </w:r>
      <w:r>
        <w:rPr>
          <w:rFonts w:ascii="Times New Roman" w:hAnsi="Times New Roman"/>
          <w:b w:val="0"/>
          <w:color w:val="000000"/>
          <w:sz w:val="24"/>
        </w:rPr>
        <w:t xml:space="preserve"> </w:t>
      </w:r>
      <w:r>
        <w:rPr>
          <w:rFonts w:ascii="Times New Roman" w:hAnsi="Times New Roman"/>
          <w:b w:val="0"/>
          <w:color w:val="000000"/>
          <w:sz w:val="24"/>
        </w:rPr>
        <w:t xml:space="preserve">“signed”</w:t>
      </w:r>
      <w:r>
        <w:rPr>
          <w:rFonts w:ascii="Times New Roman" w:hAnsi="Times New Roman"/>
          <w:b w:val="0"/>
          <w:color w:val="000000"/>
          <w:sz w:val="24"/>
        </w:rPr>
        <w:t xml:space="preserve">, minModuleSize = 30, mergeCutHeight = 0.25, TOMType =</w:t>
      </w:r>
      <w:r>
        <w:rPr>
          <w:rFonts w:ascii="Times New Roman" w:hAnsi="Times New Roman"/>
          <w:b w:val="0"/>
          <w:color w:val="000000"/>
          <w:sz w:val="24"/>
        </w:rPr>
        <w:t xml:space="preserve"> </w:t>
      </w:r>
      <w:r>
        <w:rPr>
          <w:rFonts w:ascii="Times New Roman" w:hAnsi="Times New Roman"/>
          <w:b w:val="0"/>
          <w:color w:val="000000"/>
          <w:sz w:val="24"/>
        </w:rPr>
        <w:t xml:space="preserve">“signed”</w:t>
      </w:r>
      <w:r>
        <w:rPr>
          <w:rFonts w:ascii="Times New Roman" w:hAnsi="Times New Roman"/>
          <w:b w:val="0"/>
          <w:color w:val="000000"/>
          <w:sz w:val="24"/>
        </w:rPr>
        <w:t xml:space="preserve">, pamRespectsDendro = FALSE, maxBlockSize = 6,000, randomSeed = 42).</w:t>
      </w:r>
    </w:p>
    <w:p>
      <w:pPr>
        <w:pStyle w:val="BodyText"/>
        <w:spacing w:line="480" w:lineRule="auto"/>
      </w:pPr>
      <w:r>
        <w:rPr>
          <w:rFonts w:ascii="Times New Roman" w:hAnsi="Times New Roman"/>
          <w:b w:val="0"/>
          <w:bCs/>
          <w:color w:val="000000"/>
          <w:sz w:val="24"/>
        </w:rPr>
        <w:t xml:space="preserve">Translation-related module identification.</w:t>
      </w:r>
      <w:r>
        <w:rPr>
          <w:rFonts w:ascii="Times New Roman" w:hAnsi="Times New Roman"/>
          <w:b w:val="0"/>
          <w:color w:val="000000"/>
          <w:sz w:val="24"/>
        </w:rPr>
        <w:t xml:space="preserve"> </w:t>
      </w:r>
      <w:r>
        <w:rPr>
          <w:rFonts w:ascii="Times New Roman" w:hAnsi="Times New Roman"/>
          <w:b w:val="0"/>
          <w:color w:val="000000"/>
          <w:sz w:val="24"/>
        </w:rPr>
        <w:t xml:space="preserve">Rather than designating a translation-related module based on manual inspection or prior assumptions, an objective translation-enrichment scoring procedure was applied. For each module, GO Biological Process enrichment was performed using clusterProfiler[17] (enrichGO, ont =</w:t>
      </w:r>
      <w:r>
        <w:rPr>
          <w:rFonts w:ascii="Times New Roman" w:hAnsi="Times New Roman"/>
          <w:b w:val="0"/>
          <w:color w:val="000000"/>
          <w:sz w:val="24"/>
        </w:rPr>
        <w:t xml:space="preserve"> </w:t>
      </w:r>
      <w:r>
        <w:rPr>
          <w:rFonts w:ascii="Times New Roman" w:hAnsi="Times New Roman"/>
          <w:b w:val="0"/>
          <w:color w:val="000000"/>
          <w:sz w:val="24"/>
        </w:rPr>
        <w:t xml:space="preserve">“BP”</w:t>
      </w:r>
      <w:r>
        <w:rPr>
          <w:rFonts w:ascii="Times New Roman" w:hAnsi="Times New Roman"/>
          <w:b w:val="0"/>
          <w:color w:val="000000"/>
          <w:sz w:val="24"/>
        </w:rPr>
        <w:t xml:space="preserve">, pAdjustMethod =</w:t>
      </w:r>
      <w:r>
        <w:rPr>
          <w:rFonts w:ascii="Times New Roman" w:hAnsi="Times New Roman"/>
          <w:b w:val="0"/>
          <w:color w:val="000000"/>
          <w:sz w:val="24"/>
        </w:rPr>
        <w:t xml:space="preserve"> </w:t>
      </w:r>
      <w:r>
        <w:rPr>
          <w:rFonts w:ascii="Times New Roman" w:hAnsi="Times New Roman"/>
          <w:b w:val="0"/>
          <w:color w:val="000000"/>
          <w:sz w:val="24"/>
        </w:rPr>
        <w:t xml:space="preserve">“BH”</w:t>
      </w:r>
      <w:r>
        <w:rPr>
          <w:rFonts w:ascii="Times New Roman" w:hAnsi="Times New Roman"/>
          <w:b w:val="0"/>
          <w:color w:val="000000"/>
          <w:sz w:val="24"/>
        </w:rPr>
        <w:t xml:space="preserve">, qvalueCutoff = 0.1). A module-level translation enrichment score was computed as follows: (number of significantly enriched GO terms matching translation-related keywords [</w:t>
      </w:r>
      <w:r>
        <w:rPr>
          <w:rFonts w:ascii="Times New Roman" w:hAnsi="Times New Roman"/>
          <w:b w:val="0"/>
          <w:color w:val="000000"/>
          <w:sz w:val="24"/>
        </w:rPr>
        <w:t xml:space="preserve">“translation|ribosom|peptide|ribonucleoprotein|rRNA|translational”</w:t>
      </w:r>
      <w:r>
        <w:rPr>
          <w:rFonts w:ascii="Times New Roman" w:hAnsi="Times New Roman"/>
          <w:b w:val="0"/>
          <w:color w:val="000000"/>
          <w:sz w:val="24"/>
        </w:rPr>
        <w:t xml:space="preserve">]) × (−log</w:t>
      </w:r>
      <w:r>
        <w:rPr>
          <w:rFonts w:ascii="Times New Roman" w:hAnsi="Times New Roman"/>
          <w:b w:val="0"/>
          <w:color w:val="000000"/>
          <w:sz w:val="24"/>
          <w:vertAlign w:val="subscript"/>
        </w:rPr>
        <w:t xml:space="preserve">10</w:t>
      </w:r>
      <w:r>
        <w:rPr>
          <w:rFonts w:ascii="Times New Roman" w:hAnsi="Times New Roman"/>
          <w:b w:val="0"/>
          <w:color w:val="000000"/>
          <w:sz w:val="24"/>
        </w:rPr>
        <w:t xml:space="preserve"> </w:t>
      </w:r>
      <w:r>
        <w:rPr>
          <w:rFonts w:ascii="Times New Roman" w:hAnsi="Times New Roman"/>
          <w:b w:val="0"/>
          <w:color w:val="000000"/>
          <w:sz w:val="24"/>
        </w:rPr>
        <w:t xml:space="preserve">of the best p.adjust among those terms). The module with the highest translation-enrichment score was designated the translation-related module.</w:t>
      </w:r>
      <w:r>
        <w:rPr>
          <w:rFonts w:ascii="Times New Roman" w:hAnsi="Times New Roman"/>
          <w:b w:val="0"/>
          <w:color w:val="000000"/>
          <w:sz w:val="24"/>
        </w:rPr>
        <w:t xml:space="preserve"> </w:t>
      </w:r>
      <w:r>
        <w:rPr>
          <w:rFonts w:ascii="Times New Roman" w:hAnsi="Times New Roman"/>
          <w:b w:val="0"/>
          <w:color w:val="000000"/>
          <w:sz w:val="24"/>
        </w:rPr>
        <w:t xml:space="preserve">“Translation-related transcriptional programs”</w:t>
      </w:r>
      <w:r>
        <w:rPr>
          <w:rFonts w:ascii="Times New Roman" w:hAnsi="Times New Roman"/>
          <w:b w:val="0"/>
          <w:color w:val="000000"/>
          <w:sz w:val="24"/>
        </w:rPr>
        <w:t xml:space="preserve"> </w:t>
      </w:r>
      <w:r>
        <w:rPr>
          <w:rFonts w:ascii="Times New Roman" w:hAnsi="Times New Roman"/>
          <w:b w:val="0"/>
          <w:color w:val="000000"/>
          <w:sz w:val="24"/>
        </w:rPr>
        <w:t xml:space="preserve">refer to the coordinated expression patterns of genes involved in ribosome biogenesis, translation machinery, and associated regulatory processes rather than direct measurements of protein synthesis activity. The GSE141198 blue module was identified as the translation-related module using the same keyword-based approach.</w:t>
      </w:r>
    </w:p>
    <w:p>
      <w:pPr>
        <w:pStyle w:val="BodyText"/>
        <w:spacing w:line="480" w:lineRule="auto"/>
      </w:pPr>
      <w:r>
        <w:rPr>
          <w:rFonts w:ascii="Times New Roman" w:hAnsi="Times New Roman"/>
          <w:b w:val="0"/>
          <w:bCs/>
          <w:color w:val="000000"/>
          <w:sz w:val="24"/>
        </w:rPr>
        <w:t xml:space="preserve">Hub gene identification.</w:t>
      </w:r>
      <w:r>
        <w:rPr>
          <w:rFonts w:ascii="Times New Roman" w:hAnsi="Times New Roman"/>
          <w:b w:val="0"/>
          <w:color w:val="000000"/>
          <w:sz w:val="24"/>
        </w:rPr>
        <w:t xml:space="preserve"> </w:t>
      </w:r>
      <w:r>
        <w:rPr>
          <w:rFonts w:ascii="Times New Roman" w:hAnsi="Times New Roman"/>
          <w:b w:val="0"/>
          <w:color w:val="000000"/>
          <w:sz w:val="24"/>
        </w:rPr>
        <w:t xml:space="preserve">Hub genes within the translation-related module were identified post hoc using the dual criteria of intramodular connectivity (|Module Membership| &gt; 0.80) and Gene Significance for disease phenotype (|Gene Significance| &gt; 0.20). Hub genes were ranked according to product |GS| × |MM|. No genes were prespecified or excluded based on biological expectations.</w:t>
      </w:r>
    </w:p>
    <w:p>
      <w:pPr>
        <w:pStyle w:val="BodyText"/>
        <w:spacing w:line="480" w:lineRule="auto"/>
      </w:pPr>
      <w:r>
        <w:rPr>
          <w:rFonts w:ascii="Times New Roman" w:hAnsi="Times New Roman"/>
          <w:b w:val="0"/>
          <w:bCs/>
          <w:color w:val="000000"/>
          <w:sz w:val="24"/>
        </w:rPr>
        <w:t xml:space="preserve">Module internal robustness assessment.</w:t>
      </w:r>
      <w:r>
        <w:rPr>
          <w:rFonts w:ascii="Times New Roman" w:hAnsi="Times New Roman"/>
          <w:b w:val="0"/>
          <w:color w:val="000000"/>
          <w:sz w:val="24"/>
        </w:rPr>
        <w:t xml:space="preserve"> </w:t>
      </w:r>
      <w:r>
        <w:rPr>
          <w:rFonts w:ascii="Times New Roman" w:hAnsi="Times New Roman"/>
          <w:b w:val="0"/>
          <w:color w:val="000000"/>
          <w:sz w:val="24"/>
        </w:rPr>
        <w:t xml:space="preserve">To verify that the green module represents a genuine internally robust co-expression structure rather than an artifact of the β = 17 soft-threshold parameter, intra-modular connectivity was assessed using the topological overlap matrix (TOM). The mean intra-modular TOM for the green module (227 genes) was compared against a null distribution from 10,000 random gene sets of equal size, yielding a</w:t>
      </w:r>
      <w:r>
        <w:rPr>
          <w:rFonts w:ascii="Times New Roman" w:hAnsi="Times New Roman"/>
          <w:b w:val="0"/>
          <w:color w:val="000000"/>
          <w:sz w:val="24"/>
        </w:rPr>
        <w:t xml:space="preserve"> </w:t>
      </w:r>
      <w:r>
        <w:rPr>
          <w:rFonts w:ascii="Times New Roman" w:hAnsi="Times New Roman"/>
          <w:b w:val="0"/>
          <w:i/>
          <w:iCs/>
          <w:color w:val="000000"/>
          <w:sz w:val="24"/>
        </w:rPr>
        <w:t xml:space="preserve">Z</w:t>
      </w:r>
      <w:r>
        <w:rPr>
          <w:rFonts w:ascii="Times New Roman" w:hAnsi="Times New Roman"/>
          <w:b w:val="0"/>
          <w:color w:val="000000"/>
          <w:sz w:val="24"/>
        </w:rPr>
        <w:t xml:space="preserve">-score and an empirical</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-value. Module stability was further evaluated using gene-level jackknife resampling (90% retention, 100 iterations) to assess the coefficient of variation (CV) of intra-modular connectivity. The cross-disease coherence of green module genes in the independent GSE141198 expression matrix was assessed against 1,000 random gene sets (Supplementary Fig. S4).</w:t>
      </w:r>
    </w:p>
    <w:bookmarkEnd w:id="12"/>
    <w:bookmarkStart w:id="13" w:name="ssgsea-pathway-activity-analysis"/>
    <w:p>
      <w:pPr>
        <w:pStyle w:val="Heading3"/>
        <w:spacing w:line="480" w:lineRule="auto"/>
      </w:pPr>
      <w:r>
        <w:rPr>
          <w:rFonts w:ascii="Times New Roman" w:hAnsi="Times New Roman"/>
          <w:b/>
          <w:color w:val="000000"/>
          <w:sz w:val="24"/>
        </w:rPr>
        <w:t xml:space="preserve">ssGSEA pathway activity analysis</w:t>
      </w:r>
    </w:p>
    <w:p>
      <w:pPr>
        <w:pStyle w:val="FirstParagraph"/>
        <w:spacing w:line="480" w:lineRule="auto"/>
      </w:pPr>
      <w:r>
        <w:rPr>
          <w:rFonts w:ascii="Times New Roman" w:hAnsi="Times New Roman"/>
          <w:b w:val="0"/>
          <w:color w:val="000000"/>
          <w:sz w:val="24"/>
        </w:rPr>
        <w:t xml:space="preserve">Gene set sources: msigdbr package (v26.1.0), including all 50 Hallmark gene sets (collection</w:t>
      </w:r>
      <w:r>
        <w:rPr>
          <w:rFonts w:ascii="Times New Roman" w:hAnsi="Times New Roman"/>
          <w:b w:val="0"/>
          <w:color w:val="000000"/>
          <w:sz w:val="24"/>
        </w:rPr>
        <w:t xml:space="preserve"> </w:t>
      </w:r>
      <w:r>
        <w:rPr>
          <w:rFonts w:ascii="Times New Roman" w:hAnsi="Times New Roman"/>
          <w:b w:val="0"/>
          <w:color w:val="000000"/>
          <w:sz w:val="24"/>
        </w:rPr>
        <w:t xml:space="preserve">“H”</w:t>
      </w:r>
      <w:r>
        <w:rPr>
          <w:rFonts w:ascii="Times New Roman" w:hAnsi="Times New Roman"/>
          <w:b w:val="0"/>
          <w:color w:val="000000"/>
          <w:sz w:val="24"/>
        </w:rPr>
        <w:t xml:space="preserve">), KEGG ribosome (CP:KEGG_MEDICUS, 1 set), and Reactome translation-related pathways (CP:REACTOME, keyword-filtered: TRANSLATION|PEPTIDE_CHAIN_ELONGATION|EUKARYOTIC_TRANSLATION|RIBOSOME|NONSENSE_MEDIATED|TRNA_AMINOACYLATION|RRNA_PROCESSING, 32 sets), yielding 83 input gene sets; two Hallmark sets were filtered by the ssGSEA minSize = 5 requirement (≥ 5 genes present in the expression matrix), leaving 81 pathways for cross-disease comparison.</w:t>
      </w:r>
    </w:p>
    <w:p>
      <w:pPr>
        <w:pStyle w:val="BodyText"/>
        <w:spacing w:line="480" w:lineRule="auto"/>
      </w:pPr>
      <w:r>
        <w:rPr>
          <w:rFonts w:ascii="Times New Roman" w:hAnsi="Times New Roman"/>
          <w:b w:val="0"/>
          <w:color w:val="000000"/>
          <w:sz w:val="24"/>
        </w:rPr>
        <w:t xml:space="preserve">ssGSEA scoring was performed using the GSVA package (v2.6.2): parameter objects were constructed via ssgseaParam (minSize = 5, maxSize = 500), and single-sample pathway activity scores were computed using the gsva function from the GSVA package[18], which implements the ssGSEA algorithm originally described by Barbie et al.[19] Disease-associated effect size for each pathway was calculated as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Cross-disease Spearman correlation of pathway effect sizes was evaluated. The statistical significance of the cross-disease correlation was assessed using a 10,000-iteration permutation test (random seed = 42), where the vector of HF pathway effect sizes was randomly shuffled in each iteration.</w:t>
      </w:r>
    </w:p>
    <w:bookmarkEnd w:id="13"/>
    <w:bookmarkStart w:id="14" w:name="X15bfed6e2e4f310076a23810346badac46b91f2"/>
    <w:p>
      <w:pPr>
        <w:pStyle w:val="Heading3"/>
        <w:spacing w:line="480" w:lineRule="auto"/>
      </w:pPr>
      <w:r>
        <w:rPr>
          <w:rFonts w:ascii="Times New Roman" w:hAnsi="Times New Roman"/>
          <w:b/>
          <w:color w:val="000000"/>
          <w:sz w:val="24"/>
        </w:rPr>
        <w:t xml:space="preserve">Translation-associated transcriptional score (TATS) and survival analysis</w:t>
      </w:r>
    </w:p>
    <w:p>
      <w:pPr>
        <w:pStyle w:val="FirstParagraph"/>
        <w:spacing w:line="480" w:lineRule="auto"/>
      </w:pPr>
      <w:r>
        <w:rPr>
          <w:rFonts w:ascii="Times New Roman" w:hAnsi="Times New Roman"/>
          <w:b w:val="0"/>
          <w:color w:val="000000"/>
          <w:sz w:val="24"/>
        </w:rPr>
        <w:t xml:space="preserve">The translation-associated transcriptional score (TATS) was defined as the mean of z-scores of VST-normalized expression values for the green module genes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227) identified in the HF WGCNA. TATS was evaluated as an exploratory measure of translation-related transcriptional activity, rather than as a validated prognostic signature. For GSE141198, the OS time and status were obtained from the</w:t>
      </w:r>
      <w:r>
        <w:rPr>
          <w:rFonts w:ascii="Times New Roman" w:hAnsi="Times New Roman"/>
          <w:b w:val="0"/>
          <w:color w:val="000000"/>
          <w:sz w:val="24"/>
        </w:rPr>
        <w:t xml:space="preserve"> </w:t>
      </w:r>
      <w:r>
        <w:rPr>
          <w:rFonts w:ascii="Times New Roman" w:hAnsi="Times New Roman"/>
          <w:b w:val="0"/>
          <w:color w:val="000000"/>
          <w:sz w:val="24"/>
        </w:rPr>
        <w:t xml:space="preserve">“os days:ch1”</w:t>
      </w:r>
      <w:r>
        <w:rPr>
          <w:rFonts w:ascii="Times New Roman" w:hAnsi="Times New Roman"/>
          <w:b w:val="0"/>
          <w:color w:val="000000"/>
          <w:sz w:val="24"/>
        </w:rPr>
        <w:t xml:space="preserve"> </w:t>
      </w:r>
      <w:r>
        <w:rPr>
          <w:rFonts w:ascii="Times New Roman" w:hAnsi="Times New Roman"/>
          <w:b w:val="0"/>
          <w:color w:val="000000"/>
          <w:sz w:val="24"/>
        </w:rPr>
        <w:t xml:space="preserve">and</w:t>
      </w:r>
      <w:r>
        <w:rPr>
          <w:rFonts w:ascii="Times New Roman" w:hAnsi="Times New Roman"/>
          <w:b w:val="0"/>
          <w:color w:val="000000"/>
          <w:sz w:val="24"/>
        </w:rPr>
        <w:t xml:space="preserve"> </w:t>
      </w:r>
      <w:r>
        <w:rPr>
          <w:rFonts w:ascii="Times New Roman" w:hAnsi="Times New Roman"/>
          <w:b w:val="0"/>
          <w:color w:val="000000"/>
          <w:sz w:val="24"/>
        </w:rPr>
        <w:t xml:space="preserve">“os status:ch1”</w:t>
      </w:r>
      <w:r>
        <w:rPr>
          <w:rFonts w:ascii="Times New Roman" w:hAnsi="Times New Roman"/>
          <w:b w:val="0"/>
          <w:color w:val="000000"/>
          <w:sz w:val="24"/>
        </w:rPr>
        <w:t xml:space="preserve"> </w:t>
      </w:r>
      <w:r>
        <w:rPr>
          <w:rFonts w:ascii="Times New Roman" w:hAnsi="Times New Roman"/>
          <w:b w:val="0"/>
          <w:color w:val="000000"/>
          <w:sz w:val="24"/>
        </w:rPr>
        <w:t xml:space="preserve">fields, respectively. For GSE14520 and GSE76427, the OS definitions followed the GEO record annotations. Patients were dichotomized into high/low TATS groups based on the median TATS. Kaplan–Meier survival curves were compared using the log-rank test. Cox proportional hazards regression was performed using the survival package, with TATS modeled as both a continuous variable (per-IQR increase) and a binary variable (median split). Multivariate Cox models were adjusted for etiology (HBV, HCV, NBNC) in cohort-specific subgroup analyses in which etiology data were available. The proportional hazards assumption was assessed using Schoenfeld residual tests.</w:t>
      </w:r>
    </w:p>
    <w:bookmarkEnd w:id="14"/>
    <w:bookmarkStart w:id="15" w:name="upstream-transcription-factor-analysis"/>
    <w:p>
      <w:pPr>
        <w:pStyle w:val="Heading3"/>
        <w:spacing w:line="480" w:lineRule="auto"/>
      </w:pPr>
      <w:r>
        <w:rPr>
          <w:rFonts w:ascii="Times New Roman" w:hAnsi="Times New Roman"/>
          <w:b/>
          <w:color w:val="000000"/>
          <w:sz w:val="24"/>
        </w:rPr>
        <w:t xml:space="preserve">Upstream transcription factor analysis</w:t>
      </w:r>
    </w:p>
    <w:p>
      <w:pPr>
        <w:pStyle w:val="FirstParagraph"/>
        <w:spacing w:line="480" w:lineRule="auto"/>
      </w:pPr>
      <w:r>
        <w:rPr>
          <w:rFonts w:ascii="Times New Roman" w:hAnsi="Times New Roman"/>
          <w:b w:val="0"/>
          <w:color w:val="000000"/>
          <w:sz w:val="24"/>
        </w:rPr>
        <w:t xml:space="preserve">Nineteen candidate TFs, including the MYC family (MYC, MYCN, MYCL), the E2F family (E2F1–E2F8), mTOR pathway components (MTOR, RPTOR), and stress-responsive TFs (ATF4, DDIT3, XBP1, HIF1A, NFE2L2, TP53), were selected based on the literature and MSigDB.</w:t>
      </w:r>
    </w:p>
    <w:p>
      <w:pPr>
        <w:pStyle w:val="BodyText"/>
        <w:spacing w:line="480" w:lineRule="auto"/>
      </w:pPr>
      <w:r>
        <w:rPr>
          <w:rFonts w:ascii="Times New Roman" w:hAnsi="Times New Roman"/>
          <w:b w:val="0"/>
          <w:color w:val="000000"/>
          <w:sz w:val="24"/>
        </w:rPr>
        <w:t xml:space="preserve">Spearman correlation coefficients were computed between the VST-normalized expression values of each TF and TATS across GSE141198 tumor samples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The Benjamini–Hochberg (BH) false discovery rate (FDR) correction was applied across all 19 tests.</w:t>
      </w:r>
    </w:p>
    <w:bookmarkEnd w:id="15"/>
    <w:bookmarkStart w:id="16" w:name="direction-consistency-testing"/>
    <w:p>
      <w:pPr>
        <w:pStyle w:val="Heading3"/>
        <w:spacing w:line="480" w:lineRule="auto"/>
      </w:pPr>
      <w:r>
        <w:rPr>
          <w:rFonts w:ascii="Times New Roman" w:hAnsi="Times New Roman"/>
          <w:b/>
          <w:color w:val="000000"/>
          <w:sz w:val="24"/>
        </w:rPr>
        <w:t xml:space="preserve">Direction consistency testing</w:t>
      </w:r>
    </w:p>
    <w:p>
      <w:pPr>
        <w:pStyle w:val="FirstParagraph"/>
        <w:spacing w:line="480" w:lineRule="auto"/>
      </w:pPr>
      <w:r>
        <w:rPr>
          <w:rFonts w:ascii="Times New Roman" w:hAnsi="Times New Roman"/>
          <w:b w:val="0"/>
          <w:color w:val="000000"/>
          <w:sz w:val="24"/>
        </w:rPr>
        <w:t xml:space="preserve">Cross-disease log</w:t>
      </w:r>
      <w:r>
        <w:rPr>
          <w:rFonts w:ascii="Times New Roman" w:hAnsi="Times New Roman"/>
          <w:b w:val="0"/>
          <w:color w:val="000000"/>
          <w:sz w:val="24"/>
          <w:vertAlign w:val="subscript"/>
        </w:rPr>
        <w:t xml:space="preserve">2</w:t>
      </w:r>
      <w:r>
        <w:rPr>
          <w:rFonts w:ascii="Times New Roman" w:hAnsi="Times New Roman"/>
          <w:b w:val="0"/>
          <w:color w:val="000000"/>
          <w:sz w:val="24"/>
        </w:rPr>
        <w:t xml:space="preserve"> </w:t>
      </w:r>
      <w:r>
        <w:rPr>
          <w:rFonts w:ascii="Times New Roman" w:hAnsi="Times New Roman"/>
          <w:b w:val="0"/>
          <w:color w:val="000000"/>
          <w:sz w:val="24"/>
        </w:rPr>
        <w:t xml:space="preserve">fold-change (log</w:t>
      </w:r>
      <w:r>
        <w:rPr>
          <w:rFonts w:ascii="Times New Roman" w:hAnsi="Times New Roman"/>
          <w:b w:val="0"/>
          <w:color w:val="000000"/>
          <w:sz w:val="24"/>
          <w:vertAlign w:val="subscript"/>
        </w:rPr>
        <w:t xml:space="preserve">2</w:t>
      </w:r>
      <w:r>
        <w:rPr>
          <w:rFonts w:ascii="Times New Roman" w:hAnsi="Times New Roman"/>
          <w:b w:val="0"/>
          <w:color w:val="000000"/>
          <w:sz w:val="24"/>
        </w:rPr>
        <w:t xml:space="preserve">FC) values for translation-related module genes were obtained from TCGA-LIHC (tumor vs. normal, DESeq2) and GSE57338 (HF vs. non-failing, limma). Spearman correlation of cross-disease log</w:t>
      </w:r>
      <w:r>
        <w:rPr>
          <w:rFonts w:ascii="Times New Roman" w:hAnsi="Times New Roman"/>
          <w:b w:val="0"/>
          <w:color w:val="000000"/>
          <w:sz w:val="24"/>
          <w:vertAlign w:val="subscript"/>
        </w:rPr>
        <w:t xml:space="preserve">2</w:t>
      </w:r>
      <w:r>
        <w:rPr>
          <w:rFonts w:ascii="Times New Roman" w:hAnsi="Times New Roman"/>
          <w:b w:val="0"/>
          <w:color w:val="000000"/>
          <w:sz w:val="24"/>
        </w:rPr>
        <w:t xml:space="preserve">FC was used to assess directional consistency (Supplementary Table S3). Significance was evaluated using a 10,000-iteration permutation test (random seed = 42): the HCC-side log</w:t>
      </w:r>
      <w:r>
        <w:rPr>
          <w:rFonts w:ascii="Times New Roman" w:hAnsi="Times New Roman"/>
          <w:b w:val="0"/>
          <w:color w:val="000000"/>
          <w:sz w:val="24"/>
          <w:vertAlign w:val="subscript"/>
        </w:rPr>
        <w:t xml:space="preserve">2</w:t>
      </w:r>
      <w:r>
        <w:rPr>
          <w:rFonts w:ascii="Times New Roman" w:hAnsi="Times New Roman"/>
          <w:b w:val="0"/>
          <w:color w:val="000000"/>
          <w:sz w:val="24"/>
        </w:rPr>
        <w:t xml:space="preserve">FC vector was randomly shuffled in each iteration, and the one-sided empirical</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-value was computed as the proportion of permuted Spearman ρ values exceeding the observed ρ.</w:t>
      </w:r>
    </w:p>
    <w:bookmarkEnd w:id="16"/>
    <w:bookmarkStart w:id="17" w:name="large-language-model-usage"/>
    <w:p>
      <w:pPr>
        <w:pStyle w:val="Heading3"/>
        <w:spacing w:line="480" w:lineRule="auto"/>
      </w:pPr>
      <w:r>
        <w:rPr>
          <w:rFonts w:ascii="Times New Roman" w:hAnsi="Times New Roman"/>
          <w:b/>
          <w:color w:val="000000"/>
          <w:sz w:val="24"/>
        </w:rPr>
        <w:t xml:space="preserve">Large language model usage</w:t>
      </w:r>
    </w:p>
    <w:p>
      <w:pPr>
        <w:pStyle w:val="FirstParagraph"/>
        <w:spacing w:line="480" w:lineRule="auto"/>
      </w:pPr>
      <w:r>
        <w:rPr>
          <w:rFonts w:ascii="Times New Roman" w:hAnsi="Times New Roman"/>
          <w:b w:val="0"/>
          <w:color w:val="000000"/>
          <w:sz w:val="24"/>
        </w:rPr>
        <w:t xml:space="preserve">Generative AI tools (GPT-4) were used for the English language editing and refinement of the manuscript text. No large language models or generative AI tools were used in this study’s design, execution, or analysis. All data analyses, statistical tests, and scientific conclusions were performed and verified by the authors, who assumed full responsibility for the content of this manuscript.</w:t>
      </w:r>
    </w:p>
    <w:bookmarkEnd w:id="17"/>
    <w:bookmarkStart w:id="18" w:name="statistical-analysis"/>
    <w:p>
      <w:pPr>
        <w:pStyle w:val="Heading3"/>
        <w:spacing w:line="480" w:lineRule="auto"/>
      </w:pPr>
      <w:r>
        <w:rPr>
          <w:rFonts w:ascii="Times New Roman" w:hAnsi="Times New Roman"/>
          <w:b/>
          <w:color w:val="000000"/>
          <w:sz w:val="24"/>
        </w:rPr>
        <w:t xml:space="preserve">Statistical analysis</w:t>
      </w:r>
    </w:p>
    <w:p>
      <w:pPr>
        <w:pStyle w:val="FirstParagraph"/>
        <w:spacing w:line="480" w:lineRule="auto"/>
      </w:pPr>
      <w:r>
        <w:rPr>
          <w:rFonts w:ascii="Times New Roman" w:hAnsi="Times New Roman"/>
          <w:b w:val="0"/>
          <w:color w:val="000000"/>
          <w:sz w:val="24"/>
        </w:rPr>
        <w:t xml:space="preserve">All analyses were conducted in R version 4.6.0 (2026-04-24 ucrt). The following R packages were used: WGCNA (v1.74), DESeq2 (v1.52.0), GSVA (v2.6.2), msigdbr (v26.1.0), clusterProfiler (v4.20.0), survival (v3.8-6), survminer (v0.5.2), limma (v3.68.4), org.Hs.eg.db (v3.23.1), hugene11sttranscriptcluster.db (v8.8.0), TCGAbiolinks (v2.40.0) and dynamicTreeCut (v1.63-1). The complete session information record is available in the GitHub repository. The statistical significance threshold was set at two-sided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0.05. BH FDR correction was applied for multiple testing (GO enrichment, TF–TATS correlations). Permutation tests were performed for 10,000 iterations with a fixed random seed (set.seed(42)) to ensure reproducibility. Bootstrap 95% confidence intervals for Spearman correlation coefficients were computed using the percentile method with 10,000 resamples (set.seed(42)). Missing data were not imputed (missing rate &lt; 5% in all datasets).</w:t>
      </w:r>
    </w:p>
    <w:bookmarkEnd w:id="18"/>
    <w:bookmarkStart w:id="19" w:name="Xc732e56844d6638cb1df5ac23b57142ab1c1c29"/>
    <w:p>
      <w:pPr>
        <w:pStyle w:val="Heading3"/>
        <w:spacing w:line="480" w:lineRule="auto"/>
      </w:pPr>
      <w:r>
        <w:rPr>
          <w:rFonts w:ascii="Times New Roman" w:hAnsi="Times New Roman"/>
          <w:b/>
          <w:color w:val="000000"/>
          <w:sz w:val="24"/>
        </w:rPr>
        <w:t xml:space="preserve">Robustness assessment across independent heart failure cohorts</w:t>
      </w:r>
    </w:p>
    <w:p>
      <w:pPr>
        <w:pStyle w:val="FirstParagraph"/>
        <w:spacing w:line="480" w:lineRule="auto"/>
      </w:pPr>
      <w:r>
        <w:rPr>
          <w:rFonts w:ascii="Times New Roman" w:hAnsi="Times New Roman"/>
          <w:b w:val="0"/>
          <w:color w:val="000000"/>
          <w:sz w:val="24"/>
        </w:rPr>
        <w:t xml:space="preserve">To assess the cross-cohort robustness of the mirror perturbation, an independent HF cohort (GSE116250;</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64: 14 non-failing donors, 37 dilated cardiomyopathy, and 13 ischemic cardiomyopathy) was analyzed using the identical ssGSEA pipeline. RNA-seq RPKM values were log</w:t>
      </w:r>
      <w:r>
        <w:rPr>
          <w:rFonts w:ascii="Times New Roman" w:hAnsi="Times New Roman"/>
          <w:b w:val="0"/>
          <w:color w:val="000000"/>
          <w:sz w:val="24"/>
          <w:vertAlign w:val="subscript"/>
        </w:rPr>
        <w:t xml:space="preserve">2</w:t>
      </w:r>
      <w:r>
        <w:rPr>
          <w:rFonts w:ascii="Times New Roman" w:hAnsi="Times New Roman"/>
          <w:b w:val="0"/>
          <w:color w:val="000000"/>
          <w:sz w:val="24"/>
        </w:rPr>
        <w:t xml:space="preserve">-transformed, and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effect sizes were computed for the 33 translation-related pathways (DCM + ICM vs. NF). The cross-disease effect size correlation (Spearman ρ) and sign concordance (mirror pathway overlap) between GSE116250 and TCGA-LIHC were compared with the original GSE57338–TCGA-LIHC comparison.</w:t>
      </w:r>
    </w:p>
    <w:bookmarkEnd w:id="19"/>
    <w:bookmarkStart w:id="20" w:name="same-organ-disease-controls"/>
    <w:p>
      <w:pPr>
        <w:pStyle w:val="Heading3"/>
        <w:spacing w:line="480" w:lineRule="auto"/>
      </w:pPr>
      <w:r>
        <w:rPr>
          <w:rFonts w:ascii="Times New Roman" w:hAnsi="Times New Roman"/>
          <w:b/>
          <w:color w:val="000000"/>
          <w:sz w:val="24"/>
        </w:rPr>
        <w:t xml:space="preserve">Same-organ disease controls</w:t>
      </w:r>
    </w:p>
    <w:p>
      <w:pPr>
        <w:pStyle w:val="FirstParagraph"/>
        <w:spacing w:line="480" w:lineRule="auto"/>
      </w:pPr>
      <w:r>
        <w:rPr>
          <w:rFonts w:ascii="Times New Roman" w:hAnsi="Times New Roman"/>
          <w:b w:val="0"/>
          <w:color w:val="000000"/>
          <w:sz w:val="24"/>
        </w:rPr>
        <w:t xml:space="preserve">To distinguish disease-specific mirror perturbation from constitutive tissue-specific differences, two same-organ disease comparisons were performed: (i) hypertrophic cardiomyopathy (HCM) vs. non-failing myocardium (GSE141910;</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28 HCM,</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166 NF), as a cardiac disease comparison; and (ii) cirrhosis vs. normal liver (GSE89377;</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12 cirrhosis,</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13 normal), as a liver disease comparison. The identical ssGSEA pipeline was applied, and cross-disease effect size correlations with TCGA-LIHC were computed for each. A null or non-negative correlation in same-organ comparisons, in contrast with the negative correlation in the HF–HCC comparison, would support disease-context dependence rather than organ-specific baseline confounding.</w:t>
      </w:r>
    </w:p>
    <w:bookmarkEnd w:id="20"/>
    <w:bookmarkEnd w:id="21"/>
    <w:bookmarkStart w:id="27" w:name="results"/>
    <w:p>
      <w:pPr>
        <w:pStyle w:val="Heading2"/>
        <w:spacing w:line="480" w:lineRule="auto"/>
      </w:pPr>
      <w:r>
        <w:rPr>
          <w:rFonts w:ascii="Times New Roman" w:hAnsi="Times New Roman"/>
          <w:b/>
          <w:color w:val="000000"/>
          <w:sz w:val="24"/>
        </w:rPr>
        <w:t xml:space="preserve">3. Results</w:t>
      </w:r>
    </w:p>
    <w:bookmarkStart w:id="22" w:name="X29130612508969c7e43315de124d00ce5662986"/>
    <w:p>
      <w:pPr>
        <w:pStyle w:val="Heading3"/>
        <w:spacing w:line="480" w:lineRule="auto"/>
      </w:pPr>
      <w:r>
        <w:rPr>
          <w:rFonts w:ascii="Times New Roman" w:hAnsi="Times New Roman"/>
          <w:b/>
          <w:color w:val="000000"/>
          <w:sz w:val="24"/>
        </w:rPr>
        <w:t xml:space="preserve">Disease-specific network remodeling identifies translation-related transcriptional programs</w:t>
      </w:r>
    </w:p>
    <w:p>
      <w:pPr>
        <w:pStyle w:val="FirstParagraph"/>
        <w:spacing w:line="480" w:lineRule="auto"/>
      </w:pPr>
      <w:r>
        <w:rPr>
          <w:rFonts w:ascii="Times New Roman" w:hAnsi="Times New Roman"/>
          <w:b w:val="0"/>
          <w:color w:val="000000"/>
          <w:sz w:val="24"/>
        </w:rPr>
        <w:t xml:space="preserve">To identify translation-related co-expression modules without imposing predefined gene selection criteria, we performed signed WGCNA on HF left ventricular myocardium (GSE57338,</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using the top 6,000 most variable genes (β = 17, signed scale-free R² = 0.865; Supplementary Fig. S3b). Eleven co-expression modules were identified. The translation-related module was systematically identified by a composite translation-enrichment score integrating GO term count and significance (see Methods) rather than by manual designation.</w:t>
      </w:r>
    </w:p>
    <w:p>
      <w:pPr>
        <w:pStyle w:val="BodyText"/>
        <w:spacing w:line="480" w:lineRule="auto"/>
      </w:pPr>
      <w:r>
        <w:rPr>
          <w:rFonts w:ascii="Times New Roman" w:hAnsi="Times New Roman"/>
          <w:b w:val="0"/>
          <w:color w:val="000000"/>
          <w:sz w:val="24"/>
        </w:rPr>
        <w:t xml:space="preserve">The</w:t>
      </w:r>
      <w:r>
        <w:rPr>
          <w:rFonts w:ascii="Times New Roman" w:hAnsi="Times New Roman"/>
          <w:b w:val="0"/>
          <w:color w:val="000000"/>
          <w:sz w:val="24"/>
        </w:rPr>
        <w:t xml:space="preserve"> </w:t>
      </w:r>
      <w:r>
        <w:rPr>
          <w:rFonts w:ascii="Times New Roman" w:hAnsi="Times New Roman"/>
          <w:b w:val="0"/>
          <w:bCs/>
          <w:color w:val="000000"/>
          <w:sz w:val="24"/>
        </w:rPr>
        <w:t xml:space="preserve">green module</w:t>
      </w:r>
      <w:r>
        <w:rPr>
          <w:rFonts w:ascii="Times New Roman" w:hAnsi="Times New Roman"/>
          <w:b w:val="0"/>
          <w:color w:val="000000"/>
          <w:sz w:val="24"/>
        </w:rPr>
        <w:t xml:space="preserve"> </w:t>
      </w:r>
      <w:r>
        <w:rPr>
          <w:rFonts w:ascii="Times New Roman" w:hAnsi="Times New Roman"/>
          <w:b w:val="0"/>
          <w:color w:val="000000"/>
          <w:sz w:val="24"/>
        </w:rPr>
        <w:t xml:space="preserve">(227 genes) was identified as enriched for translation-associated biological processes (translation-enrichment score = 695.1). GO enrichment confirmed highly significant association with ribosome biogenesis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2.3 × 10⁻¹³; fold enrichment = 9.6) and related processes (small/large subunit biogenesis, rRNA processing/metabolism; Supplementary Table S5). The green module eigengene showed a significant negative correlation with HF status (</w:t>
      </w:r>
      <w:r>
        <w:rPr>
          <w:rFonts w:ascii="Times New Roman" w:hAnsi="Times New Roman"/>
          <w:b w:val="0"/>
          <w:bCs/>
          <w:color w:val="000000"/>
          <w:sz w:val="24"/>
        </w:rPr>
        <w:t xml:space="preserve">r = −0.521,</w:t>
      </w:r>
      <w:r>
        <w:rPr>
          <w:rFonts w:ascii="Times New Roman" w:hAnsi="Times New Roman"/>
          <w:b w:val="0"/>
          <w:bCs/>
          <w:color w:val="000000"/>
          <w:sz w:val="24"/>
        </w:rPr>
        <w:t xml:space="preserve"> </w:t>
      </w:r>
      <w:r>
        <w:rPr>
          <w:rFonts w:ascii="Times New Roman" w:hAnsi="Times New Roman"/>
          <w:b w:val="0"/>
          <w:bCs/>
          <w:i/>
          <w:iCs/>
          <w:color w:val="000000"/>
          <w:sz w:val="24"/>
        </w:rPr>
        <w:t xml:space="preserve">P</w:t>
      </w:r>
      <w:r>
        <w:rPr>
          <w:rFonts w:ascii="Times New Roman" w:hAnsi="Times New Roman"/>
          <w:b w:val="0"/>
          <w:bCs/>
          <w:color w:val="000000"/>
          <w:sz w:val="24"/>
        </w:rPr>
        <w:t xml:space="preserve"> </w:t>
      </w:r>
      <w:r>
        <w:rPr>
          <w:rFonts w:ascii="Times New Roman" w:hAnsi="Times New Roman"/>
          <w:b w:val="0"/>
          <w:bCs/>
          <w:color w:val="000000"/>
          <w:sz w:val="24"/>
        </w:rPr>
        <w:t xml:space="preserve">= 3.6 × 10⁻²³</w:t>
      </w:r>
      <w:r>
        <w:rPr>
          <w:rFonts w:ascii="Times New Roman" w:hAnsi="Times New Roman"/>
          <w:b w:val="0"/>
          <w:color w:val="000000"/>
          <w:sz w:val="24"/>
        </w:rPr>
        <w:t xml:space="preserve">), indicating reduced expression of this translation-related program in the failing myocardium. Translational machinery genes were distributed across multiple modules (Supplementary Table S5), indicating that they participated in several distinct co-expression contexts rather than being concentrated in a single module.</w:t>
      </w:r>
    </w:p>
    <w:p>
      <w:pPr>
        <w:pStyle w:val="BodyText"/>
        <w:spacing w:line="480" w:lineRule="auto"/>
      </w:pPr>
      <w:r>
        <w:rPr>
          <w:rFonts w:ascii="Times New Roman" w:hAnsi="Times New Roman"/>
          <w:b w:val="0"/>
          <w:color w:val="000000"/>
          <w:sz w:val="24"/>
        </w:rPr>
        <w:t xml:space="preserve">Hub genes were defined post hoc using the dual criteria of |Gene Significance| &gt; 0.2 and |Module Membership| &gt; 0.8 within the green module (Supplementary Fig. S1). The top ten hub genes ranked by the product of |GS| × |MM| are listed in Supplementary Table S1, including transcriptional regulators and RNA-processing factors rather than canonical ribosome components, and may coordinate ribosome biogenesis gene expression. Notably, none of the seven previously reported canonical hub genes (</w:t>
      </w:r>
      <w:r>
        <w:rPr>
          <w:rFonts w:ascii="Times New Roman" w:hAnsi="Times New Roman"/>
          <w:b w:val="0"/>
          <w:i/>
          <w:iCs/>
          <w:color w:val="000000"/>
          <w:sz w:val="24"/>
        </w:rPr>
        <w:t xml:space="preserve">EEF1A1</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FAU</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RPL39</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RPL3</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RPL32</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RPL41</w:t>
      </w:r>
      <w:r>
        <w:rPr>
          <w:rFonts w:ascii="Times New Roman" w:hAnsi="Times New Roman"/>
          <w:b w:val="0"/>
          <w:color w:val="000000"/>
          <w:sz w:val="24"/>
        </w:rPr>
        <w:t xml:space="preserve">,</w:t>
      </w:r>
      <w:r>
        <w:rPr>
          <w:rFonts w:ascii="Times New Roman" w:hAnsi="Times New Roman"/>
          <w:b w:val="0"/>
          <w:color w:val="000000"/>
          <w:sz w:val="24"/>
        </w:rPr>
        <w:t xml:space="preserve"> </w:t>
      </w:r>
      <w:r>
        <w:rPr>
          <w:rFonts w:ascii="Times New Roman" w:hAnsi="Times New Roman"/>
          <w:b w:val="0"/>
          <w:i/>
          <w:iCs/>
          <w:color w:val="000000"/>
          <w:sz w:val="24"/>
        </w:rPr>
        <w:t xml:space="preserve">RPS28</w:t>
      </w:r>
      <w:r>
        <w:rPr>
          <w:rFonts w:ascii="Times New Roman" w:hAnsi="Times New Roman"/>
          <w:b w:val="0"/>
          <w:color w:val="000000"/>
          <w:sz w:val="24"/>
        </w:rPr>
        <w:t xml:space="preserve">) met these dual criteria, indicating that the previously reported hub set does not represent the hub structure of the systematically identified translation-related module.</w:t>
      </w:r>
    </w:p>
    <w:p>
      <w:pPr>
        <w:pStyle w:val="BodyText"/>
        <w:spacing w:line="480" w:lineRule="auto"/>
      </w:pPr>
      <w:r>
        <w:rPr>
          <w:rFonts w:ascii="Times New Roman" w:hAnsi="Times New Roman"/>
          <w:b w:val="0"/>
          <w:color w:val="000000"/>
          <w:sz w:val="24"/>
        </w:rPr>
        <w:t xml:space="preserve">To determine whether a translation-related module also exists in HCC, we examined the independently constructed HCC WGCNA (GSE141198,</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β = 4, R² = 0.84). The GSE141198 blue module (1,315 genes) showed</w:t>
      </w:r>
      <w:r>
        <w:rPr>
          <w:rFonts w:ascii="Times New Roman" w:hAnsi="Times New Roman"/>
          <w:b w:val="0"/>
          <w:color w:val="000000"/>
          <w:sz w:val="24"/>
        </w:rPr>
        <w:t xml:space="preserve"> </w:t>
      </w:r>
      <w:r>
        <w:rPr>
          <w:rFonts w:ascii="Times New Roman" w:hAnsi="Times New Roman"/>
          <w:b w:val="0"/>
          <w:color w:val="000000"/>
          <w:sz w:val="24"/>
        </w:rPr>
        <w:t xml:space="preserve">“cytoplasmic translation”</w:t>
      </w:r>
      <w:r>
        <w:rPr>
          <w:rFonts w:ascii="Times New Roman" w:hAnsi="Times New Roman"/>
          <w:b w:val="0"/>
          <w:color w:val="000000"/>
          <w:sz w:val="24"/>
        </w:rPr>
        <w:t xml:space="preserve"> </w:t>
      </w:r>
      <w:r>
        <w:rPr>
          <w:rFonts w:ascii="Times New Roman" w:hAnsi="Times New Roman"/>
          <w:b w:val="0"/>
          <w:color w:val="000000"/>
          <w:sz w:val="24"/>
        </w:rPr>
        <w:t xml:space="preserve">as the most significantly enriched GO term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6.3 × 10⁻¹²), consistent with the presence of a translation-related transcriptional program in HCC. However, the network topology differed substantially: the HF translation-related program was concentrated in a compact module (green, 227 genes enriched for ribosome biogenesis), whereas the corresponding HCC program was distributed across a larger module (blue, 1,315 genes, enriched for cytoplasmic translation). Cross-disease gene-level overlap was limited; 62 of 227 HF green module genes were present in the HCC WGCNA input, with only modest enrichment for the HCC blue module (Fisher’s exact test,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This limited gene-level overlap suggests that translation-related programs may involve disease-context-dependent network configurations at the gene-module level rather than a universally conserved co-expression module.</w:t>
      </w:r>
    </w:p>
    <w:p>
      <w:pPr>
        <w:pStyle w:val="BodyText"/>
        <w:spacing w:line="480" w:lineRule="auto"/>
      </w:pPr>
      <w:r>
        <w:rPr>
          <w:rFonts w:ascii="Times New Roman" w:hAnsi="Times New Roman"/>
          <w:b w:val="0"/>
          <w:color w:val="000000"/>
          <w:sz w:val="24"/>
        </w:rPr>
        <w:t xml:space="preserve">Taken together, translation-related transcriptional programs are identifiable in both diseases, but their gene-module organization — module size, gene composition, and hub gene identity — was disease-specific, consistent with disease-context-dependent network organization (Fig. 1) rather than conservation of a single co-expression module. Module internal robustness analysis confirmed that the green module was a genuine co-expression structure (intra-modular TOM</w:t>
      </w:r>
      <w:r>
        <w:rPr>
          <w:rFonts w:ascii="Times New Roman" w:hAnsi="Times New Roman"/>
          <w:b w:val="0"/>
          <w:color w:val="000000"/>
          <w:sz w:val="24"/>
        </w:rPr>
        <w:t xml:space="preserve"> </w:t>
      </w:r>
      <w:r>
        <w:rPr>
          <w:rFonts w:ascii="Times New Roman" w:hAnsi="Times New Roman"/>
          <w:b w:val="0"/>
          <w:i/>
          <w:iCs/>
          <w:color w:val="000000"/>
          <w:sz w:val="24"/>
        </w:rPr>
        <w:t xml:space="preserve">Z</w:t>
      </w:r>
      <w:r>
        <w:rPr>
          <w:rFonts w:ascii="Times New Roman" w:hAnsi="Times New Roman"/>
          <w:b w:val="0"/>
          <w:color w:val="000000"/>
          <w:sz w:val="24"/>
        </w:rPr>
        <w:t xml:space="preserve"> </w:t>
      </w:r>
      <w:r>
        <w:rPr>
          <w:rFonts w:ascii="Times New Roman" w:hAnsi="Times New Roman"/>
          <w:b w:val="0"/>
          <w:color w:val="000000"/>
          <w:sz w:val="24"/>
        </w:rPr>
        <w:t xml:space="preserve">= 62.8, permutation</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jackknife CV = 1.6%; Supplementary Fig. S4), rather than an artifact of the β = 17 soft-threshold parameter.</w:t>
      </w:r>
    </w:p>
    <w:bookmarkEnd w:id="22"/>
    <w:bookmarkStart w:id="23" w:name="X0bb7cd2088651e3c7dc8f36f72b41334090cbe7"/>
    <w:p>
      <w:pPr>
        <w:pStyle w:val="Heading3"/>
        <w:spacing w:line="480" w:lineRule="auto"/>
      </w:pPr>
      <w:r>
        <w:rPr>
          <w:rFonts w:ascii="Times New Roman" w:hAnsi="Times New Roman"/>
          <w:b/>
          <w:color w:val="000000"/>
          <w:sz w:val="24"/>
        </w:rPr>
        <w:t xml:space="preserve">Opposite pathway-level perturbation of translation-related programs between HF and HCC</w:t>
      </w:r>
    </w:p>
    <w:p>
      <w:pPr>
        <w:pStyle w:val="FirstParagraph"/>
        <w:spacing w:line="480" w:lineRule="auto"/>
      </w:pPr>
      <w:r>
        <w:rPr>
          <w:rFonts w:ascii="Times New Roman" w:hAnsi="Times New Roman"/>
          <w:b w:val="0"/>
          <w:color w:val="000000"/>
          <w:sz w:val="24"/>
        </w:rPr>
        <w:t xml:space="preserve">To determine whether, despite network-level divergence, the two diseases exhibit convergent changes at the pathway level, we performed ssGSEA pathway enrichment scoring in parallel across 81 pathways (48 Hallmark + 1 KEGG ribosome + 32 Reactome translation-related pathways) in TCGA-LIHC (371 tumor vs. 50 normal) and GSE57338 (HF vs. non-failing), computing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effect sizes for each pathway.</w:t>
      </w:r>
    </w:p>
    <w:p>
      <w:pPr>
        <w:pStyle w:val="BodyText"/>
        <w:spacing w:line="480" w:lineRule="auto"/>
      </w:pPr>
      <w:r>
        <w:rPr>
          <w:rFonts w:ascii="Times New Roman" w:hAnsi="Times New Roman"/>
          <w:b w:val="0"/>
          <w:color w:val="000000"/>
          <w:sz w:val="24"/>
        </w:rPr>
        <w:t xml:space="preserve">The Spearman correlation coefficient of effect sizes across all 81 pathways between the two diseases was ρ = −0.290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0.0089). However, when the analysis was restricted to the 33 translation/ribosome-related pathways, the negative correlation in the effect sizes increased to</w:t>
      </w:r>
      <w:r>
        <w:rPr>
          <w:rFonts w:ascii="Times New Roman" w:hAnsi="Times New Roman"/>
          <w:b w:val="0"/>
          <w:color w:val="000000"/>
          <w:sz w:val="24"/>
        </w:rPr>
        <w:t xml:space="preserve"> </w:t>
      </w:r>
      <w:r>
        <w:rPr>
          <w:rFonts w:ascii="Times New Roman" w:hAnsi="Times New Roman"/>
          <w:b w:val="0"/>
          <w:bCs/>
          <w:color w:val="000000"/>
          <w:sz w:val="24"/>
        </w:rPr>
        <w:t xml:space="preserve">ρ = −0.598 (</w:t>
      </w:r>
      <w:r>
        <w:rPr>
          <w:rFonts w:ascii="Times New Roman" w:hAnsi="Times New Roman"/>
          <w:b w:val="0"/>
          <w:bCs/>
          <w:i/>
          <w:iCs/>
          <w:color w:val="000000"/>
          <w:sz w:val="24"/>
        </w:rPr>
        <w:t xml:space="preserve">P</w:t>
      </w:r>
      <w:r>
        <w:rPr>
          <w:rFonts w:ascii="Times New Roman" w:hAnsi="Times New Roman"/>
          <w:b w:val="0"/>
          <w:bCs/>
          <w:color w:val="000000"/>
          <w:sz w:val="24"/>
        </w:rPr>
        <w:t xml:space="preserve"> </w:t>
      </w:r>
      <w:r>
        <w:rPr>
          <w:rFonts w:ascii="Times New Roman" w:hAnsi="Times New Roman"/>
          <w:b w:val="0"/>
          <w:bCs/>
          <w:color w:val="000000"/>
          <w:sz w:val="24"/>
        </w:rPr>
        <w:t xml:space="preserve">= 0.0003; bootstrap 95% CI [−0.756, −0.340])</w:t>
      </w:r>
      <w:r>
        <w:rPr>
          <w:rFonts w:ascii="Times New Roman" w:hAnsi="Times New Roman"/>
          <w:b w:val="0"/>
          <w:color w:val="000000"/>
          <w:sz w:val="24"/>
        </w:rPr>
        <w:t xml:space="preserve">. A 10,000-iteration permutation test supported this result (permutation</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0.0079; Fig. 2). The complete effect size data for all 81 pathways are provided in Supplementary Table S2.</w:t>
      </w:r>
    </w:p>
    <w:p>
      <w:pPr>
        <w:pStyle w:val="BodyText"/>
        <w:spacing w:line="480" w:lineRule="auto"/>
      </w:pPr>
      <w:r>
        <w:rPr>
          <w:rFonts w:ascii="Times New Roman" w:hAnsi="Times New Roman"/>
          <w:b w:val="0"/>
          <w:color w:val="000000"/>
          <w:sz w:val="24"/>
        </w:rPr>
        <w:t xml:space="preserve">Detailed examination of the translation pathway effect sizes showed a consistent pattern: all 33 translation-related pathways showed positive effect sizes in HCC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&gt; 0, higher expression in tumor vs. normal tissue), whereas the vast majority showed negative effect sizes in HF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&lt; 0, lower expression in failing vs. non-failing myocardium). Among the 33 translation-related pathways, 24 exhibited an HCC-positive/HF-negative paired pattern, representing a predominant mirror-direction pattern (binomial test,</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Supplementary Table S4). The remaining nine pathways were enriched for mitochondrial translation or miRNA-mediated translational regulation, rather than canonical cytoplasmic translation pathways (Supplementary Table S2). Proliferation-associated pathways (E2F Targets, G2M Checkpoint, and MYC Targets V1) exhibited the largest positive effect sizes in HCC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 +1.83 to +2.35). The most upregulated pathways in HF were Bile Acid Metabolism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 +0.79) and Interferon Alpha Response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 +0.67), both of which were far smaller in magnitude than the HCC proliferation pathways.</w:t>
      </w:r>
    </w:p>
    <w:p>
      <w:pPr>
        <w:pStyle w:val="BodyText"/>
        <w:spacing w:line="480" w:lineRule="auto"/>
      </w:pPr>
      <w:r>
        <w:rPr>
          <w:rFonts w:ascii="Times New Roman" w:hAnsi="Times New Roman"/>
          <w:b w:val="0"/>
          <w:color w:val="000000"/>
          <w:sz w:val="24"/>
        </w:rPr>
        <w:t xml:space="preserve">This pathway-level mirror perturbation — 24 of 33 translation pathways showing opposite-direction changes in HCC and HF — represents the strongest quantitative signal in this study (ρ = −0.598, permutation</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0.0079), emerging despite substantial network-level divergence between the translation-related modules of the two diseases. The contrast between distinct network organization and convergent pathway-level alterations illustrates a key principle: co-expression network topology captures disease-specific regulatory configurations, whereas aggregated pathway activity identifies shared functional themes that transcend these configurational differences.</w:t>
      </w:r>
    </w:p>
    <w:bookmarkEnd w:id="23"/>
    <w:bookmarkStart w:id="24" w:name="X1e10413deeb6a2eb59b6a363e72c13b0cd5b8b4"/>
    <w:p>
      <w:pPr>
        <w:pStyle w:val="Heading3"/>
        <w:spacing w:line="480" w:lineRule="auto"/>
      </w:pPr>
      <w:r>
        <w:rPr>
          <w:rFonts w:ascii="Times New Roman" w:hAnsi="Times New Roman"/>
          <w:b/>
          <w:color w:val="000000"/>
          <w:sz w:val="24"/>
        </w:rPr>
        <w:t xml:space="preserve">Disease and cohort context influence the magnitude of translation-related remodeling</w:t>
      </w:r>
    </w:p>
    <w:p>
      <w:pPr>
        <w:pStyle w:val="FirstParagraph"/>
        <w:spacing w:line="480" w:lineRule="auto"/>
      </w:pPr>
      <w:r>
        <w:rPr>
          <w:rFonts w:ascii="Times New Roman" w:hAnsi="Times New Roman"/>
          <w:b w:val="0"/>
          <w:color w:val="000000"/>
          <w:sz w:val="24"/>
        </w:rPr>
        <w:t xml:space="preserve">The mirror perturbation observed in the GSE57338–TCGA-LIHC comparison (24/33 mirror pathways, ρ = −0.598) raises the question of whether this pattern is reproducible across independent cohorts. To assess cross-cohort generalizability, the identical ssGSEA pipeline was applied to an independent HF cohort (GSE116250).</w:t>
      </w:r>
    </w:p>
    <w:p>
      <w:pPr>
        <w:pStyle w:val="BodyText"/>
        <w:spacing w:line="480" w:lineRule="auto"/>
      </w:pPr>
      <w:r>
        <w:rPr>
          <w:rFonts w:ascii="Times New Roman" w:hAnsi="Times New Roman"/>
          <w:b w:val="0"/>
          <w:color w:val="000000"/>
          <w:sz w:val="24"/>
        </w:rPr>
        <w:t xml:space="preserve">The all-pathway Spearman correlation between GSE116250 HF and TCGA-LIHC HCC effect sizes remained negative (ρ = −0.283,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0.011), preserving the overall cross-disease trend. However, the translation pathway subset did not reproduce the magnitude of the mirror perturbation observed in GSE57338 (ρ = +0.249,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0.162; 14/33 vs. 24/33 mirror pathways). This discrepancy may reflect (i)</w:t>
      </w:r>
      <w:r>
        <w:rPr>
          <w:rFonts w:ascii="Times New Roman" w:hAnsi="Times New Roman"/>
          <w:b w:val="0"/>
          <w:color w:val="000000"/>
          <w:sz w:val="24"/>
        </w:rPr>
        <w:t xml:space="preserve"> </w:t>
      </w:r>
      <w:r>
        <w:rPr>
          <w:rFonts w:ascii="Times New Roman" w:hAnsi="Times New Roman"/>
          <w:b w:val="0"/>
          <w:bCs/>
          <w:color w:val="000000"/>
          <w:sz w:val="24"/>
        </w:rPr>
        <w:t xml:space="preserve">disease etiology and severity</w:t>
      </w:r>
      <w:r>
        <w:rPr>
          <w:rFonts w:ascii="Times New Roman" w:hAnsi="Times New Roman"/>
          <w:b w:val="0"/>
          <w:color w:val="000000"/>
          <w:sz w:val="24"/>
        </w:rPr>
        <w:t xml:space="preserve">: GSE57338 comprises transplant-stage HF patients (DCM/ICM) with severe energetic failure, whereas GSE116250 spans a broader, less severe spectrum; (ii)</w:t>
      </w:r>
      <w:r>
        <w:rPr>
          <w:rFonts w:ascii="Times New Roman" w:hAnsi="Times New Roman"/>
          <w:b w:val="0"/>
          <w:color w:val="000000"/>
          <w:sz w:val="24"/>
        </w:rPr>
        <w:t xml:space="preserve"> </w:t>
      </w:r>
      <w:r>
        <w:rPr>
          <w:rFonts w:ascii="Times New Roman" w:hAnsi="Times New Roman"/>
          <w:b w:val="0"/>
          <w:bCs/>
          <w:color w:val="000000"/>
          <w:sz w:val="24"/>
        </w:rPr>
        <w:t xml:space="preserve">platform</w:t>
      </w:r>
      <w:r>
        <w:rPr>
          <w:rFonts w:ascii="Times New Roman" w:hAnsi="Times New Roman"/>
          <w:b w:val="0"/>
          <w:color w:val="000000"/>
          <w:sz w:val="24"/>
        </w:rPr>
        <w:t xml:space="preserve"> </w:t>
      </w:r>
      <w:r>
        <w:rPr>
          <w:rFonts w:ascii="Times New Roman" w:hAnsi="Times New Roman"/>
          <w:b w:val="0"/>
          <w:color w:val="000000"/>
          <w:sz w:val="24"/>
        </w:rPr>
        <w:t xml:space="preserve">— microarray vs. RNA-seq RPKM may differentially affect pathway-level signal resolution; and (iii)</w:t>
      </w:r>
      <w:r>
        <w:rPr>
          <w:rFonts w:ascii="Times New Roman" w:hAnsi="Times New Roman"/>
          <w:b w:val="0"/>
          <w:color w:val="000000"/>
          <w:sz w:val="24"/>
        </w:rPr>
        <w:t xml:space="preserve"> </w:t>
      </w:r>
      <w:r>
        <w:rPr>
          <w:rFonts w:ascii="Times New Roman" w:hAnsi="Times New Roman"/>
          <w:b w:val="0"/>
          <w:bCs/>
          <w:color w:val="000000"/>
          <w:sz w:val="24"/>
        </w:rPr>
        <w:t xml:space="preserve">statistical power</w:t>
      </w:r>
      <w:r>
        <w:rPr>
          <w:rFonts w:ascii="Times New Roman" w:hAnsi="Times New Roman"/>
          <w:b w:val="0"/>
          <w:color w:val="000000"/>
          <w:sz w:val="24"/>
        </w:rPr>
        <w:t xml:space="preserve"> </w:t>
      </w:r>
      <w:r>
        <w:rPr>
          <w:rFonts w:ascii="Times New Roman" w:hAnsi="Times New Roman"/>
          <w:b w:val="0"/>
          <w:color w:val="000000"/>
          <w:sz w:val="24"/>
        </w:rPr>
        <w:t xml:space="preserve">— smaller sample size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64 vs. 313). Together, these findings suggest that mirror perturbation is a disease-state-associated transition whose magnitude varies with cohort characteristics rather than a binary feature uniformly detectable across all HF populations.</w:t>
      </w:r>
    </w:p>
    <w:p>
      <w:pPr>
        <w:pStyle w:val="BodyText"/>
        <w:spacing w:line="480" w:lineRule="auto"/>
      </w:pPr>
      <w:r>
        <w:rPr>
          <w:rFonts w:ascii="Times New Roman" w:hAnsi="Times New Roman"/>
          <w:b w:val="0"/>
          <w:color w:val="000000"/>
          <w:sz w:val="24"/>
        </w:rPr>
        <w:t xml:space="preserve">The observed cross-cohort heterogeneity raised the question of whether mirror perturbation reflects constitutive cardiac-versus-hepatic tissue differences. Therefore, two same-organ disease comparisons were performed (Fig. 3). In the cardiac comparison (GSE141910; HCM vs. non-failing myocardium), the translation pathway effect sizes showed no correlation with HCC (ρ = −0.036,</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0.840; 14/33 mirror pathways), arguing against a generic cardiac disease effect. In the liver comparison (GSE89377; cirrhosis vs. normal liver), effect sizes were positively correlated with HCC (ρ = +0.402,</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0.021; 9/33 mirror pathways), consistent with the progressive activation of translation-related programs during hepatocarcinogenesis. Together, these controls indicate that mirror perturbation emerges within specific disease contexts, rather than reflecting organ-level baseline differences.</w:t>
      </w:r>
    </w:p>
    <w:bookmarkEnd w:id="24"/>
    <w:bookmarkStart w:id="25" w:name="X02ce305d1f65b16a947188421433840c43c55eb"/>
    <w:p>
      <w:pPr>
        <w:pStyle w:val="Heading3"/>
        <w:spacing w:line="480" w:lineRule="auto"/>
      </w:pPr>
      <w:r>
        <w:rPr>
          <w:rFonts w:ascii="Times New Roman" w:hAnsi="Times New Roman"/>
          <w:b/>
          <w:color w:val="000000"/>
          <w:sz w:val="24"/>
        </w:rPr>
        <w:t xml:space="preserve">Exploratory assessment of TATS clinical associations</w:t>
      </w:r>
    </w:p>
    <w:p>
      <w:pPr>
        <w:pStyle w:val="FirstParagraph"/>
        <w:spacing w:line="480" w:lineRule="auto"/>
      </w:pPr>
      <w:r>
        <w:rPr>
          <w:rFonts w:ascii="Times New Roman" w:hAnsi="Times New Roman"/>
          <w:b w:val="0"/>
          <w:color w:val="000000"/>
          <w:sz w:val="24"/>
        </w:rPr>
        <w:t xml:space="preserve">Given that translation-related programs may reflect biological states rather than prognostic determinants specific to individual diseases, we explored whether a translation-associated transcriptional score (TATS), defined as the mean z-score normalized expression of 227 green module genes, showed clinical outcome associations in independent HCC cohorts. TATS was evaluated in HCC rather than in HF because available HCC cohorts provide standardized survival annotation, whereas GSE57338 represents a cross-sectional transplant population without comparable long-term outcome data.</w:t>
      </w:r>
    </w:p>
    <w:p>
      <w:pPr>
        <w:pStyle w:val="BodyText"/>
        <w:spacing w:line="480" w:lineRule="auto"/>
      </w:pPr>
      <w:r>
        <w:rPr>
          <w:rFonts w:ascii="Times New Roman" w:hAnsi="Times New Roman"/>
          <w:b w:val="0"/>
          <w:color w:val="000000"/>
          <w:sz w:val="24"/>
        </w:rPr>
        <w:t xml:space="preserve">TATS was not significantly associated with overall survival in GSE141198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94 events; log-rank</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0.303; Fig. 4a) or in Cox regression as a continuous variable (HR = 1.68, 95% CI [0.67, 4.21],</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0.265). Etiology-stratified analysis (HBV, HCV, and NBNC) and two additional independent HCC cohorts (GSE14520,</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221; GSE76427,</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115) showed no significant association with survival. The absence of a prognostic association indicates that aggregate translation-related transcript abundance reflects context-dependent biological states rather than being a universal predictor of HCC outcomes.</w:t>
      </w:r>
    </w:p>
    <w:bookmarkEnd w:id="25"/>
    <w:bookmarkStart w:id="26" w:name="Xf77b5fd22659b51cc58db1acf92e254d9aa3f77"/>
    <w:p>
      <w:pPr>
        <w:pStyle w:val="Heading3"/>
        <w:spacing w:line="480" w:lineRule="auto"/>
      </w:pPr>
      <w:r>
        <w:rPr>
          <w:rFonts w:ascii="Times New Roman" w:hAnsi="Times New Roman"/>
          <w:b/>
          <w:color w:val="000000"/>
          <w:sz w:val="24"/>
        </w:rPr>
        <w:t xml:space="preserve">Regulatory associations with translation-related transcriptional programs</w:t>
      </w:r>
    </w:p>
    <w:p>
      <w:pPr>
        <w:pStyle w:val="FirstParagraph"/>
        <w:spacing w:line="480" w:lineRule="auto"/>
      </w:pPr>
      <w:r>
        <w:rPr>
          <w:rFonts w:ascii="Times New Roman" w:hAnsi="Times New Roman"/>
          <w:b w:val="0"/>
          <w:color w:val="000000"/>
          <w:sz w:val="24"/>
        </w:rPr>
        <w:t xml:space="preserve">Given that translation-related programs exhibit disease-specific network organization and pathway-level mirror perturbation, but limited clinical prognostic value, we next investigated which transcriptional programs are associated with translation-related program activity. To address this, we performed a systematic transcription factor (TF)-TATS correlation analysis across GSE141198 tumor samples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Nineteen candidate TFs were selected, including stress response-related TFs (ATF4, DDIT3, XBP1, HIF1A, NFE2L2, and TP53), cell cycle regulators (E2F family, E2F1–E2F8), and growth/proliferation regulators (MYC, MYCN, MYCL, MTOR, and RPTOR).</w:t>
      </w:r>
    </w:p>
    <w:p>
      <w:pPr>
        <w:pStyle w:val="BodyText"/>
        <w:spacing w:line="480" w:lineRule="auto"/>
      </w:pPr>
      <w:r>
        <w:rPr>
          <w:rFonts w:ascii="Times New Roman" w:hAnsi="Times New Roman"/>
          <w:b w:val="0"/>
          <w:color w:val="000000"/>
          <w:sz w:val="24"/>
        </w:rPr>
        <w:t xml:space="preserve">At the pathway activity level,</w:t>
      </w:r>
      <w:r>
        <w:rPr>
          <w:rFonts w:ascii="Times New Roman" w:hAnsi="Times New Roman"/>
          <w:b w:val="0"/>
          <w:color w:val="000000"/>
          <w:sz w:val="24"/>
        </w:rPr>
        <w:t xml:space="preserve"> </w:t>
      </w:r>
      <w:r>
        <w:rPr>
          <w:rFonts w:ascii="Times New Roman" w:hAnsi="Times New Roman"/>
          <w:b w:val="0"/>
          <w:bCs/>
          <w:color w:val="000000"/>
          <w:sz w:val="24"/>
        </w:rPr>
        <w:t xml:space="preserve">MYC target pathway activity showed the strongest overall correlation with TATS</w:t>
      </w:r>
      <w:r>
        <w:rPr>
          <w:rFonts w:ascii="Times New Roman" w:hAnsi="Times New Roman"/>
          <w:b w:val="0"/>
          <w:color w:val="000000"/>
          <w:sz w:val="24"/>
        </w:rPr>
        <w:t xml:space="preserve"> </w:t>
      </w:r>
      <w:r>
        <w:rPr>
          <w:rFonts w:ascii="Times New Roman" w:hAnsi="Times New Roman"/>
          <w:b w:val="0"/>
          <w:color w:val="000000"/>
          <w:sz w:val="24"/>
        </w:rPr>
        <w:t xml:space="preserve">(MYC Targets V2: ρ = +0.753,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MYC Targets V1: ρ = +0.459,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Fig. 5b), substantially stronger than the MYC mRNA level alone (ρ = +0.255), consistent with the regulation of MYC pathway activity beyond transcript abundance. To evaluate whether this association was driven by shared gene representation, we quantified the overlap between the 227 TATS genes and each Hallmark pathway gene set (Supplementary Table S7): MYC Targets V2 shared 9 genes (Jaccard index = 0.033) and MYC Targets V1 shared 12 (5.3%). De-overlap sensitivity analysis, removing the shared genes from TATS and recomputing all correlations, left the MYC Targets V2–TATS association robust (de-overlap ρ = 0.714, bootstrap 95% CI [0.620, 0.786]; original ρ = 0.753, bootstrap 95% CI [0.666, 0.817]), indicating that the pathway-level association is not solely explained by shared genes. E2F Targets (ρ = +0.409,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and MTORC1 Signaling (ρ = +0.335,</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pathway activities were also positively associated with TATS, consistent with the proliferative association of translation-related remodeling.</w:t>
      </w:r>
    </w:p>
    <w:p>
      <w:pPr>
        <w:pStyle w:val="BodyText"/>
        <w:spacing w:line="480" w:lineRule="auto"/>
      </w:pPr>
      <w:r>
        <w:rPr>
          <w:rFonts w:ascii="Times New Roman" w:hAnsi="Times New Roman"/>
          <w:b w:val="0"/>
          <w:color w:val="000000"/>
          <w:sz w:val="24"/>
        </w:rPr>
        <w:t xml:space="preserve">At the individual TF expression level, 11 of the 19 TFs were significantly correlated with TATS at FDR &lt; 0.05.</w:t>
      </w:r>
      <w:r>
        <w:rPr>
          <w:rFonts w:ascii="Times New Roman" w:hAnsi="Times New Roman"/>
          <w:b w:val="0"/>
          <w:color w:val="000000"/>
          <w:sz w:val="24"/>
        </w:rPr>
        <w:t xml:space="preserve"> </w:t>
      </w:r>
      <w:r>
        <w:rPr>
          <w:rFonts w:ascii="Times New Roman" w:hAnsi="Times New Roman"/>
          <w:b w:val="0"/>
          <w:bCs/>
          <w:color w:val="000000"/>
          <w:sz w:val="24"/>
        </w:rPr>
        <w:t xml:space="preserve">ATF4 showed the strongest association among individual TF transcripts</w:t>
      </w:r>
      <w:r>
        <w:rPr>
          <w:rFonts w:ascii="Times New Roman" w:hAnsi="Times New Roman"/>
          <w:b w:val="0"/>
          <w:color w:val="000000"/>
          <w:sz w:val="24"/>
        </w:rPr>
        <w:t xml:space="preserve"> </w:t>
      </w:r>
      <w:r>
        <w:rPr>
          <w:rFonts w:ascii="Times New Roman" w:hAnsi="Times New Roman"/>
          <w:b w:val="0"/>
          <w:color w:val="000000"/>
          <w:sz w:val="24"/>
        </w:rPr>
        <w:t xml:space="preserve">(ρ = +0.500, FDR &lt; 0.0001; bootstrap 95% CI [0.359, 0.621]; Fig. 5a), consistent with its role as a central transcription factor in the integrated stress response (ISR). Additional ISR/UPR-related TFs were also associated with TATS — DDIT3 (CHOP; ρ = +0.338, FDR &lt; 0.0001) and XBP1 (ρ = +0.180, FDR = 0.050), indicating a co-association of stress-responsive programs rather than isolated ATF4 upregulation. Several E2F family members were positively correlated (E2F1 ρ = +0.352, E2F2 ρ = +0.291, E2F3 ρ = +0.270, E2F4 ρ = +0.202, E2F6 ρ = +0.191; all FDR ≤ 0.038), whereas NFE2L2 (ρ = −0.280, FDR = 0.002) and MYCL (ρ = −0.388, FDR &lt; 0.0001) were negatively correlated. MYC mRNA showed a significant but modest individual correlation (ρ = +0.255, FDR = 0.004; see also the pathway-level MYC activity above). The remaining TFs (E2F5, E2F7, E2F8, MYCN, RPTOR, HIF1A, MTOR, and TP53) showed weak or no significant associations. The complete TF–TATS statistics for all 19 candidate TFs are provided in Supplementary Table S6.</w:t>
      </w:r>
    </w:p>
    <w:p>
      <w:pPr>
        <w:pStyle w:val="BodyText"/>
        <w:spacing w:line="480" w:lineRule="auto"/>
      </w:pPr>
      <w:r>
        <w:rPr>
          <w:rFonts w:ascii="Times New Roman" w:hAnsi="Times New Roman"/>
          <w:b w:val="0"/>
          <w:color w:val="000000"/>
          <w:sz w:val="24"/>
        </w:rPr>
        <w:t xml:space="preserve">These results identified two regulatory dimensions of translation-related transcriptional programs in HCC:</w:t>
      </w:r>
      <w:r>
        <w:rPr>
          <w:rFonts w:ascii="Times New Roman" w:hAnsi="Times New Roman"/>
          <w:b w:val="0"/>
          <w:color w:val="000000"/>
          <w:sz w:val="24"/>
        </w:rPr>
        <w:t xml:space="preserve"> </w:t>
      </w:r>
      <w:r>
        <w:rPr>
          <w:rFonts w:ascii="Times New Roman" w:hAnsi="Times New Roman"/>
          <w:b w:val="0"/>
          <w:bCs/>
          <w:color w:val="000000"/>
          <w:sz w:val="24"/>
        </w:rPr>
        <w:t xml:space="preserve">proliferative demand</w:t>
      </w:r>
      <w:r>
        <w:rPr>
          <w:rFonts w:ascii="Times New Roman" w:hAnsi="Times New Roman"/>
          <w:b w:val="0"/>
          <w:color w:val="000000"/>
          <w:sz w:val="24"/>
        </w:rPr>
        <w:t xml:space="preserve"> </w:t>
      </w:r>
      <w:r>
        <w:rPr>
          <w:rFonts w:ascii="Times New Roman" w:hAnsi="Times New Roman"/>
          <w:b w:val="0"/>
          <w:color w:val="000000"/>
          <w:sz w:val="24"/>
        </w:rPr>
        <w:t xml:space="preserve">(MYC target pathway activity, ρ = +0.753) and</w:t>
      </w:r>
      <w:r>
        <w:rPr>
          <w:rFonts w:ascii="Times New Roman" w:hAnsi="Times New Roman"/>
          <w:b w:val="0"/>
          <w:color w:val="000000"/>
          <w:sz w:val="24"/>
        </w:rPr>
        <w:t xml:space="preserve"> </w:t>
      </w:r>
      <w:r>
        <w:rPr>
          <w:rFonts w:ascii="Times New Roman" w:hAnsi="Times New Roman"/>
          <w:b w:val="0"/>
          <w:bCs/>
          <w:color w:val="000000"/>
          <w:sz w:val="24"/>
        </w:rPr>
        <w:t xml:space="preserve">stress-responsive signaling</w:t>
      </w:r>
      <w:r>
        <w:rPr>
          <w:rFonts w:ascii="Times New Roman" w:hAnsi="Times New Roman"/>
          <w:b w:val="0"/>
          <w:color w:val="000000"/>
          <w:sz w:val="24"/>
        </w:rPr>
        <w:t xml:space="preserve"> </w:t>
      </w:r>
      <w:r>
        <w:rPr>
          <w:rFonts w:ascii="Times New Roman" w:hAnsi="Times New Roman"/>
          <w:b w:val="0"/>
          <w:color w:val="000000"/>
          <w:sz w:val="24"/>
        </w:rPr>
        <w:t xml:space="preserve">(ATF4/ISR, ρ = +0.500, co-associated with DDIT3 and XBP1). These associations are correlational and require experimental validation to establish causality.</w:t>
      </w:r>
    </w:p>
    <w:bookmarkEnd w:id="26"/>
    <w:bookmarkEnd w:id="27"/>
    <w:bookmarkStart w:id="28" w:name="discussion"/>
    <w:p>
      <w:pPr>
        <w:pStyle w:val="Heading2"/>
        <w:spacing w:line="480" w:lineRule="auto"/>
      </w:pPr>
      <w:r>
        <w:rPr>
          <w:rFonts w:ascii="Times New Roman" w:hAnsi="Times New Roman"/>
          <w:b/>
          <w:color w:val="000000"/>
          <w:sz w:val="24"/>
        </w:rPr>
        <w:t xml:space="preserve">4. Discussion</w:t>
      </w:r>
    </w:p>
    <w:p>
      <w:pPr>
        <w:pStyle w:val="FirstParagraph"/>
        <w:spacing w:line="480" w:lineRule="auto"/>
      </w:pPr>
      <w:r>
        <w:rPr>
          <w:rFonts w:ascii="Times New Roman" w:hAnsi="Times New Roman"/>
          <w:b w:val="0"/>
          <w:color w:val="000000"/>
          <w:sz w:val="24"/>
        </w:rPr>
        <w:t xml:space="preserve">This study investigated how translation-related transcriptional programs in hepatocellular carcinoma are organized and whether this organization reflects conserved network architecture or disease-context-dependent remodeling revealed through comparison with heart failure, a disease of fundamentally opposing translational demand.</w:t>
      </w:r>
    </w:p>
    <w:p>
      <w:pPr>
        <w:pStyle w:val="BodyText"/>
        <w:spacing w:line="480" w:lineRule="auto"/>
      </w:pPr>
      <w:r>
        <w:rPr>
          <w:rFonts w:ascii="Times New Roman" w:hAnsi="Times New Roman"/>
          <w:b w:val="0"/>
          <w:color w:val="000000"/>
          <w:sz w:val="24"/>
        </w:rPr>
        <w:t xml:space="preserve">The contrast between distinct network organization and convergent pathway-level alterations was the central conceptual finding of this study. While previous cross-disease transcriptomic studies have typically sought conserved modules or differentially expressed genes, our multi-resolution analysis — co-expression network topology, module composition, and aggregated pathway activity — indicated that conservation and divergence coexist at different levels of biological organization. The HF green module (227 genes, ribosome biogenesis) and the HCC blue module (1,315 genes, cytoplasmic translation) shared translation-related functional themes at the GO enrichment level, yet their gene composition, hub gene identity, and regulatory architecture were disease-specific, suggesting that distinct regulatory networks may independently converge on similar biological processes under different disease contexts rather than involving an identical conserved module altered in opposite directions. The mirror perturbation observed at the pathway level (ρ = −0.598) therefore reflects the convergence of functional output — translational suppression in the energy-depleted failing myocardium and activation in the proliferative HCC microenvironment — observed across disease-specific network configurations. We refer to this pattern as disease-context-dependent remodeling — shared functional themes, disease-specific network organization, and opposite perturbation directions — a framework that differs fundamentally from the conserved-module model.</w:t>
      </w:r>
    </w:p>
    <w:p>
      <w:pPr>
        <w:pStyle w:val="BodyText"/>
        <w:spacing w:line="480" w:lineRule="auto"/>
      </w:pPr>
      <w:r>
        <w:rPr>
          <w:rFonts w:ascii="Times New Roman" w:hAnsi="Times New Roman"/>
          <w:b w:val="0"/>
          <w:color w:val="000000"/>
          <w:sz w:val="24"/>
        </w:rPr>
        <w:t xml:space="preserve">The absence of mirror perturbation in hypertrophic cardiomyopathy (GSE141910; ρ = −0.036) argues against a generic cardiac disease effect, while the positive correlation in cirrhosis (GSE89377; ρ = +0.402) is consistent with the progressive remodeling of translation-related programs during hepatocarcinogenesis. These controls indicate that the HF–HCC mirror perturbation reflects disease-context-dependent remodeling rather than constitutive tissue-specific transcriptional programs, a distinction that single-disease analyses cannot resolve.</w:t>
      </w:r>
    </w:p>
    <w:p>
      <w:pPr>
        <w:pStyle w:val="BodyText"/>
        <w:spacing w:line="480" w:lineRule="auto"/>
      </w:pPr>
      <w:r>
        <w:rPr>
          <w:rFonts w:ascii="Times New Roman" w:hAnsi="Times New Roman"/>
          <w:b w:val="0"/>
          <w:color w:val="000000"/>
          <w:sz w:val="24"/>
        </w:rPr>
        <w:t xml:space="preserve">The translation-focused pathway subset exhibited cohort-dependent heterogeneity: the mirror perturbation was prominent in the discovery cohort (GSE57338, 24/33 mirror pathways, ρ = −0.598) but not reproduced in the independent HF cohort (GSE116250, 14/33; ρ = +0.249,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0.162), suggesting that the magnitude of remodeling varies with disease severity, etiology composition, and cohort characteristics. Therefore, the cross-disease mirror pattern should be interpreted as context-dependent, rather than universal. Transplant-stage HF may exhibit more pronounced suppression of translation-related transcription than cohorts spanning a broader disease spectrum, consistent with an energy-constrained state in which reduced translation-related activity is accompanied by increased energetic stress[20,21,22]. The smaller effect sizes in HF compared with HCC further suggest gradual, incomplete compensation in the failing heart, rather than the robust oncogene-driven reprogramming characteristic of cancer.</w:t>
      </w:r>
    </w:p>
    <w:p>
      <w:pPr>
        <w:pStyle w:val="BodyText"/>
        <w:spacing w:line="480" w:lineRule="auto"/>
      </w:pPr>
      <w:r>
        <w:rPr>
          <w:rFonts w:ascii="Times New Roman" w:hAnsi="Times New Roman"/>
          <w:b w:val="0"/>
          <w:color w:val="000000"/>
          <w:sz w:val="24"/>
        </w:rPr>
        <w:t xml:space="preserve">Among the transcription factors and pathways examined, MYC target pathway activity showed the highest overall correlation with TATS (ρ = +0.753), whereas ATF4 showed the strongest association among individual transcription factors (ρ = +0.500, FDR &lt; 0.0001). The MYC association — particularly with MYC Targets V2, a gene set enriched for ribosome biogenesis and translation[4,7,8] — likely reflects the link between proliferative signaling and translation-related programs; it should be interpreted as pathway-level concordance rather than direct evidence of upstream regulation, as TATS and MYC target sets share representation of translation-related genes. ATF4, a central transcription factor of the integrated stress response (ISR), couples cellular stress sensing with translational regulation[23,24,25], and its co-association with DDIT3 (CHOP) and XBP1 suggests pathway-level engagement of ISR/UPR components rather than isolated ATF4 upregulation. These represent distinct regulatory dimensions — proliferative (MYC) and stress-responsive (ATF4/ISR) — that are neither subordinate to the other. HIF1A and MTOR transcript levels were not significantly correlated with TATS, suggesting that indirect or context-dependent regulation was not reflected at steady-state mRNA levels. Causal validation through ChIP-seq and functional perturbation experiments is required.</w:t>
      </w:r>
    </w:p>
    <w:p>
      <w:pPr>
        <w:pStyle w:val="BodyText"/>
        <w:spacing w:line="480" w:lineRule="auto"/>
      </w:pPr>
      <w:r>
        <w:rPr>
          <w:rFonts w:ascii="Times New Roman" w:hAnsi="Times New Roman"/>
          <w:b w:val="0"/>
          <w:color w:val="000000"/>
          <w:sz w:val="24"/>
        </w:rPr>
        <w:t xml:space="preserve">TATS, defined as the mean normalized expression of 227 green module genes, was not intended as a disease-specific biomarker but as a cross-disease transcriptional representation of a translation-associated program shared at the pathway level. It showed no significant prognostic value in GSE141198 in etiology-stratified subgroups or across the three independent HCC cohorts. The absence of a prognostic association indicates that shared functional themes do not imply equivalent clinical utility; aggregate translation-related transcript abundance reflects context-dependent biological states rather than a universal predictor of malignant progression.</w:t>
      </w:r>
    </w:p>
    <w:p>
      <w:pPr>
        <w:pStyle w:val="BodyText"/>
        <w:spacing w:line="480" w:lineRule="auto"/>
      </w:pPr>
      <w:r>
        <w:rPr>
          <w:rFonts w:ascii="Times New Roman" w:hAnsi="Times New Roman"/>
          <w:b w:val="0"/>
          <w:color w:val="000000"/>
          <w:sz w:val="24"/>
        </w:rPr>
        <w:t xml:space="preserve">This study has several limitations. Because it is based on bulk transcriptomic datasets, the identified programs represent the transcriptional organization of translation-associated genes rather than direct measurements of translational efficiency; ribosome footprint profiling (Ribo-seq) would substantially strengthen evidence for altered translational activity[26]. These findings reflect disease-associated transcriptional organization, not direct evidence of causal network rewiring, and bulk transcriptomes cannot fully separate transcriptional remodeling from changes in cellular composition (cardiomyocyte loss and fibroblast proliferation in HF; tumor purity and stromal infiltration in HCC). Cell-type deconvolution was beyond the scope of this analysis. The ATF4/ISR regulatory hypothesis is correlational and requires causal validation. Pathway-level concordance may vary with cohort characteristics, as suggested by partial replication in GSE116250. Platform differences between microarray (GSE57338) and RNA-seq (TCGA-LIHC, GSE141198), while mitigated by within-dataset effect size computation, may introduce systematic bias. Network construction parameters were optimized independently within each dataset; cross-dataset topology comparisons therefore reflected both biological differences and dataset-specific optimizations. Formal module preservation analysis was not performed owing to cross-platform interpretability challenges; gene-level overlap quantification (Fisher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provides an empirical assessment of limited module gene sharing. HCC cohorts are predominantly of Asian ancestry and cross-population generalizability requires further evaluation. Cross-disease comparison remains observational, and prospective multi-omics studies with paired ribosome profiling would be required to establish causality.</w:t>
      </w:r>
    </w:p>
    <w:p>
      <w:pPr>
        <w:pStyle w:val="BodyText"/>
        <w:spacing w:line="480" w:lineRule="auto"/>
      </w:pPr>
      <w:r>
        <w:rPr>
          <w:rFonts w:ascii="Times New Roman" w:hAnsi="Times New Roman"/>
          <w:b w:val="0"/>
          <w:color w:val="000000"/>
          <w:sz w:val="24"/>
        </w:rPr>
        <w:t xml:space="preserve">Translation-related transcriptional programs are independently identifiable in HF and HCC but are organized through disease-specific network architecture, with convergent functional themes emerging at the pathway level and perturbation direction shaped by disease context. From a clinical perspective, this cross-disease framework illuminates principles obscured in single-disease analyses: ATF4/ISR engagement suggests that the failing heart activates conserved stress-adaptive programs also co-opted during hepatocarcinogenesis, and the presence of mirror perturbation in advanced HF but its absence in HCM suggests that progressive translational suppression may represent a disease-stage-specific vulnerability. This disease-context-dependent remodeling framework (Fig. 5) provides a foundation for mechanistic studies on how distinct pathological environments reshape translation-related programs, illustrating the value of multi-resolution cross-disease comparisons for identifying regulatory principles and potential therapeutic entry points.</w:t>
      </w:r>
    </w:p>
    <w:bookmarkEnd w:id="28"/>
    <w:bookmarkStart w:id="35" w:name="declarations"/>
    <w:p>
      <w:pPr>
        <w:pStyle w:val="Heading2"/>
        <w:spacing w:line="480" w:lineRule="auto"/>
      </w:pPr>
      <w:r>
        <w:rPr>
          <w:rFonts w:ascii="Times New Roman" w:hAnsi="Times New Roman"/>
          <w:b/>
          <w:color w:val="000000"/>
          <w:sz w:val="24"/>
        </w:rPr>
        <w:t xml:space="preserve">Declarations</w:t>
      </w:r>
    </w:p>
    <w:bookmarkStart w:id="29" w:name="Xd182db0490b2de20bd2b4e4cc8698599182035f"/>
    <w:p>
      <w:pPr>
        <w:pStyle w:val="Heading3"/>
        <w:spacing w:line="480" w:lineRule="auto"/>
      </w:pPr>
      <w:r>
        <w:rPr>
          <w:rFonts w:ascii="Times New Roman" w:hAnsi="Times New Roman"/>
          <w:b/>
          <w:color w:val="000000"/>
          <w:sz w:val="24"/>
        </w:rPr>
        <w:t xml:space="preserve">Ethics approval and consent to participate</w:t>
      </w:r>
    </w:p>
    <w:p>
      <w:pPr>
        <w:pStyle w:val="FirstParagraph"/>
        <w:spacing w:line="480" w:lineRule="auto"/>
      </w:pPr>
      <w:r>
        <w:rPr>
          <w:rFonts w:ascii="Times New Roman" w:hAnsi="Times New Roman"/>
          <w:b w:val="0"/>
          <w:color w:val="000000"/>
          <w:sz w:val="24"/>
        </w:rPr>
        <w:t xml:space="preserve">All datasets used in this study are publicly available and were originally collected with informed consent and ethical approval, as described in their respective publications. No new data involving human participants or animals were generated in this study.</w:t>
      </w:r>
    </w:p>
    <w:bookmarkEnd w:id="29"/>
    <w:bookmarkStart w:id="30" w:name="consent-for-publication"/>
    <w:p>
      <w:pPr>
        <w:pStyle w:val="Heading3"/>
        <w:spacing w:line="480" w:lineRule="auto"/>
      </w:pPr>
      <w:r>
        <w:rPr>
          <w:rFonts w:ascii="Times New Roman" w:hAnsi="Times New Roman"/>
          <w:b/>
          <w:color w:val="000000"/>
          <w:sz w:val="24"/>
        </w:rPr>
        <w:t xml:space="preserve">Consent for publication</w:t>
      </w:r>
    </w:p>
    <w:p>
      <w:pPr>
        <w:pStyle w:val="FirstParagraph"/>
        <w:spacing w:line="480" w:lineRule="auto"/>
      </w:pPr>
      <w:r>
        <w:rPr>
          <w:rFonts w:ascii="Times New Roman" w:hAnsi="Times New Roman"/>
          <w:b w:val="0"/>
          <w:color w:val="000000"/>
          <w:sz w:val="24"/>
        </w:rPr>
        <w:t xml:space="preserve">Not applicable.</w:t>
      </w:r>
    </w:p>
    <w:bookmarkEnd w:id="30"/>
    <w:bookmarkStart w:id="31" w:name="availability-of-data-and-materials"/>
    <w:p>
      <w:pPr>
        <w:pStyle w:val="Heading3"/>
        <w:spacing w:line="480" w:lineRule="auto"/>
      </w:pPr>
      <w:r>
        <w:rPr>
          <w:rFonts w:ascii="Times New Roman" w:hAnsi="Times New Roman"/>
          <w:b/>
          <w:color w:val="000000"/>
          <w:sz w:val="24"/>
        </w:rPr>
        <w:t xml:space="preserve">Availability of data and materials</w:t>
      </w:r>
    </w:p>
    <w:p>
      <w:pPr>
        <w:pStyle w:val="FirstParagraph"/>
        <w:spacing w:line="480" w:lineRule="auto"/>
      </w:pPr>
      <w:r>
        <w:rPr>
          <w:rFonts w:ascii="Times New Roman" w:hAnsi="Times New Roman"/>
          <w:b w:val="0"/>
          <w:color w:val="000000"/>
          <w:sz w:val="24"/>
        </w:rPr>
        <w:t xml:space="preserve">All datasets used in this study are publicly available: GSE57338, GSE141198, GSE14520, and GSE76427 from the Gene Expression Omnibus (https://www.ncbi.nlm.nih.gov/geo/), and TCGA-LIHC from the GDC Data Portal (https://portal.gdc.cancer.gov/). This analysis code is publicly available at https://github.com/zxy048/translation-mirror-hf-hcc (project name: translation-mirror-hf-hcc). The repository contains the complete WGCNA, ssGSEA, TF correlation, and direction consistency analysis pipelines. Programming language: R and Python. License: MIT. An archived version will be deposited in Zenodo with a permanent DOI upon acceptance.</w:t>
      </w:r>
    </w:p>
    <w:bookmarkEnd w:id="31"/>
    <w:bookmarkStart w:id="32" w:name="competing-interests"/>
    <w:p>
      <w:pPr>
        <w:pStyle w:val="Heading3"/>
        <w:spacing w:line="480" w:lineRule="auto"/>
      </w:pPr>
      <w:r>
        <w:rPr>
          <w:rFonts w:ascii="Times New Roman" w:hAnsi="Times New Roman"/>
          <w:b/>
          <w:color w:val="000000"/>
          <w:sz w:val="24"/>
        </w:rPr>
        <w:t xml:space="preserve">Competing interests</w:t>
      </w:r>
    </w:p>
    <w:p>
      <w:pPr>
        <w:pStyle w:val="FirstParagraph"/>
        <w:spacing w:line="480" w:lineRule="auto"/>
      </w:pPr>
      <w:r>
        <w:rPr>
          <w:rFonts w:ascii="Times New Roman" w:hAnsi="Times New Roman"/>
          <w:b w:val="0"/>
          <w:color w:val="000000"/>
          <w:sz w:val="24"/>
        </w:rPr>
        <w:t xml:space="preserve">The authors declare that they have no competing interests.</w:t>
      </w:r>
    </w:p>
    <w:bookmarkEnd w:id="32"/>
    <w:bookmarkStart w:id="33" w:name="funding"/>
    <w:p>
      <w:pPr>
        <w:pStyle w:val="Heading3"/>
        <w:spacing w:line="480" w:lineRule="auto"/>
      </w:pPr>
      <w:r>
        <w:rPr>
          <w:rFonts w:ascii="Times New Roman" w:hAnsi="Times New Roman"/>
          <w:b/>
          <w:color w:val="000000"/>
          <w:sz w:val="24"/>
        </w:rPr>
        <w:t xml:space="preserve">Funding</w:t>
      </w:r>
    </w:p>
    <w:p>
      <w:pPr>
        <w:pStyle w:val="FirstParagraph"/>
        <w:spacing w:line="480" w:lineRule="auto"/>
      </w:pPr>
      <w:r>
        <w:rPr>
          <w:rFonts w:ascii="Times New Roman" w:hAnsi="Times New Roman"/>
          <w:b w:val="0"/>
          <w:color w:val="000000"/>
          <w:sz w:val="24"/>
        </w:rPr>
        <w:t xml:space="preserve">This research did not receive any specific grant from funding agencies in the public, commercial, or not-for-profit sectors.</w:t>
      </w:r>
    </w:p>
    <w:bookmarkEnd w:id="33"/>
    <w:bookmarkStart w:id="34" w:name="authors-contributions"/>
    <w:p>
      <w:pPr>
        <w:pStyle w:val="Heading3"/>
        <w:spacing w:line="480" w:lineRule="auto"/>
      </w:pPr>
      <w:r>
        <w:rPr>
          <w:rFonts w:ascii="Times New Roman" w:hAnsi="Times New Roman"/>
          <w:b/>
          <w:color w:val="000000"/>
          <w:sz w:val="24"/>
        </w:rPr>
        <w:t xml:space="preserve">Authors’ contributions</w:t>
      </w:r>
    </w:p>
    <w:p>
      <w:pPr>
        <w:pStyle w:val="FirstParagraph"/>
        <w:spacing w:line="480" w:lineRule="auto"/>
      </w:pPr>
      <w:r>
        <w:rPr>
          <w:rFonts w:ascii="Times New Roman" w:hAnsi="Times New Roman"/>
          <w:b w:val="0"/>
          <w:color w:val="000000"/>
          <w:sz w:val="24"/>
        </w:rPr>
        <w:t xml:space="preserve">Y.H.: Writing – original draft, Visualization, Software, Methodology, Investigation, Formal analysis, Data curation, Conceptualization. Y.L.: Methodology, Data curation, Formal analysis, Writing – review &amp; editing. X.L.: Data curation, Investigation, Writing – review &amp; editing. X.W.: Writing – review &amp; editing, Supervision, Conceptualization. J.W.: Writing – review &amp; editing, Supervision, Project administration, Methodology, Conceptualization. All authors have read and approved the final version of the manuscript.</w:t>
      </w:r>
    </w:p>
    <w:bookmarkEnd w:id="34"/>
    <w:bookmarkEnd w:id="35"/>
    <w:bookmarkStart w:id="36" w:name="acknowledgements"/>
    <w:p>
      <w:pPr>
        <w:pStyle w:val="Heading2"/>
        <w:spacing w:line="480" w:lineRule="auto"/>
      </w:pPr>
      <w:r>
        <w:rPr>
          <w:rFonts w:ascii="Times New Roman" w:hAnsi="Times New Roman"/>
          <w:b/>
          <w:color w:val="000000"/>
          <w:sz w:val="24"/>
        </w:rPr>
        <w:t xml:space="preserve">Acknowledgements</w:t>
      </w:r>
    </w:p>
    <w:p>
      <w:pPr>
        <w:pStyle w:val="FirstParagraph"/>
        <w:spacing w:line="480" w:lineRule="auto"/>
      </w:pPr>
      <w:r>
        <w:rPr>
          <w:rFonts w:ascii="Times New Roman" w:hAnsi="Times New Roman"/>
          <w:b w:val="0"/>
          <w:bCs/>
          <w:color w:val="000000"/>
          <w:sz w:val="24"/>
        </w:rPr>
        <w:t xml:space="preserve">Assistance with the study:</w:t>
      </w:r>
      <w:r>
        <w:rPr>
          <w:rFonts w:ascii="Times New Roman" w:hAnsi="Times New Roman"/>
          <w:b w:val="0"/>
          <w:color w:val="000000"/>
          <w:sz w:val="24"/>
        </w:rPr>
        <w:t xml:space="preserve"> </w:t>
      </w:r>
      <w:r>
        <w:rPr>
          <w:rFonts w:ascii="Times New Roman" w:hAnsi="Times New Roman"/>
          <w:b w:val="0"/>
          <w:color w:val="000000"/>
          <w:sz w:val="24"/>
        </w:rPr>
        <w:t xml:space="preserve">We thank TCGA, GEO, and MSigDB database researchers and patients involved in the datasets used in this study for their willingness to share relevant data and their contributions to medical progress.</w:t>
      </w:r>
    </w:p>
    <w:p>
      <w:pPr>
        <w:pStyle w:val="BodyText"/>
        <w:spacing w:line="480" w:lineRule="auto"/>
      </w:pPr>
      <w:r>
        <w:rPr>
          <w:rFonts w:ascii="Times New Roman" w:hAnsi="Times New Roman"/>
          <w:b w:val="0"/>
          <w:bCs/>
          <w:color w:val="000000"/>
          <w:sz w:val="24"/>
        </w:rPr>
        <w:t xml:space="preserve">Presentation of preliminary data:</w:t>
      </w:r>
      <w:r>
        <w:rPr>
          <w:rFonts w:ascii="Times New Roman" w:hAnsi="Times New Roman"/>
          <w:b w:val="0"/>
          <w:color w:val="000000"/>
          <w:sz w:val="24"/>
        </w:rPr>
        <w:t xml:space="preserve"> </w:t>
      </w:r>
      <w:r>
        <w:rPr>
          <w:rFonts w:ascii="Times New Roman" w:hAnsi="Times New Roman"/>
          <w:b w:val="0"/>
          <w:color w:val="000000"/>
          <w:sz w:val="24"/>
        </w:rPr>
        <w:t xml:space="preserve">none.</w:t>
      </w:r>
    </w:p>
    <w:bookmarkEnd w:id="36"/>
    <w:bookmarkStart w:id="37" w:name="references"/>
    <w:p>
      <w:pPr>
        <w:pStyle w:val="Heading2"/>
        <w:spacing w:line="480" w:lineRule="auto"/>
      </w:pPr>
      <w:r>
        <w:rPr>
          <w:rFonts w:ascii="Times New Roman" w:hAnsi="Times New Roman"/>
          <w:b/>
          <w:color w:val="000000"/>
          <w:sz w:val="24"/>
        </w:rPr>
        <w:t xml:space="preserve">References</w:t>
      </w:r>
    </w:p>
    <w:p>
      <w:pPr>
        <w:pStyle w:val="FirstParagraph"/>
        <w:spacing w:line="480" w:lineRule="auto"/>
      </w:pPr>
      <w:r>
        <w:rPr>
          <w:rFonts w:ascii="Times New Roman" w:hAnsi="Times New Roman"/>
          <w:b w:val="0"/>
          <w:color w:val="000000"/>
          <w:sz w:val="24"/>
        </w:rPr>
        <w:t xml:space="preserve">[1] Lu X, Paliogiannis P, Calvisi DF, Chen X. Role of the mammalian target of rapamycin pathway in liver cancer: from molecular genetics to targeted therapies. Hepatology. 2021;73:49-61.</w:t>
      </w:r>
      <w:r>
        <w:rPr>
          <w:rFonts w:ascii="Times New Roman" w:hAnsi="Times New Roman"/>
          <w:b w:val="0"/>
          <w:color w:val="000000"/>
          <w:sz w:val="24"/>
        </w:rPr>
        <w:t xml:space="preserve"> </w:t>
      </w:r>
      <w:r>
        <w:rPr>
          <w:rFonts w:ascii="Times New Roman" w:hAnsi="Times New Roman"/>
          <w:b w:val="0"/>
          <w:color w:val="000000"/>
          <w:sz w:val="24"/>
        </w:rPr>
        <w:t xml:space="preserve">[2] Llovet JM, Pinyol R, Kelley RK, et al. Molecular pathogenesis and systemic therapies for hepatocellular carcinoma. Nat Cancer. 2022;3:386-401.</w:t>
      </w:r>
      <w:r>
        <w:rPr>
          <w:rFonts w:ascii="Times New Roman" w:hAnsi="Times New Roman"/>
          <w:b w:val="0"/>
          <w:color w:val="000000"/>
          <w:sz w:val="24"/>
        </w:rPr>
        <w:t xml:space="preserve"> </w:t>
      </w:r>
      <w:r>
        <w:rPr>
          <w:rFonts w:ascii="Times New Roman" w:hAnsi="Times New Roman"/>
          <w:b w:val="0"/>
          <w:color w:val="000000"/>
          <w:sz w:val="24"/>
        </w:rPr>
        <w:t xml:space="preserve">[3] Brito Querido J, Diaz-Lopez I, Ramakrishnan V. The molecular basis of translation initiation and its regulation in eukaryotes. Nat Rev Mol Cell Biol. 2024;25:168-186.</w:t>
      </w:r>
      <w:r>
        <w:rPr>
          <w:rFonts w:ascii="Times New Roman" w:hAnsi="Times New Roman"/>
          <w:b w:val="0"/>
          <w:color w:val="000000"/>
          <w:sz w:val="24"/>
        </w:rPr>
        <w:t xml:space="preserve"> </w:t>
      </w:r>
      <w:r>
        <w:rPr>
          <w:rFonts w:ascii="Times New Roman" w:hAnsi="Times New Roman"/>
          <w:b w:val="0"/>
          <w:color w:val="000000"/>
          <w:sz w:val="24"/>
        </w:rPr>
        <w:t xml:space="preserve">[4] Jiao L, Liu Y, Yu XY, et al. Ribosome biogenesis in disease: new players and therapeutic targets. Signal Transduct Target Ther. 2023;8:15.</w:t>
      </w:r>
      <w:r>
        <w:rPr>
          <w:rFonts w:ascii="Times New Roman" w:hAnsi="Times New Roman"/>
          <w:b w:val="0"/>
          <w:color w:val="000000"/>
          <w:sz w:val="24"/>
        </w:rPr>
        <w:t xml:space="preserve"> </w:t>
      </w:r>
      <w:r>
        <w:rPr>
          <w:rFonts w:ascii="Times New Roman" w:hAnsi="Times New Roman"/>
          <w:b w:val="0"/>
          <w:color w:val="000000"/>
          <w:sz w:val="24"/>
        </w:rPr>
        <w:t xml:space="preserve">[5] Jia X, He X, Huang C, Li J, Dong Z, Liu K. Protein translation: biological processes and therapeutic strategies for human diseases. Signal Transduct Target Ther. 2024;9:44.</w:t>
      </w:r>
      <w:r>
        <w:rPr>
          <w:rFonts w:ascii="Times New Roman" w:hAnsi="Times New Roman"/>
          <w:b w:val="0"/>
          <w:color w:val="000000"/>
          <w:sz w:val="24"/>
        </w:rPr>
        <w:t xml:space="preserve"> </w:t>
      </w:r>
      <w:r>
        <w:rPr>
          <w:rFonts w:ascii="Times New Roman" w:hAnsi="Times New Roman"/>
          <w:b w:val="0"/>
          <w:color w:val="000000"/>
          <w:sz w:val="24"/>
        </w:rPr>
        <w:t xml:space="preserve">[6] Bartish M, Abraham MJ, Goncalves C, Larsson O, Rolny C, del Rincon SV. The role of eIF4F-driven mRNA translation in regulating the tumour microenvironment. Nat Rev Cancer. 2023;23:408-425.</w:t>
      </w:r>
      <w:r>
        <w:rPr>
          <w:rFonts w:ascii="Times New Roman" w:hAnsi="Times New Roman"/>
          <w:b w:val="0"/>
          <w:color w:val="000000"/>
          <w:sz w:val="24"/>
        </w:rPr>
        <w:t xml:space="preserve"> </w:t>
      </w:r>
      <w:r>
        <w:rPr>
          <w:rFonts w:ascii="Times New Roman" w:hAnsi="Times New Roman"/>
          <w:b w:val="0"/>
          <w:color w:val="000000"/>
          <w:sz w:val="24"/>
        </w:rPr>
        <w:t xml:space="preserve">[7] Ramalho S, Dopler A, Faller WJ. Ribosome specialization in cancer: a spotlight on ribosomal proteins. NAR Cancer. 2024;4:zcae029.</w:t>
      </w:r>
      <w:r>
        <w:rPr>
          <w:rFonts w:ascii="Times New Roman" w:hAnsi="Times New Roman"/>
          <w:b w:val="0"/>
          <w:color w:val="000000"/>
          <w:sz w:val="24"/>
        </w:rPr>
        <w:t xml:space="preserve"> </w:t>
      </w:r>
      <w:r>
        <w:rPr>
          <w:rFonts w:ascii="Times New Roman" w:hAnsi="Times New Roman"/>
          <w:b w:val="0"/>
          <w:color w:val="000000"/>
          <w:sz w:val="24"/>
        </w:rPr>
        <w:t xml:space="preserve">[8] Jakobsen ST, Siersbaek R. Transcriptional regulation by MYC: an emerging new model. Oncogene. 2025;44:1-7.</w:t>
      </w:r>
      <w:r>
        <w:rPr>
          <w:rFonts w:ascii="Times New Roman" w:hAnsi="Times New Roman"/>
          <w:b w:val="0"/>
          <w:color w:val="000000"/>
          <w:sz w:val="24"/>
        </w:rPr>
        <w:t xml:space="preserve"> </w:t>
      </w:r>
      <w:r>
        <w:rPr>
          <w:rFonts w:ascii="Times New Roman" w:hAnsi="Times New Roman"/>
          <w:b w:val="0"/>
          <w:color w:val="000000"/>
          <w:sz w:val="24"/>
        </w:rPr>
        <w:t xml:space="preserve">[9] Mericskay M, Zuurbier CJ, Lopaschuk GD, Taegtmeyer H. Cardiac intermediary metabolism in heart failure: substrate use, signalling roles and therapeutic targets. Nat Rev Cardiol. 2025;22:704-727.</w:t>
      </w:r>
      <w:r>
        <w:rPr>
          <w:rFonts w:ascii="Times New Roman" w:hAnsi="Times New Roman"/>
          <w:b w:val="0"/>
          <w:color w:val="000000"/>
          <w:sz w:val="24"/>
        </w:rPr>
        <w:t xml:space="preserve"> </w:t>
      </w:r>
      <w:r>
        <w:rPr>
          <w:rFonts w:ascii="Times New Roman" w:hAnsi="Times New Roman"/>
          <w:b w:val="0"/>
          <w:color w:val="000000"/>
          <w:sz w:val="24"/>
        </w:rPr>
        <w:t xml:space="preserve">[10] Abdellatif M, Rainer PP, Sedej S, Kroemer G. Hallmarks of cardiovascular ageing. Nat Rev Cardiol. 2023;20:754-777.</w:t>
      </w:r>
      <w:r>
        <w:rPr>
          <w:rFonts w:ascii="Times New Roman" w:hAnsi="Times New Roman"/>
          <w:b w:val="0"/>
          <w:color w:val="000000"/>
          <w:sz w:val="24"/>
        </w:rPr>
        <w:t xml:space="preserve"> </w:t>
      </w:r>
      <w:r>
        <w:rPr>
          <w:rFonts w:ascii="Times New Roman" w:hAnsi="Times New Roman"/>
          <w:b w:val="0"/>
          <w:color w:val="000000"/>
          <w:sz w:val="24"/>
        </w:rPr>
        <w:t xml:space="preserve">[11] Xie S, Xu M, Deng W, Tang Q. Metabolic landscape in cardiac aging: insights into molecular biology and therapeutic implications. Signal Transduct Target Ther. 2023;8:114.</w:t>
      </w:r>
      <w:r>
        <w:rPr>
          <w:rFonts w:ascii="Times New Roman" w:hAnsi="Times New Roman"/>
          <w:b w:val="0"/>
          <w:color w:val="000000"/>
          <w:sz w:val="24"/>
        </w:rPr>
        <w:t xml:space="preserve"> </w:t>
      </w:r>
      <w:r>
        <w:rPr>
          <w:rFonts w:ascii="Times New Roman" w:hAnsi="Times New Roman"/>
          <w:b w:val="0"/>
          <w:color w:val="000000"/>
          <w:sz w:val="24"/>
        </w:rPr>
        <w:t xml:space="preserve">[12] Goul C, Peruzzo R, Zoncu R. The molecular basis of nutrient sensing and signalling by mTORC1 in metabolism regulation and disease. Nat Rev Mol Cell Biol. 2023;24:857-875.</w:t>
      </w:r>
      <w:r>
        <w:rPr>
          <w:rFonts w:ascii="Times New Roman" w:hAnsi="Times New Roman"/>
          <w:b w:val="0"/>
          <w:color w:val="000000"/>
          <w:sz w:val="24"/>
        </w:rPr>
        <w:t xml:space="preserve"> </w:t>
      </w:r>
      <w:r>
        <w:rPr>
          <w:rFonts w:ascii="Times New Roman" w:hAnsi="Times New Roman"/>
          <w:b w:val="0"/>
          <w:color w:val="000000"/>
          <w:sz w:val="24"/>
        </w:rPr>
        <w:t xml:space="preserve">[13] Lanzer JD, Ramirez Flores RO, Linares Blanco J, et al. A cross-study transcriptional patient map of heart failure defines conserved multicellular coordination in cardiac remodeling. Nat Commun. 2025;16:9659.</w:t>
      </w:r>
      <w:r>
        <w:rPr>
          <w:rFonts w:ascii="Times New Roman" w:hAnsi="Times New Roman"/>
          <w:b w:val="0"/>
          <w:color w:val="000000"/>
          <w:sz w:val="24"/>
        </w:rPr>
        <w:t xml:space="preserve"> </w:t>
      </w:r>
      <w:r>
        <w:rPr>
          <w:rFonts w:ascii="Times New Roman" w:hAnsi="Times New Roman"/>
          <w:b w:val="0"/>
          <w:color w:val="000000"/>
          <w:sz w:val="24"/>
        </w:rPr>
        <w:t xml:space="preserve">[14] Love MI, Huber W, Anders S. Moderated estimation of fold change and dispersion for RNA-seq data with DESeq2. Genome Biol. 2014;15:550.</w:t>
      </w:r>
      <w:r>
        <w:rPr>
          <w:rFonts w:ascii="Times New Roman" w:hAnsi="Times New Roman"/>
          <w:b w:val="0"/>
          <w:color w:val="000000"/>
          <w:sz w:val="24"/>
        </w:rPr>
        <w:t xml:space="preserve"> </w:t>
      </w:r>
      <w:r>
        <w:rPr>
          <w:rFonts w:ascii="Times New Roman" w:hAnsi="Times New Roman"/>
          <w:b w:val="0"/>
          <w:color w:val="000000"/>
          <w:sz w:val="24"/>
        </w:rPr>
        <w:t xml:space="preserve">[15] Zhang B, Horvath S. A general framework for weighted gene co-expression network analysis. Stat Appl Genet Mol Biol. 2005;4:Article 17.</w:t>
      </w:r>
      <w:r>
        <w:rPr>
          <w:rFonts w:ascii="Times New Roman" w:hAnsi="Times New Roman"/>
          <w:b w:val="0"/>
          <w:color w:val="000000"/>
          <w:sz w:val="24"/>
        </w:rPr>
        <w:t xml:space="preserve"> </w:t>
      </w:r>
      <w:r>
        <w:rPr>
          <w:rFonts w:ascii="Times New Roman" w:hAnsi="Times New Roman"/>
          <w:b w:val="0"/>
          <w:color w:val="000000"/>
          <w:sz w:val="24"/>
        </w:rPr>
        <w:t xml:space="preserve">[16] Langfelder P, Horvath S. WGCNA: an R package for weighted correlation network analysis. BMC Bioinformatics. 2008;9:559.</w:t>
      </w:r>
      <w:r>
        <w:rPr>
          <w:rFonts w:ascii="Times New Roman" w:hAnsi="Times New Roman"/>
          <w:b w:val="0"/>
          <w:color w:val="000000"/>
          <w:sz w:val="24"/>
        </w:rPr>
        <w:t xml:space="preserve"> </w:t>
      </w:r>
      <w:r>
        <w:rPr>
          <w:rFonts w:ascii="Times New Roman" w:hAnsi="Times New Roman"/>
          <w:b w:val="0"/>
          <w:color w:val="000000"/>
          <w:sz w:val="24"/>
        </w:rPr>
        <w:t xml:space="preserve">[17] Wu T, Hu E, Xu S, et al. clusterProfiler 4.0: a universal enrichment tool for interpreting omics data. Innovation (Camb). 2021;2:100141.</w:t>
      </w:r>
      <w:r>
        <w:rPr>
          <w:rFonts w:ascii="Times New Roman" w:hAnsi="Times New Roman"/>
          <w:b w:val="0"/>
          <w:color w:val="000000"/>
          <w:sz w:val="24"/>
        </w:rPr>
        <w:t xml:space="preserve"> </w:t>
      </w:r>
      <w:r>
        <w:rPr>
          <w:rFonts w:ascii="Times New Roman" w:hAnsi="Times New Roman"/>
          <w:b w:val="0"/>
          <w:color w:val="000000"/>
          <w:sz w:val="24"/>
        </w:rPr>
        <w:t xml:space="preserve">[18] Hanzelmann S, Castelo R, Guinney J. GSVA: gene set variation analysis for microarray and RNA-seq data. BMC Bioinformatics. 2013;14:7.</w:t>
      </w:r>
      <w:r>
        <w:rPr>
          <w:rFonts w:ascii="Times New Roman" w:hAnsi="Times New Roman"/>
          <w:b w:val="0"/>
          <w:color w:val="000000"/>
          <w:sz w:val="24"/>
        </w:rPr>
        <w:t xml:space="preserve"> </w:t>
      </w:r>
      <w:r>
        <w:rPr>
          <w:rFonts w:ascii="Times New Roman" w:hAnsi="Times New Roman"/>
          <w:b w:val="0"/>
          <w:color w:val="000000"/>
          <w:sz w:val="24"/>
        </w:rPr>
        <w:t xml:space="preserve">[19] Barbie DA, Tamayo P, Boehm JS, et al. Systematic RNA interference reveals that oncogenic KRAS-driven cancers require TBK1. Nature. 2009;462:108-112.</w:t>
      </w:r>
      <w:r>
        <w:rPr>
          <w:rFonts w:ascii="Times New Roman" w:hAnsi="Times New Roman"/>
          <w:b w:val="0"/>
          <w:color w:val="000000"/>
          <w:sz w:val="24"/>
        </w:rPr>
        <w:t xml:space="preserve"> </w:t>
      </w:r>
      <w:r>
        <w:rPr>
          <w:rFonts w:ascii="Times New Roman" w:hAnsi="Times New Roman"/>
          <w:b w:val="0"/>
          <w:color w:val="000000"/>
          <w:sz w:val="24"/>
        </w:rPr>
        <w:t xml:space="preserve">[20] Ritterhoff J, Tian R. Metabolic mechanisms in physiological and pathological cardiac hypertrophy: new paradigms and challenges. Nat Rev Cardiol. 2023;20:739-753.</w:t>
      </w:r>
      <w:r>
        <w:rPr>
          <w:rFonts w:ascii="Times New Roman" w:hAnsi="Times New Roman"/>
          <w:b w:val="0"/>
          <w:color w:val="000000"/>
          <w:sz w:val="24"/>
        </w:rPr>
        <w:t xml:space="preserve"> </w:t>
      </w:r>
      <w:r>
        <w:rPr>
          <w:rFonts w:ascii="Times New Roman" w:hAnsi="Times New Roman"/>
          <w:b w:val="0"/>
          <w:color w:val="000000"/>
          <w:sz w:val="24"/>
        </w:rPr>
        <w:t xml:space="preserve">[21] Costa-Mattioli M, Walter P. The integrated stress response: from mechanism to disease. Science. 2020;368:eaat5314.</w:t>
      </w:r>
      <w:r>
        <w:rPr>
          <w:rFonts w:ascii="Times New Roman" w:hAnsi="Times New Roman"/>
          <w:b w:val="0"/>
          <w:color w:val="000000"/>
          <w:sz w:val="24"/>
        </w:rPr>
        <w:t xml:space="preserve"> </w:t>
      </w:r>
      <w:r>
        <w:rPr>
          <w:rFonts w:ascii="Times New Roman" w:hAnsi="Times New Roman"/>
          <w:b w:val="0"/>
          <w:color w:val="000000"/>
          <w:sz w:val="24"/>
        </w:rPr>
        <w:t xml:space="preserve">[22] Wek RC, Anthony TG, Staschke KA. Surviving and adapting to stress: translational control and the integrated stress response. Antioxid Redox Signal. 2023;39:351-373.</w:t>
      </w:r>
      <w:r>
        <w:rPr>
          <w:rFonts w:ascii="Times New Roman" w:hAnsi="Times New Roman"/>
          <w:b w:val="0"/>
          <w:color w:val="000000"/>
          <w:sz w:val="24"/>
        </w:rPr>
        <w:t xml:space="preserve"> </w:t>
      </w:r>
      <w:r>
        <w:rPr>
          <w:rFonts w:ascii="Times New Roman" w:hAnsi="Times New Roman"/>
          <w:b w:val="0"/>
          <w:color w:val="000000"/>
          <w:sz w:val="24"/>
        </w:rPr>
        <w:t xml:space="preserve">[23] Lu HJ, Koju N, Sheng R. Mammalian integrated stress responses in stressed organelles and their functions. Acta Pharmacol Sin. 2024;45:1095-1114.</w:t>
      </w:r>
      <w:r>
        <w:rPr>
          <w:rFonts w:ascii="Times New Roman" w:hAnsi="Times New Roman"/>
          <w:b w:val="0"/>
          <w:color w:val="000000"/>
          <w:sz w:val="24"/>
        </w:rPr>
        <w:t xml:space="preserve"> </w:t>
      </w:r>
      <w:r>
        <w:rPr>
          <w:rFonts w:ascii="Times New Roman" w:hAnsi="Times New Roman"/>
          <w:b w:val="0"/>
          <w:color w:val="000000"/>
          <w:sz w:val="24"/>
        </w:rPr>
        <w:t xml:space="preserve">[24] Neill G, Masson GR. A stay of execution: ATF4 regulation and potential outcomes for the integrated stress response. Front Mol Neurosci. 2023;16:1112253.</w:t>
      </w:r>
      <w:r>
        <w:rPr>
          <w:rFonts w:ascii="Times New Roman" w:hAnsi="Times New Roman"/>
          <w:b w:val="0"/>
          <w:color w:val="000000"/>
          <w:sz w:val="24"/>
        </w:rPr>
        <w:t xml:space="preserve"> </w:t>
      </w:r>
      <w:r>
        <w:rPr>
          <w:rFonts w:ascii="Times New Roman" w:hAnsi="Times New Roman"/>
          <w:b w:val="0"/>
          <w:color w:val="000000"/>
          <w:sz w:val="24"/>
        </w:rPr>
        <w:t xml:space="preserve">[25] Lines CL, McGrath MJ, Dorwart T, Conn CS. The integrated stress response in cancer progression: a force for plasticity and resistance. Front Oncol. 2023;13:1206561.</w:t>
      </w:r>
      <w:r>
        <w:rPr>
          <w:rFonts w:ascii="Times New Roman" w:hAnsi="Times New Roman"/>
          <w:b w:val="0"/>
          <w:color w:val="000000"/>
          <w:sz w:val="24"/>
        </w:rPr>
        <w:t xml:space="preserve"> </w:t>
      </w:r>
      <w:r>
        <w:rPr>
          <w:rFonts w:ascii="Times New Roman" w:hAnsi="Times New Roman"/>
          <w:b w:val="0"/>
          <w:color w:val="000000"/>
          <w:sz w:val="24"/>
        </w:rPr>
        <w:t xml:space="preserve">[26] Shiraishi C, Matsumoto A, Ichihara K, et al. RPL3L-containing ribosomes determine translation elongation dynamics required for cardiac function. Nat Commun. 2023;14:2131.</w:t>
      </w:r>
    </w:p>
    <w:bookmarkEnd w:id="37"/>
    <w:bookmarkStart w:id="38" w:name="figure-legends"/>
    <w:p>
      <w:pPr>
        <w:pStyle w:val="Heading2"/>
        <w:spacing w:line="480" w:lineRule="auto"/>
      </w:pPr>
      <w:r>
        <w:rPr>
          <w:rFonts w:ascii="Times New Roman" w:hAnsi="Times New Roman"/>
          <w:b/>
          <w:color w:val="000000"/>
          <w:sz w:val="24"/>
        </w:rPr>
        <w:t xml:space="preserve">Figure legends</w:t>
      </w:r>
    </w:p>
    <w:p>
      <w:pPr>
        <w:pStyle w:val="FirstParagraph"/>
        <w:spacing w:line="480" w:lineRule="auto"/>
      </w:pPr>
      <w:r>
        <w:rPr>
          <w:rFonts w:ascii="Times New Roman" w:hAnsi="Times New Roman"/>
          <w:b w:val="0"/>
          <w:bCs/>
          <w:color w:val="000000"/>
          <w:sz w:val="24"/>
        </w:rPr>
        <w:t xml:space="preserve">Fig. 1.</w:t>
      </w:r>
      <w:r>
        <w:rPr>
          <w:rFonts w:ascii="Times New Roman" w:hAnsi="Times New Roman"/>
          <w:b w:val="0"/>
          <w:color w:val="000000"/>
          <w:sz w:val="24"/>
        </w:rPr>
        <w:t xml:space="preserve"> </w:t>
      </w:r>
      <w:r>
        <w:rPr>
          <w:rFonts w:ascii="Times New Roman" w:hAnsi="Times New Roman"/>
          <w:b w:val="0"/>
          <w:color w:val="000000"/>
          <w:sz w:val="24"/>
        </w:rPr>
        <w:t xml:space="preserve">Identification of disease-context-dependent translation-related modules in HF and HCC.**</w:t>
      </w:r>
      <w:r>
        <w:rPr>
          <w:rFonts w:ascii="Times New Roman" w:hAnsi="Times New Roman"/>
          <w:b w:val="0"/>
          <w:color w:val="000000"/>
          <w:sz w:val="24"/>
        </w:rPr>
        <w:t xml:space="preserve"> </w:t>
      </w:r>
      <w:r>
        <w:rPr>
          <w:rFonts w:ascii="Times New Roman" w:hAnsi="Times New Roman"/>
          <w:b w:val="0"/>
          <w:bCs/>
          <w:color w:val="000000"/>
          <w:sz w:val="24"/>
        </w:rPr>
        <w:t xml:space="preserve">a</w:t>
      </w:r>
      <w:r>
        <w:rPr>
          <w:rFonts w:ascii="Times New Roman" w:hAnsi="Times New Roman"/>
          <w:b w:val="0"/>
          <w:color w:val="000000"/>
          <w:sz w:val="24"/>
        </w:rPr>
        <w:t xml:space="preserve">, Gene dendrogram and module assignment from signed WGCNA of GSE57338 (HF,</w:t>
      </w:r>
      <w:r>
        <w:rPr>
          <w:rFonts w:ascii="Times New Roman" w:hAnsi="Times New Roman"/>
          <w:b w:val="0"/>
          <w:color w:val="000000"/>
          <w:sz w:val="24"/>
        </w:rPr>
        <w:t xml:space="preserve">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313). The green module (227 genes) was identified as the translation-related module via GO-based scoring.</w:t>
      </w:r>
      <w:r>
        <w:rPr>
          <w:rFonts w:ascii="Times New Roman" w:hAnsi="Times New Roman"/>
          <w:b w:val="0"/>
          <w:color w:val="000000"/>
          <w:sz w:val="24"/>
        </w:rPr>
        <w:t xml:space="preserve"> </w:t>
      </w:r>
      <w:r>
        <w:rPr>
          <w:rFonts w:ascii="Times New Roman" w:hAnsi="Times New Roman"/>
          <w:b w:val="0"/>
          <w:bCs/>
          <w:color w:val="000000"/>
          <w:sz w:val="24"/>
        </w:rPr>
        <w:t xml:space="preserve">b</w:t>
      </w:r>
      <w:r>
        <w:rPr>
          <w:rFonts w:ascii="Times New Roman" w:hAnsi="Times New Roman"/>
          <w:b w:val="0"/>
          <w:color w:val="000000"/>
          <w:sz w:val="24"/>
        </w:rPr>
        <w:t xml:space="preserve">, Module–trait (HF vs. non-failing) correlation coefficients. Green module: r = −0.521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3.6 × 10⁻²³).</w:t>
      </w:r>
      <w:r>
        <w:rPr>
          <w:rFonts w:ascii="Times New Roman" w:hAnsi="Times New Roman"/>
          <w:b w:val="0"/>
          <w:color w:val="000000"/>
          <w:sz w:val="24"/>
        </w:rPr>
        <w:t xml:space="preserve"> </w:t>
      </w:r>
      <w:r>
        <w:rPr>
          <w:rFonts w:ascii="Times New Roman" w:hAnsi="Times New Roman"/>
          <w:b w:val="0"/>
          <w:bCs/>
          <w:color w:val="000000"/>
          <w:sz w:val="24"/>
        </w:rPr>
        <w:t xml:space="preserve">c</w:t>
      </w:r>
      <w:r>
        <w:rPr>
          <w:rFonts w:ascii="Times New Roman" w:hAnsi="Times New Roman"/>
          <w:b w:val="0"/>
          <w:color w:val="000000"/>
          <w:sz w:val="24"/>
        </w:rPr>
        <w:t xml:space="preserve">, GO Biological Process enrichment of the green module. Top terms include ribosome biogenesis (adjusted</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2.3 × 10⁻¹³) and rRNA processing.</w:t>
      </w:r>
      <w:r>
        <w:rPr>
          <w:rFonts w:ascii="Times New Roman" w:hAnsi="Times New Roman"/>
          <w:b w:val="0"/>
          <w:color w:val="000000"/>
          <w:sz w:val="24"/>
        </w:rPr>
        <w:t xml:space="preserve"> </w:t>
      </w:r>
      <w:r>
        <w:rPr>
          <w:rFonts w:ascii="Times New Roman" w:hAnsi="Times New Roman"/>
          <w:b w:val="0"/>
          <w:bCs/>
          <w:color w:val="000000"/>
          <w:sz w:val="24"/>
        </w:rPr>
        <w:t xml:space="preserve">d</w:t>
      </w:r>
      <w:r>
        <w:rPr>
          <w:rFonts w:ascii="Times New Roman" w:hAnsi="Times New Roman"/>
          <w:b w:val="0"/>
          <w:color w:val="000000"/>
          <w:sz w:val="24"/>
        </w:rPr>
        <w:t xml:space="preserve">, Cross-disease module gene overlap: distribution of HF green module genes across HCC WGCNA modules (GSE141198). Limited gene-level overlap (62 of 227 genes found; Fisher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suggesting disease-context-dependent network organization rather than module conservation.</w:t>
      </w:r>
      <w:r>
        <w:rPr>
          <w:rFonts w:ascii="Times New Roman" w:hAnsi="Times New Roman"/>
          <w:b w:val="0"/>
          <w:color w:val="000000"/>
          <w:sz w:val="24"/>
        </w:rPr>
        <w:t xml:space="preserve"> </w:t>
      </w:r>
      <w:r>
        <w:rPr>
          <w:rFonts w:ascii="Times New Roman" w:hAnsi="Times New Roman"/>
          <w:b w:val="0"/>
          <w:bCs/>
          <w:color w:val="000000"/>
          <w:sz w:val="24"/>
        </w:rPr>
        <w:t xml:space="preserve">Fig. 2.</w:t>
      </w:r>
      <w:r>
        <w:rPr>
          <w:rFonts w:ascii="Times New Roman" w:hAnsi="Times New Roman"/>
          <w:b w:val="0"/>
          <w:color w:val="000000"/>
          <w:sz w:val="24"/>
        </w:rPr>
        <w:t xml:space="preserve"> </w:t>
      </w:r>
      <w:r>
        <w:rPr>
          <w:rFonts w:ascii="Times New Roman" w:hAnsi="Times New Roman"/>
          <w:b w:val="0"/>
          <w:color w:val="000000"/>
          <w:sz w:val="24"/>
        </w:rPr>
        <w:t xml:space="preserve">Cross-disease pathway-level mirror perturbation between HF and HCC.** Scatter plot of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effect sizes for 81 pathways in HCC (TCGA-LIHC, tumor vs. normal, x-axis) versus HF (GSE57338, failing vs. non-failing, y-axis). Translation/ribosome-related pathways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33) are shown as red points; non-translation pathways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48) as gray points. For translation pathways, Spearman ρ = −0.598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0.0003; permutation test with 10,000 iterations,</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0.0079). Dashed lines mark</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 0; the dotted diagonal (y = −x) represents perfect mirror symmetry. Twenty-four of 33 translation pathways fall in Quadrant IV (HCC↑ HF↓), representing the predominant mirror-direction pattern (binomial test</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This pathway-level convergence occurs despite distinct co-expression network organization (Fig. 1), indicating that shared functional themes can emerge from disease-specific regulatory architectures.</w:t>
      </w:r>
      <w:r>
        <w:rPr>
          <w:rFonts w:ascii="Times New Roman" w:hAnsi="Times New Roman"/>
          <w:b w:val="0"/>
          <w:color w:val="000000"/>
          <w:sz w:val="24"/>
        </w:rPr>
        <w:t xml:space="preserve"> </w:t>
      </w:r>
      <w:r>
        <w:rPr>
          <w:rFonts w:ascii="Times New Roman" w:hAnsi="Times New Roman"/>
          <w:b w:val="0"/>
          <w:bCs/>
          <w:color w:val="000000"/>
          <w:sz w:val="24"/>
        </w:rPr>
        <w:t xml:space="preserve">Fig. 3.</w:t>
      </w:r>
      <w:r>
        <w:rPr>
          <w:rFonts w:ascii="Times New Roman" w:hAnsi="Times New Roman"/>
          <w:b w:val="0"/>
          <w:color w:val="000000"/>
          <w:sz w:val="24"/>
        </w:rPr>
        <w:t xml:space="preserve"> </w:t>
      </w:r>
      <w:r>
        <w:rPr>
          <w:rFonts w:ascii="Times New Roman" w:hAnsi="Times New Roman"/>
          <w:b w:val="0"/>
          <w:color w:val="000000"/>
          <w:sz w:val="24"/>
        </w:rPr>
        <w:t xml:space="preserve">Cohort dependency and disease-context analyses of cross-disease mirror perturbation.** Cross-disease Spearman correlation of pathway-level Cohen’s</w:t>
      </w:r>
      <w:r>
        <w:rPr>
          <w:rFonts w:ascii="Times New Roman" w:hAnsi="Times New Roman"/>
          <w:b w:val="0"/>
          <w:color w:val="000000"/>
          <w:sz w:val="24"/>
        </w:rPr>
        <w:t xml:space="preserve"> </w:t>
      </w:r>
      <w:r>
        <w:rPr>
          <w:rFonts w:ascii="Times New Roman" w:hAnsi="Times New Roman"/>
          <w:b w:val="0"/>
          <w:i/>
          <w:iCs/>
          <w:color w:val="000000"/>
          <w:sz w:val="24"/>
        </w:rPr>
        <w:t xml:space="preserve">d</w:t>
      </w:r>
      <w:r>
        <w:rPr>
          <w:rFonts w:ascii="Times New Roman" w:hAnsi="Times New Roman"/>
          <w:b w:val="0"/>
          <w:color w:val="000000"/>
          <w:sz w:val="24"/>
        </w:rPr>
        <w:t xml:space="preserve"> </w:t>
      </w:r>
      <w:r>
        <w:rPr>
          <w:rFonts w:ascii="Times New Roman" w:hAnsi="Times New Roman"/>
          <w:b w:val="0"/>
          <w:color w:val="000000"/>
          <w:sz w:val="24"/>
        </w:rPr>
        <w:t xml:space="preserve">effect sizes (x-axis: HCC, TCGA-LIHC) for 33 translation-related pathways (red) and 48 other pathways (gray).</w:t>
      </w:r>
      <w:r>
        <w:rPr>
          <w:rFonts w:ascii="Times New Roman" w:hAnsi="Times New Roman"/>
          <w:b w:val="0"/>
          <w:color w:val="000000"/>
          <w:sz w:val="24"/>
        </w:rPr>
        <w:t xml:space="preserve"> </w:t>
      </w:r>
      <w:r>
        <w:rPr>
          <w:rFonts w:ascii="Times New Roman" w:hAnsi="Times New Roman"/>
          <w:b w:val="0"/>
          <w:bCs/>
          <w:color w:val="000000"/>
          <w:sz w:val="24"/>
        </w:rPr>
        <w:t xml:space="preserve">a</w:t>
      </w:r>
      <w:r>
        <w:rPr>
          <w:rFonts w:ascii="Times New Roman" w:hAnsi="Times New Roman"/>
          <w:b w:val="0"/>
          <w:color w:val="000000"/>
          <w:sz w:val="24"/>
        </w:rPr>
        <w:t xml:space="preserve">, HF discovery cohort (GSE57338): ρ = −0.598, 24/33 mirror.</w:t>
      </w:r>
      <w:r>
        <w:rPr>
          <w:rFonts w:ascii="Times New Roman" w:hAnsi="Times New Roman"/>
          <w:b w:val="0"/>
          <w:color w:val="000000"/>
          <w:sz w:val="24"/>
        </w:rPr>
        <w:t xml:space="preserve"> </w:t>
      </w:r>
      <w:r>
        <w:rPr>
          <w:rFonts w:ascii="Times New Roman" w:hAnsi="Times New Roman"/>
          <w:b w:val="0"/>
          <w:bCs/>
          <w:color w:val="000000"/>
          <w:sz w:val="24"/>
        </w:rPr>
        <w:t xml:space="preserve">b</w:t>
      </w:r>
      <w:r>
        <w:rPr>
          <w:rFonts w:ascii="Times New Roman" w:hAnsi="Times New Roman"/>
          <w:b w:val="0"/>
          <w:color w:val="000000"/>
          <w:sz w:val="24"/>
        </w:rPr>
        <w:t xml:space="preserve">, Cardiac same-organ control (GSE141910, HCM vs. NF): ρ = −0.036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0.84) — no mirror perturbation, excluding a generic cardiac disease effect.</w:t>
      </w:r>
      <w:r>
        <w:rPr>
          <w:rFonts w:ascii="Times New Roman" w:hAnsi="Times New Roman"/>
          <w:b w:val="0"/>
          <w:color w:val="000000"/>
          <w:sz w:val="24"/>
        </w:rPr>
        <w:t xml:space="preserve"> </w:t>
      </w:r>
      <w:r>
        <w:rPr>
          <w:rFonts w:ascii="Times New Roman" w:hAnsi="Times New Roman"/>
          <w:b w:val="0"/>
          <w:bCs/>
          <w:color w:val="000000"/>
          <w:sz w:val="24"/>
        </w:rPr>
        <w:t xml:space="preserve">c</w:t>
      </w:r>
      <w:r>
        <w:rPr>
          <w:rFonts w:ascii="Times New Roman" w:hAnsi="Times New Roman"/>
          <w:b w:val="0"/>
          <w:color w:val="000000"/>
          <w:sz w:val="24"/>
        </w:rPr>
        <w:t xml:space="preserve">, Liver same-organ control (GSE89377, cirrhosis vs. normal): ρ = +0.402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0.021) — translation pathways positively correlated with HCC, consistent with progressive remodeling of translation-related programs during hepatocarcinogenesis.</w:t>
      </w:r>
      <w:r>
        <w:rPr>
          <w:rFonts w:ascii="Times New Roman" w:hAnsi="Times New Roman"/>
          <w:b w:val="0"/>
          <w:color w:val="000000"/>
          <w:sz w:val="24"/>
        </w:rPr>
        <w:t xml:space="preserve"> </w:t>
      </w:r>
      <w:r>
        <w:rPr>
          <w:rFonts w:ascii="Times New Roman" w:hAnsi="Times New Roman"/>
          <w:b w:val="0"/>
          <w:bCs/>
          <w:color w:val="000000"/>
          <w:sz w:val="24"/>
        </w:rPr>
        <w:t xml:space="preserve">d</w:t>
      </w:r>
      <w:r>
        <w:rPr>
          <w:rFonts w:ascii="Times New Roman" w:hAnsi="Times New Roman"/>
          <w:b w:val="0"/>
          <w:color w:val="000000"/>
          <w:sz w:val="24"/>
        </w:rPr>
        <w:t xml:space="preserve">, Independent HF cohort (GSE116250): overall cross-disease trend retained (all-pathway ρ = −0.283,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0.011); translation-subset shows cohort-dependent heterogeneity (ρ = +0.249, 14/33 mirror), indicating that the magnitude of mirror perturbation varies with disease etiology, severity, and platform. Mirror perturbation was absent in both same-organ comparisons, supporting disease-context dependence.</w:t>
      </w:r>
      <w:r>
        <w:rPr>
          <w:rFonts w:ascii="Times New Roman" w:hAnsi="Times New Roman"/>
          <w:b w:val="0"/>
          <w:color w:val="000000"/>
          <w:sz w:val="24"/>
        </w:rPr>
        <w:t xml:space="preserve"> </w:t>
      </w:r>
      <w:r>
        <w:rPr>
          <w:rFonts w:ascii="Times New Roman" w:hAnsi="Times New Roman"/>
          <w:b w:val="0"/>
          <w:bCs/>
          <w:color w:val="000000"/>
          <w:sz w:val="24"/>
        </w:rPr>
        <w:t xml:space="preserve">Fig. 4.</w:t>
      </w:r>
      <w:r>
        <w:rPr>
          <w:rFonts w:ascii="Times New Roman" w:hAnsi="Times New Roman"/>
          <w:b w:val="0"/>
          <w:color w:val="000000"/>
          <w:sz w:val="24"/>
        </w:rPr>
        <w:t xml:space="preserve"> </w:t>
      </w:r>
      <w:r>
        <w:rPr>
          <w:rFonts w:ascii="Times New Roman" w:hAnsi="Times New Roman"/>
          <w:b w:val="0"/>
          <w:color w:val="000000"/>
          <w:sz w:val="24"/>
        </w:rPr>
        <w:t xml:space="preserve">TATS exploratory clinical association and hub gene significance.**</w:t>
      </w:r>
      <w:r>
        <w:rPr>
          <w:rFonts w:ascii="Times New Roman" w:hAnsi="Times New Roman"/>
          <w:b w:val="0"/>
          <w:color w:val="000000"/>
          <w:sz w:val="24"/>
        </w:rPr>
        <w:t xml:space="preserve"> </w:t>
      </w:r>
      <w:r>
        <w:rPr>
          <w:rFonts w:ascii="Times New Roman" w:hAnsi="Times New Roman"/>
          <w:b w:val="0"/>
          <w:bCs/>
          <w:color w:val="000000"/>
          <w:sz w:val="24"/>
        </w:rPr>
        <w:t xml:space="preserve">a</w:t>
      </w:r>
      <w:r>
        <w:rPr>
          <w:rFonts w:ascii="Times New Roman" w:hAnsi="Times New Roman"/>
          <w:b w:val="0"/>
          <w:color w:val="000000"/>
          <w:sz w:val="24"/>
        </w:rPr>
        <w:t xml:space="preserve">, Kaplan–Meier overall survival curves for TATS (median split) in the GSE141198 HCC cohort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94 events). Log-rank</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0.303; Cox HR = 1.68, 95% CI [0.67, 4.21],</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0.265. TATS was not significantly associated with overall survival.</w:t>
      </w:r>
      <w:r>
        <w:rPr>
          <w:rFonts w:ascii="Times New Roman" w:hAnsi="Times New Roman"/>
          <w:b w:val="0"/>
          <w:color w:val="000000"/>
          <w:sz w:val="24"/>
        </w:rPr>
        <w:t xml:space="preserve"> </w:t>
      </w:r>
      <w:r>
        <w:rPr>
          <w:rFonts w:ascii="Times New Roman" w:hAnsi="Times New Roman"/>
          <w:b w:val="0"/>
          <w:bCs/>
          <w:color w:val="000000"/>
          <w:sz w:val="24"/>
        </w:rPr>
        <w:t xml:space="preserve">b</w:t>
      </w:r>
      <w:r>
        <w:rPr>
          <w:rFonts w:ascii="Times New Roman" w:hAnsi="Times New Roman"/>
          <w:b w:val="0"/>
          <w:color w:val="000000"/>
          <w:sz w:val="24"/>
        </w:rPr>
        <w:t xml:space="preserve">, Gene Significance (Pearson correlation with HF status) for the top ten green module hub genes in GSE57338. All hub genes show negative Gene Significance, consistent with reduced expression of translation-associated hub genes in HF.</w:t>
      </w:r>
      <w:r>
        <w:rPr>
          <w:rFonts w:ascii="Times New Roman" w:hAnsi="Times New Roman"/>
          <w:b w:val="0"/>
          <w:color w:val="000000"/>
          <w:sz w:val="24"/>
        </w:rPr>
        <w:t xml:space="preserve"> </w:t>
      </w:r>
      <w:r>
        <w:rPr>
          <w:rFonts w:ascii="Times New Roman" w:hAnsi="Times New Roman"/>
          <w:b w:val="0"/>
          <w:bCs/>
          <w:color w:val="000000"/>
          <w:sz w:val="24"/>
        </w:rPr>
        <w:t xml:space="preserve">Fig. 5.</w:t>
      </w:r>
      <w:r>
        <w:rPr>
          <w:rFonts w:ascii="Times New Roman" w:hAnsi="Times New Roman"/>
          <w:b w:val="0"/>
          <w:color w:val="000000"/>
          <w:sz w:val="24"/>
        </w:rPr>
        <w:t xml:space="preserve"> </w:t>
      </w:r>
      <w:r>
        <w:rPr>
          <w:rFonts w:ascii="Times New Roman" w:hAnsi="Times New Roman"/>
          <w:b w:val="0"/>
          <w:color w:val="000000"/>
          <w:sz w:val="24"/>
        </w:rPr>
        <w:t xml:space="preserve">Transcription factor associations, pathway activity, and conceptual model of translation-related transcriptional remodeling in HCC.**</w:t>
      </w:r>
      <w:r>
        <w:rPr>
          <w:rFonts w:ascii="Times New Roman" w:hAnsi="Times New Roman"/>
          <w:b w:val="0"/>
          <w:color w:val="000000"/>
          <w:sz w:val="24"/>
        </w:rPr>
        <w:t xml:space="preserve"> </w:t>
      </w:r>
      <w:r>
        <w:rPr>
          <w:rFonts w:ascii="Times New Roman" w:hAnsi="Times New Roman"/>
          <w:b w:val="0"/>
          <w:bCs/>
          <w:color w:val="000000"/>
          <w:sz w:val="24"/>
        </w:rPr>
        <w:t xml:space="preserve">a</w:t>
      </w:r>
      <w:r>
        <w:rPr>
          <w:rFonts w:ascii="Times New Roman" w:hAnsi="Times New Roman"/>
          <w:b w:val="0"/>
          <w:color w:val="000000"/>
          <w:sz w:val="24"/>
        </w:rPr>
        <w:t xml:space="preserve">, Spearman correlation of 19 candidate transcription factors with TATS in GSE141198 tumor samples (</w:t>
      </w:r>
      <w:r>
        <w:rPr>
          <w:rFonts w:ascii="Times New Roman" w:hAnsi="Times New Roman"/>
          <w:b w:val="0"/>
          <w:i/>
          <w:iCs/>
          <w:color w:val="000000"/>
          <w:sz w:val="24"/>
        </w:rPr>
        <w:t xml:space="preserve">n</w:t>
      </w:r>
      <w:r>
        <w:rPr>
          <w:rFonts w:ascii="Times New Roman" w:hAnsi="Times New Roman"/>
          <w:b w:val="0"/>
          <w:color w:val="000000"/>
          <w:sz w:val="24"/>
        </w:rPr>
        <w:t xml:space="preserve"> </w:t>
      </w:r>
      <w:r>
        <w:rPr>
          <w:rFonts w:ascii="Times New Roman" w:hAnsi="Times New Roman"/>
          <w:b w:val="0"/>
          <w:color w:val="000000"/>
          <w:sz w:val="24"/>
        </w:rPr>
        <w:t xml:space="preserve">= 148). Red bars: positive correlation (FDR &lt; 0.05); blue bars: negative correlation (FDR &lt; 0.05); gray: not significant. ATF4 is the strongest individual TF correlate (ρ = +0.500, FDR &lt; 0.0001).</w:t>
      </w:r>
      <w:r>
        <w:rPr>
          <w:rFonts w:ascii="Times New Roman" w:hAnsi="Times New Roman"/>
          <w:b w:val="0"/>
          <w:color w:val="000000"/>
          <w:sz w:val="24"/>
        </w:rPr>
        <w:t xml:space="preserve"> </w:t>
      </w:r>
      <w:r>
        <w:rPr>
          <w:rFonts w:ascii="Times New Roman" w:hAnsi="Times New Roman"/>
          <w:b w:val="0"/>
          <w:bCs/>
          <w:color w:val="000000"/>
          <w:sz w:val="24"/>
        </w:rPr>
        <w:t xml:space="preserve">b</w:t>
      </w:r>
      <w:r>
        <w:rPr>
          <w:rFonts w:ascii="Times New Roman" w:hAnsi="Times New Roman"/>
          <w:b w:val="0"/>
          <w:color w:val="000000"/>
          <w:sz w:val="24"/>
        </w:rPr>
        <w:t xml:space="preserve">, Spearman correlation of Hallmark pathway ssGSEA scores with TATS. MYC Targets V2 pathway activity shows the strongest overall association (ρ = +0.753,</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exceeding MYC mRNA level alone (ρ = +0.255). ATF4/ISR (stress-responsive) and MYC (proliferative) represent complementary transcriptional dimensions associated with translation-related transcriptional remodeling.</w:t>
      </w:r>
      <w:r>
        <w:rPr>
          <w:rFonts w:ascii="Times New Roman" w:hAnsi="Times New Roman"/>
          <w:b w:val="0"/>
          <w:color w:val="000000"/>
          <w:sz w:val="24"/>
        </w:rPr>
        <w:t xml:space="preserve"> </w:t>
      </w:r>
      <w:r>
        <w:rPr>
          <w:rFonts w:ascii="Times New Roman" w:hAnsi="Times New Roman"/>
          <w:b w:val="0"/>
          <w:bCs/>
          <w:color w:val="000000"/>
          <w:sz w:val="24"/>
        </w:rPr>
        <w:t xml:space="preserve">c</w:t>
      </w:r>
      <w:r>
        <w:rPr>
          <w:rFonts w:ascii="Times New Roman" w:hAnsi="Times New Roman"/>
          <w:b w:val="0"/>
          <w:color w:val="000000"/>
          <w:sz w:val="24"/>
        </w:rPr>
        <w:t xml:space="preserve">, Conceptual model of disease-context-dependent remodeling. (Top) HF and HCC exhibit distinct co-expression network organization (green module, 227 genes, ribosome biogenesis vs. blue module, 1,315 genes, cytoplasmic translation) with limited gene-level overlap (Fisher’s exact test, OR = 1.7,</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0.039), yet converge on opposite-direction pathway perturbation (24/33 mirror pathways, ρ = −0.598). (Middle) Same-organ disease controls confirm disease-context dependence: HCM vs. NF shows no mirror perturbation (ρ = −0.036), excluding a broad cardiac disease-related explanation; cirrhosis vs. normal shows positive correlation (ρ = +0.402), consistent with progressive remodeling of translation-related programs during hepatocarcinogenesis; an independent HF cohort (GSE116250) shows partial replication (14/33 mirror pathways), indicating severity/etiology-dependent variability. (Bottom) Two complementary candidate regulatory dimensions associated with TATS in HCC: stress-responsive (ATF4/ISR, ρ = +0.500) and proliferative (MYC pathway, ρ = +0.753).</w:t>
      </w:r>
    </w:p>
    <w:bookmarkEnd w:id="38"/>
    <w:bookmarkStart w:id="39" w:name="supplementary-figure-legends"/>
    <w:p>
      <w:pPr>
        <w:pStyle w:val="Heading2"/>
        <w:spacing w:line="480" w:lineRule="auto"/>
      </w:pPr>
      <w:r>
        <w:rPr>
          <w:rFonts w:ascii="Times New Roman" w:hAnsi="Times New Roman"/>
          <w:b/>
          <w:color w:val="000000"/>
          <w:sz w:val="24"/>
        </w:rPr>
        <w:t xml:space="preserve">Supplementary figure legends</w:t>
      </w:r>
    </w:p>
    <w:p>
      <w:pPr>
        <w:pStyle w:val="FirstParagraph"/>
        <w:spacing w:line="480" w:lineRule="auto"/>
      </w:pPr>
      <w:r>
        <w:rPr>
          <w:rFonts w:ascii="Times New Roman" w:hAnsi="Times New Roman"/>
          <w:b w:val="0"/>
          <w:bCs/>
          <w:color w:val="000000"/>
          <w:sz w:val="24"/>
        </w:rPr>
        <w:t xml:space="preserve">Supplementary Fig. S1.</w:t>
      </w:r>
      <w:r>
        <w:rPr>
          <w:rFonts w:ascii="Times New Roman" w:hAnsi="Times New Roman"/>
          <w:b w:val="0"/>
          <w:color w:val="000000"/>
          <w:sz w:val="24"/>
        </w:rPr>
        <w:t xml:space="preserve"> </w:t>
      </w:r>
      <w:r>
        <w:rPr>
          <w:rFonts w:ascii="Times New Roman" w:hAnsi="Times New Roman"/>
          <w:b w:val="0"/>
          <w:color w:val="000000"/>
          <w:sz w:val="24"/>
        </w:rPr>
        <w:t xml:space="preserve">Green module hub gene identification. Scatter plot of Module Membership (MM) versus Gene Significance (GS, HF vs. non-failing) for the 227 green module genes; hub genes (|GS| &gt; 0.2 and |MM| &gt; 0.8) are highlighted.</w:t>
      </w:r>
    </w:p>
    <w:p>
      <w:pPr>
        <w:pStyle w:val="BodyText"/>
        <w:spacing w:line="480" w:lineRule="auto"/>
      </w:pPr>
      <w:r>
        <w:rPr>
          <w:rFonts w:ascii="Times New Roman" w:hAnsi="Times New Roman"/>
          <w:b w:val="0"/>
          <w:bCs/>
          <w:color w:val="000000"/>
          <w:sz w:val="24"/>
        </w:rPr>
        <w:t xml:space="preserve">Supplementary Fig. S3.</w:t>
      </w:r>
      <w:r>
        <w:rPr>
          <w:rFonts w:ascii="Times New Roman" w:hAnsi="Times New Roman"/>
          <w:b w:val="0"/>
          <w:color w:val="000000"/>
          <w:sz w:val="24"/>
        </w:rPr>
        <w:t xml:space="preserve"> </w:t>
      </w:r>
      <w:r>
        <w:rPr>
          <w:rFonts w:ascii="Times New Roman" w:hAnsi="Times New Roman"/>
          <w:b w:val="0"/>
          <w:color w:val="000000"/>
          <w:sz w:val="24"/>
        </w:rPr>
        <w:t xml:space="preserve">Soft threshold selection for WGCNA. (a) GSE141198 (HCC, β = 4, R² = 0.84); (b) GSE57338 (HF, β = 17, signed R² = 0.865). Left panels: scale-free topology model fit (signed R²); right panels: mean connectivity.</w:t>
      </w:r>
    </w:p>
    <w:p>
      <w:pPr>
        <w:pStyle w:val="BodyText"/>
        <w:spacing w:line="480" w:lineRule="auto"/>
      </w:pPr>
      <w:r>
        <w:rPr>
          <w:rFonts w:ascii="Times New Roman" w:hAnsi="Times New Roman"/>
          <w:b w:val="0"/>
          <w:bCs/>
          <w:color w:val="000000"/>
          <w:sz w:val="24"/>
        </w:rPr>
        <w:t xml:space="preserve">Supplementary Fig. S4.</w:t>
      </w:r>
      <w:r>
        <w:rPr>
          <w:rFonts w:ascii="Times New Roman" w:hAnsi="Times New Roman"/>
          <w:b w:val="0"/>
          <w:color w:val="000000"/>
          <w:sz w:val="24"/>
        </w:rPr>
        <w:t xml:space="preserve"> </w:t>
      </w:r>
      <w:r>
        <w:rPr>
          <w:rFonts w:ascii="Times New Roman" w:hAnsi="Times New Roman"/>
          <w:b w:val="0"/>
          <w:color w:val="000000"/>
          <w:sz w:val="24"/>
        </w:rPr>
        <w:t xml:space="preserve">Green module internal robustness and cross-disease coherence assessment. (a) Permutation test: mean intra-modular TOM of the green module (227 genes) versus a null distribution from 10,000 random gene sets of equal size (Z = 62.8, permutation</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&lt; 0.0001). (b) Intra-modular connectivity by module. (c) Cross-disease coherence of green module genes in the independent HCC expression matrix (GSE141198) versus 1,000 random gene sets (Z = 2.9,</w:t>
      </w:r>
      <w:r>
        <w:rPr>
          <w:rFonts w:ascii="Times New Roman" w:hAnsi="Times New Roman"/>
          <w:b w:val="0"/>
          <w:color w:val="000000"/>
          <w:sz w:val="24"/>
        </w:rPr>
        <w:t xml:space="preserve"> </w:t>
      </w:r>
      <w:r>
        <w:rPr>
          <w:rFonts w:ascii="Times New Roman" w:hAnsi="Times New Roman"/>
          <w:b w:val="0"/>
          <w:i/>
          <w:iCs/>
          <w:color w:val="000000"/>
          <w:sz w:val="24"/>
        </w:rPr>
        <w:t xml:space="preserve">P</w:t>
      </w:r>
      <w:r>
        <w:rPr>
          <w:rFonts w:ascii="Times New Roman" w:hAnsi="Times New Roman"/>
          <w:b w:val="0"/>
          <w:color w:val="000000"/>
          <w:sz w:val="24"/>
        </w:rPr>
        <w:t xml:space="preserve"> </w:t>
      </w:r>
      <w:r>
        <w:rPr>
          <w:rFonts w:ascii="Times New Roman" w:hAnsi="Times New Roman"/>
          <w:b w:val="0"/>
          <w:color w:val="000000"/>
          <w:sz w:val="24"/>
        </w:rPr>
        <w:t xml:space="preserve">= 0.008).</w:t>
      </w:r>
    </w:p>
    <w:bookmarkEnd w:id="39"/>
    <w:bookmarkEnd w:id="40"/>
    <w:sectPr>
      <w:footnotePr>
        <w:numRestart w:val="eachSect"/>
      </w:footnotePr>
      <w:pgSz w:w="12240" w:h="15840"/>
      <w:pgMar w:top="1440" w:bottom="1440" w:left="1440" w:right="1440"/>
      <w:lnNumType w:countBy="1" w:start="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480" w:lineRule="auto"/>
    </w:pPr>
    <w:rPr>
      <w:rFonts w:ascii="Times New Roman" w:hAnsi="Times New Roman"/>
      <w:b w:val="0"/>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0" w:line="480" w:lineRule="auto"/>
      <w:outlineLvl w:val="0"/>
    </w:pPr>
    <w:rPr>
      <w:rFonts w:asciiTheme="majorHAnsi" w:cstheme="majorBidi" w:eastAsiaTheme="majorEastAsia" w:hAnsiTheme="majorHAnsi" w:ascii="Times New Roman" w:hAnsi="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0" w:line="480" w:lineRule="auto"/>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0" w:line="480"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2026-08-16T08:42:56Z</dcterms:created>
  <dcterms:modified xsi:type="dcterms:W3CDTF">2026-08-16T08:42:56Z</dcterms:modified>
</cp:coreProperties>
</file>

<file path=docProps/custom.xml><?xml version="1.0" encoding="utf-8"?>
<Properties xmlns="http://schemas.openxmlformats.org/officeDocument/2006/custom-properties" xmlns:vt="http://schemas.openxmlformats.org/officeDocument/2006/docPropsVTypes"/>
</file>