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C5413">
      <w:pPr>
        <w:pStyle w:val="23"/>
        <w:spacing w:line="360" w:lineRule="auto"/>
      </w:pPr>
      <w:r>
        <w:rPr>
          <w:rFonts w:ascii="Times New Roman" w:hAnsi="Times New Roman"/>
          <w:b w:val="0"/>
          <w:color w:val="000000"/>
          <w:sz w:val="22"/>
        </w:rPr>
        <w:t>Article</w:t>
      </w:r>
    </w:p>
    <w:p w14:paraId="209888A5">
      <w:pPr>
        <w:pStyle w:val="2"/>
        <w:spacing w:line="360" w:lineRule="auto"/>
        <w:jc w:val="both"/>
        <w:rPr>
          <w:sz w:val="32"/>
          <w:szCs w:val="32"/>
        </w:rPr>
      </w:pPr>
      <w:bookmarkStart w:id="0" w:name="X2eefefa1a8d5dbb69c6c6115ed26e4b3163d59b"/>
      <w:r>
        <w:rPr>
          <w:rFonts w:ascii="Times New Roman" w:hAnsi="Times New Roman"/>
          <w:b/>
          <w:color w:val="000000"/>
          <w:sz w:val="32"/>
          <w:szCs w:val="32"/>
        </w:rPr>
        <w:t>Distinct networks drive mirror perturbation of translation-related transcription in heart failure and hepatoc</w:t>
      </w:r>
      <w:bookmarkStart w:id="29" w:name="_GoBack"/>
      <w:bookmarkEnd w:id="29"/>
      <w:r>
        <w:rPr>
          <w:rFonts w:ascii="Times New Roman" w:hAnsi="Times New Roman"/>
          <w:b/>
          <w:color w:val="000000"/>
          <w:sz w:val="32"/>
          <w:szCs w:val="32"/>
        </w:rPr>
        <w:t>ellular carcinoma</w:t>
      </w:r>
    </w:p>
    <w:p w14:paraId="7C07F522">
      <w:pPr>
        <w:pStyle w:val="23"/>
        <w:spacing w:line="360" w:lineRule="auto"/>
        <w:jc w:val="both"/>
      </w:pPr>
      <w:r>
        <w:rPr>
          <w:rFonts w:ascii="Times New Roman" w:hAnsi="Times New Roman"/>
          <w:b w:val="0"/>
          <w:i/>
          <w:iCs/>
          <w:color w:val="000000"/>
          <w:sz w:val="22"/>
        </w:rPr>
        <w:t>[Author information redacted for double-blind peer review. Full author list, affiliations, and contact details are provided in the Cover Letter.]</w:t>
      </w:r>
    </w:p>
    <w:p w14:paraId="0ACAF46D">
      <w:pPr>
        <w:pStyle w:val="23"/>
        <w:spacing w:line="360" w:lineRule="auto"/>
        <w:jc w:val="both"/>
      </w:pPr>
      <w:r>
        <w:rPr>
          <w:rFonts w:ascii="Times New Roman" w:hAnsi="Times New Roman"/>
          <w:b w:val="0"/>
          <w:bCs/>
          <w:color w:val="000000"/>
          <w:sz w:val="22"/>
        </w:rPr>
        <w:t xml:space="preserve">Heart failure (HF) and hepatocellular carcinoma (HCC) both exhibit dysregulation of translation-related gene expression, yet whether this reflects shared transcriptional organization or disease-specific remodeling remains unresolved. Here we show that translation-related transcriptional programs in HF and HCC are organized through disease-specific co-expression networks, yet converge on opposite-direction pathway perturbation. Weighted gene co-expression network analysis of HF (GSE57338, </w:t>
      </w:r>
      <w:r>
        <w:rPr>
          <w:rFonts w:ascii="Times New Roman" w:hAnsi="Times New Roman"/>
          <w:b w:val="0"/>
          <w:bCs/>
          <w:i/>
          <w:iCs/>
          <w:color w:val="000000"/>
          <w:sz w:val="22"/>
        </w:rPr>
        <w:t>n</w:t>
      </w:r>
      <w:r>
        <w:rPr>
          <w:rFonts w:ascii="Times New Roman" w:hAnsi="Times New Roman"/>
          <w:b w:val="0"/>
          <w:bCs/>
          <w:color w:val="000000"/>
          <w:sz w:val="22"/>
        </w:rPr>
        <w:t xml:space="preserve"> = 313) and HCC (GSE141198, </w:t>
      </w:r>
      <w:r>
        <w:rPr>
          <w:rFonts w:ascii="Times New Roman" w:hAnsi="Times New Roman"/>
          <w:b w:val="0"/>
          <w:bCs/>
          <w:i/>
          <w:iCs/>
          <w:color w:val="000000"/>
          <w:sz w:val="22"/>
        </w:rPr>
        <w:t>n</w:t>
      </w:r>
      <w:r>
        <w:rPr>
          <w:rFonts w:ascii="Times New Roman" w:hAnsi="Times New Roman"/>
          <w:b w:val="0"/>
          <w:bCs/>
          <w:color w:val="000000"/>
          <w:sz w:val="22"/>
        </w:rPr>
        <w:t xml:space="preserve"> = 148) transcriptomes identified translation-related modules with limited gene-level overlap (62/227 genes; Fisher’s OR = 1.7, </w:t>
      </w:r>
      <w:r>
        <w:rPr>
          <w:rFonts w:ascii="Times New Roman" w:hAnsi="Times New Roman"/>
          <w:b w:val="0"/>
          <w:bCs/>
          <w:i/>
          <w:iCs/>
          <w:color w:val="000000"/>
          <w:sz w:val="22"/>
        </w:rPr>
        <w:t>P</w:t>
      </w:r>
      <w:r>
        <w:rPr>
          <w:rFonts w:ascii="Times New Roman" w:hAnsi="Times New Roman"/>
          <w:b w:val="0"/>
          <w:bCs/>
          <w:color w:val="000000"/>
          <w:sz w:val="22"/>
        </w:rPr>
        <w:t xml:space="preserve"> = 0.039). Despite distinct network architecture, 24 of 33 translation-related pathways showed mirror perturbation between diseases (Spearman ρ = −0.598, </w:t>
      </w:r>
      <w:r>
        <w:rPr>
          <w:rFonts w:ascii="Times New Roman" w:hAnsi="Times New Roman"/>
          <w:b w:val="0"/>
          <w:bCs/>
          <w:i/>
          <w:iCs/>
          <w:color w:val="000000"/>
          <w:sz w:val="22"/>
        </w:rPr>
        <w:t>P</w:t>
      </w:r>
      <w:r>
        <w:rPr>
          <w:rFonts w:ascii="Times New Roman" w:hAnsi="Times New Roman"/>
          <w:b w:val="0"/>
          <w:bCs/>
          <w:color w:val="000000"/>
          <w:sz w:val="22"/>
        </w:rPr>
        <w:t xml:space="preserve"> = 0.0003). This mirror pattern was absent in same-organ disease controls, including hypertrophic cardiomyopathy (ρ = −0.036) and cirrhosis (ρ = +0.402), supporting disease-context dependence rather than organ-specific confounding. ATF4 was the strongest individual transcription factor correlate with translational activity (ρ = +0.500, FDR &lt; 0.0001), while MYC target pathway activity showed the highest overall association (ρ = +0.753, </w:t>
      </w:r>
      <w:r>
        <w:rPr>
          <w:rFonts w:ascii="Times New Roman" w:hAnsi="Times New Roman"/>
          <w:b w:val="0"/>
          <w:bCs/>
          <w:i/>
          <w:iCs/>
          <w:color w:val="000000"/>
          <w:sz w:val="22"/>
        </w:rPr>
        <w:t>P</w:t>
      </w:r>
      <w:r>
        <w:rPr>
          <w:rFonts w:ascii="Times New Roman" w:hAnsi="Times New Roman"/>
          <w:b w:val="0"/>
          <w:bCs/>
          <w:color w:val="000000"/>
          <w:sz w:val="22"/>
        </w:rPr>
        <w:t xml:space="preserve"> &lt; 0.0001). These findings identify disease-context-dependent remodeling — shared functional themes emerging through distinct network configurations with opposite perturbation directions — as an organizing principle of translation-related transcriptional programs across diseases.</w:t>
      </w:r>
    </w:p>
    <w:p w14:paraId="0E40C3F5">
      <w:pPr>
        <w:pStyle w:val="3"/>
        <w:spacing w:line="360" w:lineRule="auto"/>
        <w:jc w:val="both"/>
      </w:pPr>
      <w:r>
        <w:rPr>
          <w:rFonts w:ascii="Times New Roman" w:hAnsi="Times New Roman"/>
          <w:b w:val="0"/>
          <w:bCs/>
          <w:color w:val="000000"/>
          <w:sz w:val="22"/>
        </w:rPr>
        <w:t>Keywords:</w:t>
      </w:r>
      <w:r>
        <w:rPr>
          <w:rFonts w:ascii="Times New Roman" w:hAnsi="Times New Roman"/>
          <w:b w:val="0"/>
          <w:color w:val="000000"/>
          <w:sz w:val="22"/>
        </w:rPr>
        <w:t xml:space="preserve"> Translation · Heart failure · Hepatocellular carcinoma · WGCNA · ssGSEA · ATF4 · Integrated stress response · MYC</w:t>
      </w:r>
    </w:p>
    <w:p w14:paraId="58F57B6C">
      <w:pPr>
        <w:pStyle w:val="23"/>
        <w:spacing w:line="360" w:lineRule="auto"/>
        <w:jc w:val="both"/>
      </w:pPr>
      <w:r>
        <w:rPr>
          <w:rFonts w:ascii="Times New Roman" w:hAnsi="Times New Roman"/>
          <w:b w:val="0"/>
          <w:color w:val="000000"/>
          <w:sz w:val="22"/>
        </w:rPr>
        <w:t>Heart failure (HF) and hepatocellular carcinoma (HCC) appear clinically divergent: HF is a chronic degenerative condition of the myocardium, HCC an aggressive malignancy of the liver. Yet beneath this superficial distinction lies a shared molecular landscape. Both diseases undergo profound metabolic reprogramming — the failing heart faces chronic ATP deficit and substrate depletion</w:t>
      </w:r>
      <w:r>
        <w:rPr>
          <w:rFonts w:ascii="Times New Roman" w:hAnsi="Times New Roman"/>
          <w:b w:val="0"/>
          <w:color w:val="000000"/>
          <w:sz w:val="22"/>
          <w:vertAlign w:val="superscript"/>
        </w:rPr>
        <w:t>[1,2]</w:t>
      </w:r>
      <w:r>
        <w:rPr>
          <w:rFonts w:ascii="Times New Roman" w:hAnsi="Times New Roman"/>
          <w:b w:val="0"/>
          <w:color w:val="000000"/>
          <w:sz w:val="22"/>
        </w:rPr>
        <w:t>, while HCC cells rewire central carbon metabolism to sustain unrestrained proliferation</w:t>
      </w:r>
      <w:r>
        <w:rPr>
          <w:rFonts w:ascii="Times New Roman" w:hAnsi="Times New Roman"/>
          <w:b w:val="0"/>
          <w:color w:val="000000"/>
          <w:sz w:val="22"/>
          <w:vertAlign w:val="superscript"/>
        </w:rPr>
        <w:t>[3,4]</w:t>
      </w:r>
      <w:r>
        <w:rPr>
          <w:rFonts w:ascii="Times New Roman" w:hAnsi="Times New Roman"/>
          <w:b w:val="0"/>
          <w:color w:val="000000"/>
          <w:sz w:val="22"/>
        </w:rPr>
        <w:t>. Both exhibit disrupted protein homeostasis, the balance among protein synthesis, folding, and degradation that is essential for cellular function and survival</w:t>
      </w:r>
      <w:r>
        <w:rPr>
          <w:rFonts w:ascii="Times New Roman" w:hAnsi="Times New Roman"/>
          <w:b w:val="0"/>
          <w:color w:val="000000"/>
          <w:sz w:val="22"/>
          <w:vertAlign w:val="superscript"/>
        </w:rPr>
        <w:t>[5,6]</w:t>
      </w:r>
      <w:r>
        <w:rPr>
          <w:rFonts w:ascii="Times New Roman" w:hAnsi="Times New Roman"/>
          <w:b w:val="0"/>
          <w:color w:val="000000"/>
          <w:sz w:val="22"/>
        </w:rPr>
        <w:t>. Translational regulation lies at the intersection of these processes, coupling cellular energy status with protein synthesis capacity</w:t>
      </w:r>
      <w:r>
        <w:rPr>
          <w:rFonts w:ascii="Times New Roman" w:hAnsi="Times New Roman"/>
          <w:b w:val="0"/>
          <w:color w:val="000000"/>
          <w:sz w:val="22"/>
          <w:vertAlign w:val="superscript"/>
        </w:rPr>
        <w:t>[7]</w:t>
      </w:r>
      <w:r>
        <w:rPr>
          <w:rFonts w:ascii="Times New Roman" w:hAnsi="Times New Roman"/>
          <w:b w:val="0"/>
          <w:color w:val="000000"/>
          <w:sz w:val="22"/>
        </w:rPr>
        <w:t>. Accordingly, both diseases exhibit dysregulation of the translational apparatus — the ribosome, translation factors, and their upstream regulators — which collectively mediate the final and most energetically expensive step of gene expression</w:t>
      </w:r>
      <w:r>
        <w:rPr>
          <w:rFonts w:ascii="Times New Roman" w:hAnsi="Times New Roman"/>
          <w:b w:val="0"/>
          <w:color w:val="000000"/>
          <w:sz w:val="22"/>
          <w:vertAlign w:val="superscript"/>
        </w:rPr>
        <w:t>[1,8,9]</w:t>
      </w:r>
      <w:r>
        <w:rPr>
          <w:rFonts w:ascii="Times New Roman" w:hAnsi="Times New Roman"/>
          <w:b w:val="0"/>
          <w:color w:val="000000"/>
          <w:sz w:val="22"/>
        </w:rPr>
        <w:t>.</w:t>
      </w:r>
    </w:p>
    <w:p w14:paraId="3688940D">
      <w:pPr>
        <w:pStyle w:val="3"/>
        <w:spacing w:line="360" w:lineRule="auto"/>
        <w:jc w:val="both"/>
      </w:pPr>
      <w:r>
        <w:rPr>
          <w:rFonts w:ascii="Times New Roman" w:hAnsi="Times New Roman"/>
          <w:b w:val="0"/>
          <w:color w:val="000000"/>
          <w:sz w:val="22"/>
        </w:rPr>
        <w:t>The nature of this translational dysregulation, however, operates in opposite directions. In HF, myocardial energy deficiency is associated with suppression of anabolic processes, including ribosome biogenesis and cap-dependent translation, as a response associated with energy conservation</w:t>
      </w:r>
      <w:r>
        <w:rPr>
          <w:rFonts w:ascii="Times New Roman" w:hAnsi="Times New Roman"/>
          <w:b w:val="0"/>
          <w:color w:val="000000"/>
          <w:sz w:val="22"/>
          <w:vertAlign w:val="superscript"/>
        </w:rPr>
        <w:t>[2,6]</w:t>
      </w:r>
      <w:r>
        <w:rPr>
          <w:rFonts w:ascii="Times New Roman" w:hAnsi="Times New Roman"/>
          <w:b w:val="0"/>
          <w:color w:val="000000"/>
          <w:sz w:val="22"/>
        </w:rPr>
        <w:t>. mTORC1 signaling is inhibited in the failing heart</w:t>
      </w:r>
      <w:r>
        <w:rPr>
          <w:rFonts w:ascii="Times New Roman" w:hAnsi="Times New Roman"/>
          <w:b w:val="0"/>
          <w:color w:val="000000"/>
          <w:sz w:val="22"/>
          <w:vertAlign w:val="superscript"/>
        </w:rPr>
        <w:t>[6,10]</w:t>
      </w:r>
      <w:r>
        <w:rPr>
          <w:rFonts w:ascii="Times New Roman" w:hAnsi="Times New Roman"/>
          <w:b w:val="0"/>
          <w:color w:val="000000"/>
          <w:sz w:val="22"/>
        </w:rPr>
        <w:t>. In HCC, by contrast, oncogenic pathways converge on the translational apparatus to upregulate ribosome biogenesis and protein synthesis, supporting uncontrolled proliferation</w:t>
      </w:r>
      <w:r>
        <w:rPr>
          <w:rFonts w:ascii="Times New Roman" w:hAnsi="Times New Roman"/>
          <w:b w:val="0"/>
          <w:color w:val="000000"/>
          <w:sz w:val="22"/>
          <w:vertAlign w:val="superscript"/>
        </w:rPr>
        <w:t>[3,8,11,12]</w:t>
      </w:r>
      <w:r>
        <w:rPr>
          <w:rFonts w:ascii="Times New Roman" w:hAnsi="Times New Roman"/>
          <w:b w:val="0"/>
          <w:color w:val="000000"/>
          <w:sz w:val="22"/>
        </w:rPr>
        <w:t>. These mirror-image pressures on the same molecular machinery raise a fundamental question: does the same translation-related transcriptional program operate in both diseases, with disease context determining only the direction of perturbation?</w:t>
      </w:r>
    </w:p>
    <w:p w14:paraId="003915E8">
      <w:pPr>
        <w:pStyle w:val="3"/>
        <w:spacing w:line="360" w:lineRule="auto"/>
        <w:jc w:val="both"/>
      </w:pPr>
      <w:r>
        <w:rPr>
          <w:rFonts w:ascii="Times New Roman" w:hAnsi="Times New Roman"/>
          <w:b w:val="0"/>
          <w:color w:val="000000"/>
          <w:sz w:val="22"/>
        </w:rPr>
        <w:t>Answering this question requires moving beyond single-disease frameworks. Existing transcriptomic studies in HF and HCC have largely been confined to single-disease contexts, identifying differentially expressed genes, co-expression modules, or prognostic signatures within one disease at a time</w:t>
      </w:r>
      <w:r>
        <w:rPr>
          <w:rFonts w:ascii="Times New Roman" w:hAnsi="Times New Roman"/>
          <w:b w:val="0"/>
          <w:color w:val="000000"/>
          <w:sz w:val="22"/>
          <w:vertAlign w:val="superscript"/>
        </w:rPr>
        <w:t>[5]</w:t>
      </w:r>
      <w:r>
        <w:rPr>
          <w:rFonts w:ascii="Times New Roman" w:hAnsi="Times New Roman"/>
          <w:b w:val="0"/>
          <w:color w:val="000000"/>
          <w:sz w:val="22"/>
        </w:rPr>
        <w:t>. While these studies have generated valuable disease-specific insights, they cannot distinguish between features that are disease-specific and features that reflect general organizational principles of the translational system. Cross-disease comparative transcriptomics — the parallel analysis of independent datasets from distinct diseases using identical computational pipelines — provides a direct strategy for addressing this question. Whether translation-related transcriptional programs are organized through conserved network architectures or disease-specific remodeling remains unclear. If translation-related modules identified in each disease share gene composition and regulatory architecture, this would support conserved organizational principles. If instead they converge on similar functional themes through distinct network configurations, this would indicate disease-context-dependent remodeling.</w:t>
      </w:r>
    </w:p>
    <w:p w14:paraId="265AF537">
      <w:pPr>
        <w:pStyle w:val="3"/>
        <w:spacing w:line="360" w:lineRule="auto"/>
        <w:jc w:val="both"/>
      </w:pPr>
      <w:r>
        <w:rPr>
          <w:rFonts w:ascii="Times New Roman" w:hAnsi="Times New Roman"/>
          <w:b w:val="0"/>
          <w:color w:val="000000"/>
          <w:sz w:val="22"/>
        </w:rPr>
        <w:t>HF and HCC provide an instructive comparison because they represent opposite extremes of translational demand. The failing heart is an energy-depleted environment where translational suppression is adaptive</w:t>
      </w:r>
      <w:r>
        <w:rPr>
          <w:rFonts w:ascii="Times New Roman" w:hAnsi="Times New Roman"/>
          <w:b w:val="0"/>
          <w:color w:val="000000"/>
          <w:sz w:val="22"/>
          <w:vertAlign w:val="superscript"/>
        </w:rPr>
        <w:t>[1,2]</w:t>
      </w:r>
      <w:r>
        <w:rPr>
          <w:rFonts w:ascii="Times New Roman" w:hAnsi="Times New Roman"/>
          <w:b w:val="0"/>
          <w:color w:val="000000"/>
          <w:sz w:val="22"/>
        </w:rPr>
        <w:t>; the HCC tumor microenvironment is a pro-growth environment where translational activation supports malignant fitness</w:t>
      </w:r>
      <w:r>
        <w:rPr>
          <w:rFonts w:ascii="Times New Roman" w:hAnsi="Times New Roman"/>
          <w:b w:val="0"/>
          <w:color w:val="000000"/>
          <w:sz w:val="22"/>
          <w:vertAlign w:val="superscript"/>
        </w:rPr>
        <w:t>[3,8]</w:t>
      </w:r>
      <w:r>
        <w:rPr>
          <w:rFonts w:ascii="Times New Roman" w:hAnsi="Times New Roman"/>
          <w:b w:val="0"/>
          <w:color w:val="000000"/>
          <w:sz w:val="22"/>
        </w:rPr>
        <w:t>. To investigate how disease context shapes translation-related transcriptional programs, we applied an integrative cross-disease framework with three objectives: (i) identify translation-related co-expression modules in HF and HCC through systematic weighted gene co-expression network analysis (WGCNA)-based module discovery; (ii) quantitatively compare pathway-level perturbation across diseases; and (iii) investigate transcriptional correlates of translation-related activity. Rather than assuming module conservation, we explicitly tested whether network organization is shared or disease-specific, and whether pathway-level perturbation patterns are consistent across independent cohorts.</w:t>
      </w:r>
    </w:p>
    <w:p w14:paraId="01FA5590">
      <w:pPr>
        <w:pStyle w:val="4"/>
        <w:spacing w:line="360" w:lineRule="auto"/>
      </w:pPr>
      <w:bookmarkStart w:id="1" w:name="results"/>
      <w:r>
        <w:rPr>
          <w:rFonts w:ascii="Times New Roman" w:hAnsi="Times New Roman"/>
          <w:b/>
          <w:color w:val="000000"/>
          <w:sz w:val="22"/>
        </w:rPr>
        <w:t>Results</w:t>
      </w:r>
    </w:p>
    <w:p w14:paraId="62C38D70">
      <w:pPr>
        <w:pStyle w:val="5"/>
        <w:spacing w:line="360" w:lineRule="auto"/>
      </w:pPr>
      <w:bookmarkStart w:id="2" w:name="X29130612508969c7e43315de124d00ce5662986"/>
      <w:r>
        <w:rPr>
          <w:rFonts w:ascii="Times New Roman" w:hAnsi="Times New Roman"/>
          <w:b/>
          <w:color w:val="000000"/>
          <w:sz w:val="22"/>
        </w:rPr>
        <w:t>Disease-specific network remodeling identifies translation-related transcriptional programs</w:t>
      </w:r>
    </w:p>
    <w:p w14:paraId="1CFF740B">
      <w:pPr>
        <w:pStyle w:val="23"/>
        <w:spacing w:line="360" w:lineRule="auto"/>
        <w:jc w:val="both"/>
      </w:pPr>
      <w:r>
        <w:rPr>
          <w:rFonts w:ascii="Times New Roman" w:hAnsi="Times New Roman"/>
          <w:b w:val="0"/>
          <w:color w:val="000000"/>
          <w:sz w:val="22"/>
        </w:rPr>
        <w:t xml:space="preserve">To identify translation-related co-expression modules without imposing predefined gene-selection criteria, we performed signed WGCNA on HF left ventricular myocardium (GSE57338, </w:t>
      </w:r>
      <w:r>
        <w:rPr>
          <w:rFonts w:ascii="Times New Roman" w:hAnsi="Times New Roman"/>
          <w:b w:val="0"/>
          <w:i/>
          <w:iCs/>
          <w:color w:val="000000"/>
          <w:sz w:val="22"/>
        </w:rPr>
        <w:t>n</w:t>
      </w:r>
      <w:r>
        <w:rPr>
          <w:rFonts w:ascii="Times New Roman" w:hAnsi="Times New Roman"/>
          <w:b w:val="0"/>
          <w:color w:val="000000"/>
          <w:sz w:val="22"/>
        </w:rPr>
        <w:t xml:space="preserve"> = 313; dilated cardiomyopathy, ischemic cardiomyopathy, and non-failing controls) using an expanded gene set (top 6,000 genes by variance, retaining 177 of 214 ribosomal/translation-related genes in the full expression matrix; β = 17, signed scale-free R² = 0.865; Extended Data Fig. 3B). Eleven co-expression modules were identified. Module functional annotation was performed via GO Biological Process enrichment (clusterProfiler), and the translation-related module was systematically identified by a composite translation-enrichment score integrating GO term count and significance (see Methods), rather than by manual designation.</w:t>
      </w:r>
    </w:p>
    <w:p w14:paraId="7A08A04F">
      <w:pPr>
        <w:pStyle w:val="3"/>
        <w:spacing w:line="360" w:lineRule="auto"/>
        <w:jc w:val="both"/>
      </w:pPr>
      <w:r>
        <w:rPr>
          <w:rFonts w:ascii="Times New Roman" w:hAnsi="Times New Roman"/>
          <w:b w:val="0"/>
          <w:color w:val="000000"/>
          <w:sz w:val="22"/>
        </w:rPr>
        <w:t xml:space="preserve">The </w:t>
      </w:r>
      <w:r>
        <w:rPr>
          <w:rFonts w:ascii="Times New Roman" w:hAnsi="Times New Roman"/>
          <w:b w:val="0"/>
          <w:bCs/>
          <w:color w:val="000000"/>
          <w:sz w:val="22"/>
        </w:rPr>
        <w:t>green module</w:t>
      </w:r>
      <w:r>
        <w:rPr>
          <w:rFonts w:ascii="Times New Roman" w:hAnsi="Times New Roman"/>
          <w:b w:val="0"/>
          <w:color w:val="000000"/>
          <w:sz w:val="22"/>
        </w:rPr>
        <w:t xml:space="preserve"> (227 genes) was identified as a module enriched for translation-associated biological processes (translation-enrichment score = 695.1). GO enrichment confirmed highly significant association with ribosome biogenesis (adjusted </w:t>
      </w:r>
      <w:r>
        <w:rPr>
          <w:rFonts w:ascii="Times New Roman" w:hAnsi="Times New Roman"/>
          <w:b w:val="0"/>
          <w:i/>
          <w:iCs/>
          <w:color w:val="000000"/>
          <w:sz w:val="22"/>
        </w:rPr>
        <w:t>P</w:t>
      </w:r>
      <w:r>
        <w:rPr>
          <w:rFonts w:ascii="Times New Roman" w:hAnsi="Times New Roman"/>
          <w:b w:val="0"/>
          <w:color w:val="000000"/>
          <w:sz w:val="22"/>
        </w:rPr>
        <w:t xml:space="preserve"> = 2.3 × 10⁻¹³; fold enrichment = 9.6), ribosomal small subunit biogenesis (adjusted </w:t>
      </w:r>
      <w:r>
        <w:rPr>
          <w:rFonts w:ascii="Times New Roman" w:hAnsi="Times New Roman"/>
          <w:b w:val="0"/>
          <w:i/>
          <w:iCs/>
          <w:color w:val="000000"/>
          <w:sz w:val="22"/>
        </w:rPr>
        <w:t>P</w:t>
      </w:r>
      <w:r>
        <w:rPr>
          <w:rFonts w:ascii="Times New Roman" w:hAnsi="Times New Roman"/>
          <w:b w:val="0"/>
          <w:color w:val="000000"/>
          <w:sz w:val="22"/>
        </w:rPr>
        <w:t xml:space="preserve"> = 4.5 × 10⁻⁸; fold enrichment = 11.7), rRNA processing (adjusted </w:t>
      </w:r>
      <w:r>
        <w:rPr>
          <w:rFonts w:ascii="Times New Roman" w:hAnsi="Times New Roman"/>
          <w:b w:val="0"/>
          <w:i/>
          <w:iCs/>
          <w:color w:val="000000"/>
          <w:sz w:val="22"/>
        </w:rPr>
        <w:t>P</w:t>
      </w:r>
      <w:r>
        <w:rPr>
          <w:rFonts w:ascii="Times New Roman" w:hAnsi="Times New Roman"/>
          <w:b w:val="0"/>
          <w:color w:val="000000"/>
          <w:sz w:val="22"/>
        </w:rPr>
        <w:t xml:space="preserve"> = 2.2 × 10⁻⁶), rRNA metabolic process (adjusted </w:t>
      </w:r>
      <w:r>
        <w:rPr>
          <w:rFonts w:ascii="Times New Roman" w:hAnsi="Times New Roman"/>
          <w:b w:val="0"/>
          <w:i/>
          <w:iCs/>
          <w:color w:val="000000"/>
          <w:sz w:val="22"/>
        </w:rPr>
        <w:t>P</w:t>
      </w:r>
      <w:r>
        <w:rPr>
          <w:rFonts w:ascii="Times New Roman" w:hAnsi="Times New Roman"/>
          <w:b w:val="0"/>
          <w:color w:val="000000"/>
          <w:sz w:val="22"/>
        </w:rPr>
        <w:t xml:space="preserve"> = 4.8 × 10⁻⁶), and ribosomal large subunit biogenesis (adjusted </w:t>
      </w:r>
      <w:r>
        <w:rPr>
          <w:rFonts w:ascii="Times New Roman" w:hAnsi="Times New Roman"/>
          <w:b w:val="0"/>
          <w:i/>
          <w:iCs/>
          <w:color w:val="000000"/>
          <w:sz w:val="22"/>
        </w:rPr>
        <w:t>P</w:t>
      </w:r>
      <w:r>
        <w:rPr>
          <w:rFonts w:ascii="Times New Roman" w:hAnsi="Times New Roman"/>
          <w:b w:val="0"/>
          <w:color w:val="000000"/>
          <w:sz w:val="22"/>
        </w:rPr>
        <w:t xml:space="preserve"> = 2.2 × 10⁻⁴; fold enrichment = 11.2) (Supplementary Table 5). The green module eigengene showed a significant negative correlation with HF status (</w:t>
      </w:r>
      <w:r>
        <w:rPr>
          <w:rFonts w:ascii="Times New Roman" w:hAnsi="Times New Roman"/>
          <w:b w:val="0"/>
          <w:bCs/>
          <w:color w:val="000000"/>
          <w:sz w:val="22"/>
        </w:rPr>
        <w:t xml:space="preserve">r = −0.521, </w:t>
      </w:r>
      <w:r>
        <w:rPr>
          <w:rFonts w:ascii="Times New Roman" w:hAnsi="Times New Roman"/>
          <w:b w:val="0"/>
          <w:bCs/>
          <w:i/>
          <w:iCs/>
          <w:color w:val="000000"/>
          <w:sz w:val="22"/>
        </w:rPr>
        <w:t>P</w:t>
      </w:r>
      <w:r>
        <w:rPr>
          <w:rFonts w:ascii="Times New Roman" w:hAnsi="Times New Roman"/>
          <w:b w:val="0"/>
          <w:bCs/>
          <w:color w:val="000000"/>
          <w:sz w:val="22"/>
        </w:rPr>
        <w:t xml:space="preserve"> = 3.6 × 10⁻²³</w:t>
      </w:r>
      <w:r>
        <w:rPr>
          <w:rFonts w:ascii="Times New Roman" w:hAnsi="Times New Roman"/>
          <w:b w:val="0"/>
          <w:color w:val="000000"/>
          <w:sz w:val="22"/>
        </w:rPr>
        <w:t>), indicating that this translation-related transcriptional program is associated with reduced expression in the failing myocardium. Among the 11 modules identified, the strongest correlation with HF was observed in the grey module (r = −0.755, 1,336 unassigned genes), followed by yellow (r = +0.682, 306 genes) and green (r = −0.521). The ribosomal/translation-related genes were distributed across multiple modules (turquoise: 21, green: 17, grey: 9, black: 5, blue: 2, magenta: 1, pink: 1 of 56 retained), indicating that translational machinery genes participate in several distinct co-expression contexts rather than concentrating in a single module.</w:t>
      </w:r>
    </w:p>
    <w:p w14:paraId="0DCC9833">
      <w:pPr>
        <w:pStyle w:val="3"/>
        <w:spacing w:line="360" w:lineRule="auto"/>
        <w:jc w:val="both"/>
      </w:pPr>
      <w:r>
        <w:rPr>
          <w:rFonts w:ascii="Times New Roman" w:hAnsi="Times New Roman"/>
          <w:b w:val="0"/>
          <w:color w:val="000000"/>
          <w:sz w:val="22"/>
        </w:rPr>
        <w:t>Hub genes were defined post hoc using dual criteria of |Gene Significance| &gt; 0.2 and |Module Membership| &gt; 0.8 within the green module (Extended Data Fig. 1). The top ten hub genes ranked by the product of |GS| × |MM| are listed in Supplementary Table 1. These hub genes are positioned within the translation-related transcriptional network rather than representing canonical components of the ribosome machinery; they include transcriptional regulators and RNA-processing factors that may participate in coordinating ribosome biogenesis gene expression. None of the seven previously reported canonical hub genes (</w:t>
      </w:r>
      <w:r>
        <w:rPr>
          <w:rFonts w:ascii="Times New Roman" w:hAnsi="Times New Roman"/>
          <w:b w:val="0"/>
          <w:i/>
          <w:iCs/>
          <w:color w:val="000000"/>
          <w:sz w:val="22"/>
        </w:rPr>
        <w:t>EEF1A1</w:t>
      </w:r>
      <w:r>
        <w:rPr>
          <w:rFonts w:ascii="Times New Roman" w:hAnsi="Times New Roman"/>
          <w:b w:val="0"/>
          <w:color w:val="000000"/>
          <w:sz w:val="22"/>
        </w:rPr>
        <w:t xml:space="preserve">, </w:t>
      </w:r>
      <w:r>
        <w:rPr>
          <w:rFonts w:ascii="Times New Roman" w:hAnsi="Times New Roman"/>
          <w:b w:val="0"/>
          <w:i/>
          <w:iCs/>
          <w:color w:val="000000"/>
          <w:sz w:val="22"/>
        </w:rPr>
        <w:t>FAU</w:t>
      </w:r>
      <w:r>
        <w:rPr>
          <w:rFonts w:ascii="Times New Roman" w:hAnsi="Times New Roman"/>
          <w:b w:val="0"/>
          <w:color w:val="000000"/>
          <w:sz w:val="22"/>
        </w:rPr>
        <w:t xml:space="preserve">, </w:t>
      </w:r>
      <w:r>
        <w:rPr>
          <w:rFonts w:ascii="Times New Roman" w:hAnsi="Times New Roman"/>
          <w:b w:val="0"/>
          <w:i/>
          <w:iCs/>
          <w:color w:val="000000"/>
          <w:sz w:val="22"/>
        </w:rPr>
        <w:t>RPL39</w:t>
      </w:r>
      <w:r>
        <w:rPr>
          <w:rFonts w:ascii="Times New Roman" w:hAnsi="Times New Roman"/>
          <w:b w:val="0"/>
          <w:color w:val="000000"/>
          <w:sz w:val="22"/>
        </w:rPr>
        <w:t xml:space="preserve">, </w:t>
      </w:r>
      <w:r>
        <w:rPr>
          <w:rFonts w:ascii="Times New Roman" w:hAnsi="Times New Roman"/>
          <w:b w:val="0"/>
          <w:i/>
          <w:iCs/>
          <w:color w:val="000000"/>
          <w:sz w:val="22"/>
        </w:rPr>
        <w:t>RPL3</w:t>
      </w:r>
      <w:r>
        <w:rPr>
          <w:rFonts w:ascii="Times New Roman" w:hAnsi="Times New Roman"/>
          <w:b w:val="0"/>
          <w:color w:val="000000"/>
          <w:sz w:val="22"/>
        </w:rPr>
        <w:t xml:space="preserve">, </w:t>
      </w:r>
      <w:r>
        <w:rPr>
          <w:rFonts w:ascii="Times New Roman" w:hAnsi="Times New Roman"/>
          <w:b w:val="0"/>
          <w:i/>
          <w:iCs/>
          <w:color w:val="000000"/>
          <w:sz w:val="22"/>
        </w:rPr>
        <w:t>RPL32</w:t>
      </w:r>
      <w:r>
        <w:rPr>
          <w:rFonts w:ascii="Times New Roman" w:hAnsi="Times New Roman"/>
          <w:b w:val="0"/>
          <w:color w:val="000000"/>
          <w:sz w:val="22"/>
        </w:rPr>
        <w:t xml:space="preserve">, </w:t>
      </w:r>
      <w:r>
        <w:rPr>
          <w:rFonts w:ascii="Times New Roman" w:hAnsi="Times New Roman"/>
          <w:b w:val="0"/>
          <w:i/>
          <w:iCs/>
          <w:color w:val="000000"/>
          <w:sz w:val="22"/>
        </w:rPr>
        <w:t>RPL41</w:t>
      </w:r>
      <w:r>
        <w:rPr>
          <w:rFonts w:ascii="Times New Roman" w:hAnsi="Times New Roman"/>
          <w:b w:val="0"/>
          <w:color w:val="000000"/>
          <w:sz w:val="22"/>
        </w:rPr>
        <w:t xml:space="preserve">, </w:t>
      </w:r>
      <w:r>
        <w:rPr>
          <w:rFonts w:ascii="Times New Roman" w:hAnsi="Times New Roman"/>
          <w:b w:val="0"/>
          <w:i/>
          <w:iCs/>
          <w:color w:val="000000"/>
          <w:sz w:val="22"/>
        </w:rPr>
        <w:t>RPS28</w:t>
      </w:r>
      <w:r>
        <w:rPr>
          <w:rFonts w:ascii="Times New Roman" w:hAnsi="Times New Roman"/>
          <w:b w:val="0"/>
          <w:color w:val="000000"/>
          <w:sz w:val="22"/>
        </w:rPr>
        <w:t>) met the dual criteria for hub designation in the green module: four (</w:t>
      </w:r>
      <w:r>
        <w:rPr>
          <w:rFonts w:ascii="Times New Roman" w:hAnsi="Times New Roman"/>
          <w:b w:val="0"/>
          <w:i/>
          <w:iCs/>
          <w:color w:val="000000"/>
          <w:sz w:val="22"/>
        </w:rPr>
        <w:t>FAU</w:t>
      </w:r>
      <w:r>
        <w:rPr>
          <w:rFonts w:ascii="Times New Roman" w:hAnsi="Times New Roman"/>
          <w:b w:val="0"/>
          <w:color w:val="000000"/>
          <w:sz w:val="22"/>
        </w:rPr>
        <w:t xml:space="preserve">, </w:t>
      </w:r>
      <w:r>
        <w:rPr>
          <w:rFonts w:ascii="Times New Roman" w:hAnsi="Times New Roman"/>
          <w:b w:val="0"/>
          <w:i/>
          <w:iCs/>
          <w:color w:val="000000"/>
          <w:sz w:val="22"/>
        </w:rPr>
        <w:t>RPL39</w:t>
      </w:r>
      <w:r>
        <w:rPr>
          <w:rFonts w:ascii="Times New Roman" w:hAnsi="Times New Roman"/>
          <w:b w:val="0"/>
          <w:color w:val="000000"/>
          <w:sz w:val="22"/>
        </w:rPr>
        <w:t xml:space="preserve">, </w:t>
      </w:r>
      <w:r>
        <w:rPr>
          <w:rFonts w:ascii="Times New Roman" w:hAnsi="Times New Roman"/>
          <w:b w:val="0"/>
          <w:i/>
          <w:iCs/>
          <w:color w:val="000000"/>
          <w:sz w:val="22"/>
        </w:rPr>
        <w:t>RPL32</w:t>
      </w:r>
      <w:r>
        <w:rPr>
          <w:rFonts w:ascii="Times New Roman" w:hAnsi="Times New Roman"/>
          <w:b w:val="0"/>
          <w:color w:val="000000"/>
          <w:sz w:val="22"/>
        </w:rPr>
        <w:t xml:space="preserve">, </w:t>
      </w:r>
      <w:r>
        <w:rPr>
          <w:rFonts w:ascii="Times New Roman" w:hAnsi="Times New Roman"/>
          <w:b w:val="0"/>
          <w:i/>
          <w:iCs/>
          <w:color w:val="000000"/>
          <w:sz w:val="22"/>
        </w:rPr>
        <w:t>RPS28</w:t>
      </w:r>
      <w:r>
        <w:rPr>
          <w:rFonts w:ascii="Times New Roman" w:hAnsi="Times New Roman"/>
          <w:b w:val="0"/>
          <w:color w:val="000000"/>
          <w:sz w:val="22"/>
        </w:rPr>
        <w:t>) were assigned to the black module, one (</w:t>
      </w:r>
      <w:r>
        <w:rPr>
          <w:rFonts w:ascii="Times New Roman" w:hAnsi="Times New Roman"/>
          <w:b w:val="0"/>
          <w:i/>
          <w:iCs/>
          <w:color w:val="000000"/>
          <w:sz w:val="22"/>
        </w:rPr>
        <w:t>RPL3</w:t>
      </w:r>
      <w:r>
        <w:rPr>
          <w:rFonts w:ascii="Times New Roman" w:hAnsi="Times New Roman"/>
          <w:b w:val="0"/>
          <w:color w:val="000000"/>
          <w:sz w:val="22"/>
        </w:rPr>
        <w:t>) to blue, and two (</w:t>
      </w:r>
      <w:r>
        <w:rPr>
          <w:rFonts w:ascii="Times New Roman" w:hAnsi="Times New Roman"/>
          <w:b w:val="0"/>
          <w:i/>
          <w:iCs/>
          <w:color w:val="000000"/>
          <w:sz w:val="22"/>
        </w:rPr>
        <w:t>EEF1A1</w:t>
      </w:r>
      <w:r>
        <w:rPr>
          <w:rFonts w:ascii="Times New Roman" w:hAnsi="Times New Roman"/>
          <w:b w:val="0"/>
          <w:color w:val="000000"/>
          <w:sz w:val="22"/>
        </w:rPr>
        <w:t xml:space="preserve">, </w:t>
      </w:r>
      <w:r>
        <w:rPr>
          <w:rFonts w:ascii="Times New Roman" w:hAnsi="Times New Roman"/>
          <w:b w:val="0"/>
          <w:i/>
          <w:iCs/>
          <w:color w:val="000000"/>
          <w:sz w:val="22"/>
        </w:rPr>
        <w:t>RPL41</w:t>
      </w:r>
      <w:r>
        <w:rPr>
          <w:rFonts w:ascii="Times New Roman" w:hAnsi="Times New Roman"/>
          <w:b w:val="0"/>
          <w:color w:val="000000"/>
          <w:sz w:val="22"/>
        </w:rPr>
        <w:t>) were not present in the top-6,000 input gene set. The previously identified hub gene set therefore does not represent the hub structure of the translation-related co-expression module identified through systematic annotation-based analysis.</w:t>
      </w:r>
    </w:p>
    <w:p w14:paraId="3478E483">
      <w:pPr>
        <w:pStyle w:val="3"/>
        <w:spacing w:line="360" w:lineRule="auto"/>
        <w:jc w:val="both"/>
      </w:pPr>
      <w:r>
        <w:rPr>
          <w:rFonts w:ascii="Times New Roman" w:hAnsi="Times New Roman"/>
          <w:b w:val="0"/>
          <w:color w:val="000000"/>
          <w:sz w:val="22"/>
        </w:rPr>
        <w:t xml:space="preserve">To determine whether a translation-related module also exists in HCC, we examined the independently constructed HCC WGCNA (GSE141198, </w:t>
      </w:r>
      <w:r>
        <w:rPr>
          <w:rFonts w:ascii="Times New Roman" w:hAnsi="Times New Roman"/>
          <w:b w:val="0"/>
          <w:i/>
          <w:iCs/>
          <w:color w:val="000000"/>
          <w:sz w:val="22"/>
        </w:rPr>
        <w:t>n</w:t>
      </w:r>
      <w:r>
        <w:rPr>
          <w:rFonts w:ascii="Times New Roman" w:hAnsi="Times New Roman"/>
          <w:b w:val="0"/>
          <w:color w:val="000000"/>
          <w:sz w:val="22"/>
        </w:rPr>
        <w:t xml:space="preserve"> = 148; β = 4, R² = 0.84). The GSE141198 blue module (1,315 genes) showed “cytoplasmic translation” as the most significantly enriched GO term (adjusted </w:t>
      </w:r>
      <w:r>
        <w:rPr>
          <w:rFonts w:ascii="Times New Roman" w:hAnsi="Times New Roman"/>
          <w:b w:val="0"/>
          <w:i/>
          <w:iCs/>
          <w:color w:val="000000"/>
          <w:sz w:val="22"/>
        </w:rPr>
        <w:t>P</w:t>
      </w:r>
      <w:r>
        <w:rPr>
          <w:rFonts w:ascii="Times New Roman" w:hAnsi="Times New Roman"/>
          <w:b w:val="0"/>
          <w:color w:val="000000"/>
          <w:sz w:val="22"/>
        </w:rPr>
        <w:t xml:space="preserve"> = 6.3 × 10⁻¹²), consistent with the presence of a translation-related transcriptional program in HCC. However, the network topology differed substantially: the HF translation-related program was concentrated in a compact module (green, 227 genes, enriched for ribosome biogenesis), whereas the corresponding HCC program was distributed across a larger module (blue, 1,315 genes, enriched for cytoplasmic translation). Cross-disease gene-level overlap was limited: 62 of 227 HF green module genes were present in the HCC WGCNA input (the top-variability-filtered matrix used for network construction), and their distribution across HCC modules (turquoise: 28, blue: 23, grey: 11) showed only modest enrichment for the HCC blue module (Fisher’s exact test, OR = 1.7, </w:t>
      </w:r>
      <w:r>
        <w:rPr>
          <w:rFonts w:ascii="Times New Roman" w:hAnsi="Times New Roman"/>
          <w:b w:val="0"/>
          <w:i/>
          <w:iCs/>
          <w:color w:val="000000"/>
          <w:sz w:val="22"/>
        </w:rPr>
        <w:t>P</w:t>
      </w:r>
      <w:r>
        <w:rPr>
          <w:rFonts w:ascii="Times New Roman" w:hAnsi="Times New Roman"/>
          <w:b w:val="0"/>
          <w:color w:val="000000"/>
          <w:sz w:val="22"/>
        </w:rPr>
        <w:t xml:space="preserve"> = 0.039). Importantly, the translation-associated transcriptional score (TATS; see Methods) was calculated from the complete unfiltered normalized expression matrix, not the WGCNA input matrix; all green module genes detected in the full expression matrix contributed to the score, regardless of whether they met the variability threshold for network construction. This limited gene-level overlap suggests that translation-related programs may involve disease-context-dependent network configurations at the gene-module level rather than a universally conserved co-expression module.</w:t>
      </w:r>
    </w:p>
    <w:p w14:paraId="2E0B18E0">
      <w:pPr>
        <w:pStyle w:val="3"/>
        <w:spacing w:line="360" w:lineRule="auto"/>
        <w:jc w:val="both"/>
      </w:pPr>
      <w:r>
        <w:rPr>
          <w:rFonts w:ascii="Times New Roman" w:hAnsi="Times New Roman"/>
          <w:b w:val="0"/>
          <w:color w:val="000000"/>
          <w:sz w:val="22"/>
        </w:rPr>
        <w:t xml:space="preserve">Taken together, both HF and HCC contain translation-related transcriptional programs identifiable through systematic WGCNA-based module discovery, but their gene-module organization patterns — including module size, gene composition, and hub gene identity — differed under dataset-specific network construction settings. These findings are consistent with a model of disease-context-dependent network organization (Fig. 1), rather than cross-disease conservation of a single translational co-expression module. Differences in module size and topology should therefore not be interpreted as direct quantitative comparisons of network complexity, but rather as context-dependent representations of disease-associated co-expression organization. Module internal robustness analysis confirmed that the green module represents a genuine co-expression structure (intra-modular TOM </w:t>
      </w:r>
      <w:r>
        <w:rPr>
          <w:rFonts w:ascii="Times New Roman" w:hAnsi="Times New Roman"/>
          <w:b w:val="0"/>
          <w:i/>
          <w:iCs/>
          <w:color w:val="000000"/>
          <w:sz w:val="22"/>
        </w:rPr>
        <w:t>Z</w:t>
      </w:r>
      <w:r>
        <w:rPr>
          <w:rFonts w:ascii="Times New Roman" w:hAnsi="Times New Roman"/>
          <w:b w:val="0"/>
          <w:color w:val="000000"/>
          <w:sz w:val="22"/>
        </w:rPr>
        <w:t xml:space="preserve"> = 62.8, permutation </w:t>
      </w:r>
      <w:r>
        <w:rPr>
          <w:rFonts w:ascii="Times New Roman" w:hAnsi="Times New Roman"/>
          <w:b w:val="0"/>
          <w:i/>
          <w:iCs/>
          <w:color w:val="000000"/>
          <w:sz w:val="22"/>
        </w:rPr>
        <w:t>P</w:t>
      </w:r>
      <w:r>
        <w:rPr>
          <w:rFonts w:ascii="Times New Roman" w:hAnsi="Times New Roman"/>
          <w:b w:val="0"/>
          <w:color w:val="000000"/>
          <w:sz w:val="22"/>
        </w:rPr>
        <w:t xml:space="preserve"> &lt; 0.0001; jackknife CV = 1.6%; Extended Data Fig. 4), rather than an artifact of the β = 17 soft-threshold parameter. We next examined whether this disease-context-dependent network organization is accompanied by oppositely directed pathway-level changes.</w:t>
      </w:r>
    </w:p>
    <w:p w14:paraId="657CCE2E">
      <w:pPr>
        <w:pStyle w:val="47"/>
        <w:spacing w:line="360" w:lineRule="auto"/>
      </w:pPr>
      <w:r>
        <w:rPr>
          <w:rFonts w:ascii="Times New Roman" w:hAnsi="Times New Roman"/>
          <w:b w:val="0"/>
          <w:color w:val="000000"/>
          <w:sz w:val="22"/>
        </w:rPr>
        <w:drawing>
          <wp:inline distT="0" distB="0" distL="114300" distR="114300">
            <wp:extent cx="5334000" cy="3999865"/>
            <wp:effectExtent l="0" t="0" r="0" b="0"/>
            <wp:docPr id="10" name="Picture"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Figure 1"/>
                    <pic:cNvPicPr>
                      <a:picLocks noChangeAspect="1" noChangeArrowheads="1"/>
                    </pic:cNvPicPr>
                  </pic:nvPicPr>
                  <pic:blipFill>
                    <a:blip r:embed="rId6"/>
                    <a:stretch>
                      <a:fillRect/>
                    </a:stretch>
                  </pic:blipFill>
                  <pic:spPr>
                    <a:xfrm>
                      <a:off x="0" y="0"/>
                      <a:ext cx="5334000" cy="4000499"/>
                    </a:xfrm>
                    <a:prstGeom prst="rect">
                      <a:avLst/>
                    </a:prstGeom>
                    <a:noFill/>
                    <a:ln w="9525">
                      <a:noFill/>
                    </a:ln>
                  </pic:spPr>
                </pic:pic>
              </a:graphicData>
            </a:graphic>
          </wp:inline>
        </w:drawing>
      </w:r>
    </w:p>
    <w:p w14:paraId="7D5F48BE">
      <w:pPr>
        <w:pStyle w:val="45"/>
        <w:spacing w:line="360" w:lineRule="auto"/>
        <w:jc w:val="both"/>
      </w:pPr>
      <w:r>
        <w:rPr>
          <w:rFonts w:ascii="Times New Roman" w:hAnsi="Times New Roman"/>
          <w:b w:val="0"/>
          <w:color w:val="000000"/>
          <w:sz w:val="22"/>
        </w:rPr>
        <w:t>Figure 1</w:t>
      </w:r>
    </w:p>
    <w:p w14:paraId="29ECB3F0">
      <w:pPr>
        <w:pStyle w:val="3"/>
        <w:spacing w:line="360" w:lineRule="auto"/>
        <w:jc w:val="both"/>
      </w:pPr>
      <w:r>
        <w:rPr>
          <w:rFonts w:ascii="Times New Roman" w:hAnsi="Times New Roman"/>
          <w:b/>
          <w:bCs/>
          <w:color w:val="000000"/>
          <w:sz w:val="18"/>
        </w:rPr>
        <w:t>Fig. 1 | Identification of disease-context-dependent translation-related modules in HF and HCC.</w:t>
      </w:r>
      <w:r>
        <w:rPr>
          <w:rFonts w:ascii="Times New Roman" w:hAnsi="Times New Roman"/>
          <w:b/>
          <w:color w:val="000000"/>
          <w:sz w:val="18"/>
        </w:rPr>
        <w:t xml:space="preserve"> </w:t>
      </w:r>
      <w:r>
        <w:rPr>
          <w:rFonts w:ascii="Times New Roman" w:hAnsi="Times New Roman"/>
          <w:b/>
          <w:bCs/>
          <w:color w:val="000000"/>
          <w:sz w:val="18"/>
        </w:rPr>
        <w:t>a</w:t>
      </w:r>
      <w:r>
        <w:rPr>
          <w:rFonts w:ascii="Times New Roman" w:hAnsi="Times New Roman"/>
          <w:b/>
          <w:color w:val="000000"/>
          <w:sz w:val="18"/>
        </w:rPr>
        <w:t xml:space="preserve">, Gene dendrogram and module assignment from signed WGCNA of GSE57338 (HF, </w:t>
      </w:r>
      <w:r>
        <w:rPr>
          <w:rFonts w:ascii="Times New Roman" w:hAnsi="Times New Roman"/>
          <w:b/>
          <w:i/>
          <w:iCs/>
          <w:color w:val="000000"/>
          <w:sz w:val="18"/>
        </w:rPr>
        <w:t>n</w:t>
      </w:r>
      <w:r>
        <w:rPr>
          <w:rFonts w:ascii="Times New Roman" w:hAnsi="Times New Roman"/>
          <w:b/>
          <w:color w:val="000000"/>
          <w:sz w:val="18"/>
        </w:rPr>
        <w:t xml:space="preserve"> = 313). The green module (227 genes) was identified as the translation-related module via GO-based scoring. </w:t>
      </w:r>
      <w:r>
        <w:rPr>
          <w:rFonts w:ascii="Times New Roman" w:hAnsi="Times New Roman"/>
          <w:b/>
          <w:bCs/>
          <w:color w:val="000000"/>
          <w:sz w:val="18"/>
        </w:rPr>
        <w:t>b</w:t>
      </w:r>
      <w:r>
        <w:rPr>
          <w:rFonts w:ascii="Times New Roman" w:hAnsi="Times New Roman"/>
          <w:b/>
          <w:color w:val="000000"/>
          <w:sz w:val="18"/>
        </w:rPr>
        <w:t>, Module–trait (HF vs. non-failing) correlation coefficients. Green module: r = −0.521 (</w:t>
      </w:r>
      <w:r>
        <w:rPr>
          <w:rFonts w:ascii="Times New Roman" w:hAnsi="Times New Roman"/>
          <w:b/>
          <w:i/>
          <w:iCs/>
          <w:color w:val="000000"/>
          <w:sz w:val="18"/>
        </w:rPr>
        <w:t>P</w:t>
      </w:r>
      <w:r>
        <w:rPr>
          <w:rFonts w:ascii="Times New Roman" w:hAnsi="Times New Roman"/>
          <w:b/>
          <w:color w:val="000000"/>
          <w:sz w:val="18"/>
        </w:rPr>
        <w:t xml:space="preserve"> = 3.6 × 10⁻²³). </w:t>
      </w:r>
      <w:r>
        <w:rPr>
          <w:rFonts w:ascii="Times New Roman" w:hAnsi="Times New Roman"/>
          <w:b/>
          <w:bCs/>
          <w:color w:val="000000"/>
          <w:sz w:val="18"/>
        </w:rPr>
        <w:t>c</w:t>
      </w:r>
      <w:r>
        <w:rPr>
          <w:rFonts w:ascii="Times New Roman" w:hAnsi="Times New Roman"/>
          <w:b/>
          <w:color w:val="000000"/>
          <w:sz w:val="18"/>
        </w:rPr>
        <w:t xml:space="preserve">, GO Biological Process enrichment of the green module. Top terms include ribosome biogenesis (adjusted </w:t>
      </w:r>
      <w:r>
        <w:rPr>
          <w:rFonts w:ascii="Times New Roman" w:hAnsi="Times New Roman"/>
          <w:b/>
          <w:i/>
          <w:iCs/>
          <w:color w:val="000000"/>
          <w:sz w:val="18"/>
        </w:rPr>
        <w:t>P</w:t>
      </w:r>
      <w:r>
        <w:rPr>
          <w:rFonts w:ascii="Times New Roman" w:hAnsi="Times New Roman"/>
          <w:b/>
          <w:color w:val="000000"/>
          <w:sz w:val="18"/>
        </w:rPr>
        <w:t xml:space="preserve"> = 2.3 × 10⁻¹³) and rRNA processing. </w:t>
      </w:r>
      <w:r>
        <w:rPr>
          <w:rFonts w:ascii="Times New Roman" w:hAnsi="Times New Roman"/>
          <w:b/>
          <w:bCs/>
          <w:color w:val="000000"/>
          <w:sz w:val="18"/>
        </w:rPr>
        <w:t>d</w:t>
      </w:r>
      <w:r>
        <w:rPr>
          <w:rFonts w:ascii="Times New Roman" w:hAnsi="Times New Roman"/>
          <w:b/>
          <w:color w:val="000000"/>
          <w:sz w:val="18"/>
        </w:rPr>
        <w:t xml:space="preserve">, Cross-disease module gene overlap: distribution of HF green module genes across HCC WGCNA modules (GSE141198). Limited gene-level overlap (62 of 227 genes found; Fisher OR = 1.7, </w:t>
      </w:r>
      <w:r>
        <w:rPr>
          <w:rFonts w:ascii="Times New Roman" w:hAnsi="Times New Roman"/>
          <w:b/>
          <w:i/>
          <w:iCs/>
          <w:color w:val="000000"/>
          <w:sz w:val="18"/>
        </w:rPr>
        <w:t>P</w:t>
      </w:r>
      <w:r>
        <w:rPr>
          <w:rFonts w:ascii="Times New Roman" w:hAnsi="Times New Roman"/>
          <w:b/>
          <w:color w:val="000000"/>
          <w:sz w:val="18"/>
        </w:rPr>
        <w:t xml:space="preserve"> = 0.039), suggesting disease-context-dependent network organization rather than module conservation.</w:t>
      </w:r>
    </w:p>
    <w:bookmarkEnd w:id="2"/>
    <w:p w14:paraId="7884B3EB">
      <w:pPr>
        <w:pStyle w:val="5"/>
        <w:spacing w:line="360" w:lineRule="auto"/>
        <w:jc w:val="both"/>
      </w:pPr>
      <w:bookmarkStart w:id="3" w:name="X0bb7cd2088651e3c7dc8f36f72b41334090cbe7"/>
      <w:r>
        <w:rPr>
          <w:rFonts w:ascii="Times New Roman" w:hAnsi="Times New Roman"/>
          <w:b/>
          <w:color w:val="000000"/>
          <w:sz w:val="22"/>
        </w:rPr>
        <w:t>Opposite pathway-level perturbation of translation-related programs between HF and HCC</w:t>
      </w:r>
    </w:p>
    <w:p w14:paraId="3896969C">
      <w:pPr>
        <w:pStyle w:val="23"/>
        <w:spacing w:line="360" w:lineRule="auto"/>
        <w:jc w:val="both"/>
      </w:pPr>
      <w:r>
        <w:rPr>
          <w:rFonts w:ascii="Times New Roman" w:hAnsi="Times New Roman"/>
          <w:b w:val="0"/>
          <w:color w:val="000000"/>
          <w:sz w:val="22"/>
        </w:rPr>
        <w:t xml:space="preserve">The network analysis revealed that HF and HCC each contain translation-related transcriptional programs, but organized through disease-specific co-expression architectures with limited gene-level overlap. We next asked whether, despite this network-level divergence, the two diseases exhibit convergent changes at the pathway level. To address this, we performed ssGSEA pathway enrichment scoring in parallel across 81 pathways (48 Hallmark + 1 KEGG ribosome + 32 Reactome translation-related pathways) in TCGA-LIHC (371 tumor vs. 50 normal) and GSE57338 (HF vs. non-failing), and computed Cohen’s </w:t>
      </w:r>
      <w:r>
        <w:rPr>
          <w:rFonts w:ascii="Times New Roman" w:hAnsi="Times New Roman"/>
          <w:b w:val="0"/>
          <w:i/>
          <w:iCs/>
          <w:color w:val="000000"/>
          <w:sz w:val="22"/>
        </w:rPr>
        <w:t>d</w:t>
      </w:r>
      <w:r>
        <w:rPr>
          <w:rFonts w:ascii="Times New Roman" w:hAnsi="Times New Roman"/>
          <w:b w:val="0"/>
          <w:color w:val="000000"/>
          <w:sz w:val="22"/>
        </w:rPr>
        <w:t xml:space="preserve"> effect sizes for each pathway.</w:t>
      </w:r>
    </w:p>
    <w:p w14:paraId="0BFD490E">
      <w:pPr>
        <w:pStyle w:val="3"/>
        <w:spacing w:line="360" w:lineRule="auto"/>
        <w:jc w:val="both"/>
      </w:pPr>
      <w:r>
        <w:rPr>
          <w:rFonts w:ascii="Times New Roman" w:hAnsi="Times New Roman"/>
          <w:b w:val="0"/>
          <w:color w:val="000000"/>
          <w:sz w:val="22"/>
        </w:rPr>
        <w:t>The Spearman correlation of effect sizes across all 81 pathways between the two diseases was ρ = −0.290 (</w:t>
      </w:r>
      <w:r>
        <w:rPr>
          <w:rFonts w:ascii="Times New Roman" w:hAnsi="Times New Roman"/>
          <w:b w:val="0"/>
          <w:i/>
          <w:iCs/>
          <w:color w:val="000000"/>
          <w:sz w:val="22"/>
        </w:rPr>
        <w:t>P</w:t>
      </w:r>
      <w:r>
        <w:rPr>
          <w:rFonts w:ascii="Times New Roman" w:hAnsi="Times New Roman"/>
          <w:b w:val="0"/>
          <w:color w:val="000000"/>
          <w:sz w:val="22"/>
        </w:rPr>
        <w:t xml:space="preserve"> = 0.0089), reflecting an overall weak negative association. However, when the analysis was restricted to the 33 translation/ribosome-related pathways, the negative correlation in effect sizes increased to </w:t>
      </w:r>
      <w:r>
        <w:rPr>
          <w:rFonts w:ascii="Times New Roman" w:hAnsi="Times New Roman"/>
          <w:b w:val="0"/>
          <w:bCs/>
          <w:color w:val="000000"/>
          <w:sz w:val="22"/>
        </w:rPr>
        <w:t>ρ = −0.598 (</w:t>
      </w:r>
      <w:r>
        <w:rPr>
          <w:rFonts w:ascii="Times New Roman" w:hAnsi="Times New Roman"/>
          <w:b w:val="0"/>
          <w:bCs/>
          <w:i/>
          <w:iCs/>
          <w:color w:val="000000"/>
          <w:sz w:val="22"/>
        </w:rPr>
        <w:t>P</w:t>
      </w:r>
      <w:r>
        <w:rPr>
          <w:rFonts w:ascii="Times New Roman" w:hAnsi="Times New Roman"/>
          <w:b w:val="0"/>
          <w:bCs/>
          <w:color w:val="000000"/>
          <w:sz w:val="22"/>
        </w:rPr>
        <w:t xml:space="preserve"> = 0.0003; bootstrap 95% CI [−0.756, −0.340])</w:t>
      </w:r>
      <w:r>
        <w:rPr>
          <w:rFonts w:ascii="Times New Roman" w:hAnsi="Times New Roman"/>
          <w:b w:val="0"/>
          <w:color w:val="000000"/>
          <w:sz w:val="22"/>
        </w:rPr>
        <w:t xml:space="preserve">. A 10,000-iteration permutation test supported this result (permutation </w:t>
      </w:r>
      <w:r>
        <w:rPr>
          <w:rFonts w:ascii="Times New Roman" w:hAnsi="Times New Roman"/>
          <w:b w:val="0"/>
          <w:i/>
          <w:iCs/>
          <w:color w:val="000000"/>
          <w:sz w:val="22"/>
        </w:rPr>
        <w:t>P</w:t>
      </w:r>
      <w:r>
        <w:rPr>
          <w:rFonts w:ascii="Times New Roman" w:hAnsi="Times New Roman"/>
          <w:b w:val="0"/>
          <w:color w:val="000000"/>
          <w:sz w:val="22"/>
        </w:rPr>
        <w:t xml:space="preserve"> = 0.0079; Fig. 2). The specific composition of the 33 translation-related pathways and complete effect size data for all 81 pathways are provided in Supplementary Table 2.</w:t>
      </w:r>
    </w:p>
    <w:p w14:paraId="6CDCC132">
      <w:pPr>
        <w:pStyle w:val="3"/>
        <w:spacing w:line="360" w:lineRule="auto"/>
        <w:jc w:val="both"/>
      </w:pPr>
      <w:r>
        <w:rPr>
          <w:rFonts w:ascii="Times New Roman" w:hAnsi="Times New Roman"/>
          <w:b w:val="0"/>
          <w:color w:val="000000"/>
          <w:sz w:val="22"/>
        </w:rPr>
        <w:t xml:space="preserve">Detailed examination of translation pathway effect sizes showed a consistent pattern: all 33 translation-related pathways showed positive effect sizes in HCC (Cohen’s </w:t>
      </w:r>
      <w:r>
        <w:rPr>
          <w:rFonts w:ascii="Times New Roman" w:hAnsi="Times New Roman"/>
          <w:b w:val="0"/>
          <w:i/>
          <w:iCs/>
          <w:color w:val="000000"/>
          <w:sz w:val="22"/>
        </w:rPr>
        <w:t>d</w:t>
      </w:r>
      <w:r>
        <w:rPr>
          <w:rFonts w:ascii="Times New Roman" w:hAnsi="Times New Roman"/>
          <w:b w:val="0"/>
          <w:color w:val="000000"/>
          <w:sz w:val="22"/>
        </w:rPr>
        <w:t xml:space="preserve"> &gt; 0, higher expression in tumor vs. normal tissue), whereas the vast majority showed negative effect sizes in HF (</w:t>
      </w:r>
      <w:r>
        <w:rPr>
          <w:rFonts w:ascii="Times New Roman" w:hAnsi="Times New Roman"/>
          <w:b w:val="0"/>
          <w:i/>
          <w:iCs/>
          <w:color w:val="000000"/>
          <w:sz w:val="22"/>
        </w:rPr>
        <w:t>d</w:t>
      </w:r>
      <w:r>
        <w:rPr>
          <w:rFonts w:ascii="Times New Roman" w:hAnsi="Times New Roman"/>
          <w:b w:val="0"/>
          <w:color w:val="000000"/>
          <w:sz w:val="22"/>
        </w:rPr>
        <w:t xml:space="preserve"> &lt; 0, lower expression in failing vs. non-failing myocardium). Among the 33 translation-related pathways, 24 exhibited an HCC-positive/HF-negative paired pattern, representing a predominant mirror-direction pattern (binomial test </w:t>
      </w:r>
      <w:r>
        <w:rPr>
          <w:rFonts w:ascii="Times New Roman" w:hAnsi="Times New Roman"/>
          <w:b w:val="0"/>
          <w:i/>
          <w:iCs/>
          <w:color w:val="000000"/>
          <w:sz w:val="22"/>
        </w:rPr>
        <w:t>P</w:t>
      </w:r>
      <w:r>
        <w:rPr>
          <w:rFonts w:ascii="Times New Roman" w:hAnsi="Times New Roman"/>
          <w:b w:val="0"/>
          <w:color w:val="000000"/>
          <w:sz w:val="22"/>
        </w:rPr>
        <w:t xml:space="preserve"> &lt; 0.0001; Supplementary Table 4). The remaining nine pathways were enriched for mitochondrial translation or miRNA-mediated translational regulation rather than canonical cytoplasmic translation pathways (Supplementary Table 2). Proliferation-associated pathways (E2F Targets, G2M Checkpoint, and MYC Targets V1) exhibited the largest positive effect sizes in HCC (Cohen’s </w:t>
      </w:r>
      <w:r>
        <w:rPr>
          <w:rFonts w:ascii="Times New Roman" w:hAnsi="Times New Roman"/>
          <w:b w:val="0"/>
          <w:i/>
          <w:iCs/>
          <w:color w:val="000000"/>
          <w:sz w:val="22"/>
        </w:rPr>
        <w:t>d</w:t>
      </w:r>
      <w:r>
        <w:rPr>
          <w:rFonts w:ascii="Times New Roman" w:hAnsi="Times New Roman"/>
          <w:b w:val="0"/>
          <w:color w:val="000000"/>
          <w:sz w:val="22"/>
        </w:rPr>
        <w:t xml:space="preserve"> = +1.83 to +2.35). The most upregulated pathways in HF were Bile Acid Metabolism (</w:t>
      </w:r>
      <w:r>
        <w:rPr>
          <w:rFonts w:ascii="Times New Roman" w:hAnsi="Times New Roman"/>
          <w:b w:val="0"/>
          <w:i/>
          <w:iCs/>
          <w:color w:val="000000"/>
          <w:sz w:val="22"/>
        </w:rPr>
        <w:t>d</w:t>
      </w:r>
      <w:r>
        <w:rPr>
          <w:rFonts w:ascii="Times New Roman" w:hAnsi="Times New Roman"/>
          <w:b w:val="0"/>
          <w:color w:val="000000"/>
          <w:sz w:val="22"/>
        </w:rPr>
        <w:t xml:space="preserve"> = +0.79) and Interferon Alpha Response (</w:t>
      </w:r>
      <w:r>
        <w:rPr>
          <w:rFonts w:ascii="Times New Roman" w:hAnsi="Times New Roman"/>
          <w:b w:val="0"/>
          <w:i/>
          <w:iCs/>
          <w:color w:val="000000"/>
          <w:sz w:val="22"/>
        </w:rPr>
        <w:t>d</w:t>
      </w:r>
      <w:r>
        <w:rPr>
          <w:rFonts w:ascii="Times New Roman" w:hAnsi="Times New Roman"/>
          <w:b w:val="0"/>
          <w:color w:val="000000"/>
          <w:sz w:val="22"/>
        </w:rPr>
        <w:t xml:space="preserve"> = +0.67); their absolute effect sizes were considerably smaller than those of proliferation pathways in HCC.</w:t>
      </w:r>
    </w:p>
    <w:p w14:paraId="7F5AE2FB">
      <w:pPr>
        <w:pStyle w:val="3"/>
        <w:spacing w:line="360" w:lineRule="auto"/>
        <w:jc w:val="both"/>
      </w:pPr>
      <w:r>
        <w:rPr>
          <w:rFonts w:ascii="Times New Roman" w:hAnsi="Times New Roman"/>
          <w:b w:val="0"/>
          <w:color w:val="000000"/>
          <w:sz w:val="22"/>
        </w:rPr>
        <w:t xml:space="preserve">This pathway-level mirror perturbation — with 24 of 33 translation pathways showing opposite-direction changes in HCC and HF — represents the strongest quantitative signal in this study (ρ = −0.598, permutation </w:t>
      </w:r>
      <w:r>
        <w:rPr>
          <w:rFonts w:ascii="Times New Roman" w:hAnsi="Times New Roman"/>
          <w:b w:val="0"/>
          <w:i/>
          <w:iCs/>
          <w:color w:val="000000"/>
          <w:sz w:val="22"/>
        </w:rPr>
        <w:t>P</w:t>
      </w:r>
      <w:r>
        <w:rPr>
          <w:rFonts w:ascii="Times New Roman" w:hAnsi="Times New Roman"/>
          <w:b w:val="0"/>
          <w:color w:val="000000"/>
          <w:sz w:val="22"/>
        </w:rPr>
        <w:t xml:space="preserve"> = 0.0079). Importantly, this signal emerges at the pathway level despite the substantial network-level divergence between the two diseases’ translation-related modules. The contrast between distinct network organization and convergent pathway-level alterations illustrates a key analytical principle: co-expression network topology captures disease-specific regulatory configurations, whereas aggregated pathway activity identifies shared functional themes that transcend these configurational differences. This distinction — network-level differences with pathway-level convergence — is a central finding of this study and informs the interpretation of all subsequent analyses.</w:t>
      </w:r>
    </w:p>
    <w:p w14:paraId="114D003A">
      <w:pPr>
        <w:pStyle w:val="47"/>
        <w:spacing w:line="360" w:lineRule="auto"/>
      </w:pPr>
      <w:r>
        <w:rPr>
          <w:rFonts w:ascii="Times New Roman" w:hAnsi="Times New Roman"/>
          <w:b w:val="0"/>
          <w:color w:val="000000"/>
          <w:sz w:val="22"/>
        </w:rPr>
        <w:drawing>
          <wp:inline distT="0" distB="0" distL="114300" distR="114300">
            <wp:extent cx="5334000" cy="4267200"/>
            <wp:effectExtent l="0" t="0" r="0" b="0"/>
            <wp:docPr id="14" name="Picture"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Figure 2"/>
                    <pic:cNvPicPr>
                      <a:picLocks noChangeAspect="1" noChangeArrowheads="1"/>
                    </pic:cNvPicPr>
                  </pic:nvPicPr>
                  <pic:blipFill>
                    <a:blip r:embed="rId7"/>
                    <a:stretch>
                      <a:fillRect/>
                    </a:stretch>
                  </pic:blipFill>
                  <pic:spPr>
                    <a:xfrm>
                      <a:off x="0" y="0"/>
                      <a:ext cx="5334000" cy="4267200"/>
                    </a:xfrm>
                    <a:prstGeom prst="rect">
                      <a:avLst/>
                    </a:prstGeom>
                    <a:noFill/>
                    <a:ln w="9525">
                      <a:noFill/>
                    </a:ln>
                  </pic:spPr>
                </pic:pic>
              </a:graphicData>
            </a:graphic>
          </wp:inline>
        </w:drawing>
      </w:r>
    </w:p>
    <w:p w14:paraId="04567A3A">
      <w:pPr>
        <w:pStyle w:val="45"/>
        <w:spacing w:line="360" w:lineRule="auto"/>
      </w:pPr>
      <w:r>
        <w:rPr>
          <w:rFonts w:ascii="Times New Roman" w:hAnsi="Times New Roman"/>
          <w:b w:val="0"/>
          <w:color w:val="000000"/>
          <w:sz w:val="22"/>
        </w:rPr>
        <w:t>Figure 2</w:t>
      </w:r>
    </w:p>
    <w:p w14:paraId="696AAED4">
      <w:pPr>
        <w:pStyle w:val="3"/>
        <w:spacing w:line="360" w:lineRule="auto"/>
        <w:jc w:val="both"/>
        <w:rPr>
          <w:b w:val="0"/>
          <w:bCs w:val="0"/>
        </w:rPr>
      </w:pPr>
      <w:r>
        <w:rPr>
          <w:rFonts w:ascii="Times New Roman" w:hAnsi="Times New Roman"/>
          <w:b w:val="0"/>
          <w:bCs w:val="0"/>
          <w:color w:val="000000"/>
          <w:sz w:val="18"/>
        </w:rPr>
        <w:t xml:space="preserve">Fig. 2 | Cross-disease pathway-level mirror perturbation between HF and HCC. Scatter plot of Cohen’s </w:t>
      </w:r>
      <w:r>
        <w:rPr>
          <w:rFonts w:ascii="Times New Roman" w:hAnsi="Times New Roman"/>
          <w:b w:val="0"/>
          <w:bCs w:val="0"/>
          <w:i/>
          <w:iCs/>
          <w:color w:val="000000"/>
          <w:sz w:val="18"/>
        </w:rPr>
        <w:t>d</w:t>
      </w:r>
      <w:r>
        <w:rPr>
          <w:rFonts w:ascii="Times New Roman" w:hAnsi="Times New Roman"/>
          <w:b w:val="0"/>
          <w:bCs w:val="0"/>
          <w:color w:val="000000"/>
          <w:sz w:val="18"/>
        </w:rPr>
        <w:t xml:space="preserve"> effect sizes for 81 pathways in HCC (TCGA-LIHC, tumor vs. normal, x-axis) versus HF (GSE57338, failing vs. non-failing, y-axis). Translation/ribosome-related pathways (</w:t>
      </w:r>
      <w:r>
        <w:rPr>
          <w:rFonts w:ascii="Times New Roman" w:hAnsi="Times New Roman"/>
          <w:b w:val="0"/>
          <w:bCs w:val="0"/>
          <w:i/>
          <w:iCs/>
          <w:color w:val="000000"/>
          <w:sz w:val="18"/>
        </w:rPr>
        <w:t>n</w:t>
      </w:r>
      <w:r>
        <w:rPr>
          <w:rFonts w:ascii="Times New Roman" w:hAnsi="Times New Roman"/>
          <w:b w:val="0"/>
          <w:bCs w:val="0"/>
          <w:color w:val="000000"/>
          <w:sz w:val="18"/>
        </w:rPr>
        <w:t xml:space="preserve"> = 33) are shown as red points; non-translation pathways (</w:t>
      </w:r>
      <w:r>
        <w:rPr>
          <w:rFonts w:ascii="Times New Roman" w:hAnsi="Times New Roman"/>
          <w:b w:val="0"/>
          <w:bCs w:val="0"/>
          <w:i/>
          <w:iCs/>
          <w:color w:val="000000"/>
          <w:sz w:val="18"/>
        </w:rPr>
        <w:t>n</w:t>
      </w:r>
      <w:r>
        <w:rPr>
          <w:rFonts w:ascii="Times New Roman" w:hAnsi="Times New Roman"/>
          <w:b w:val="0"/>
          <w:bCs w:val="0"/>
          <w:color w:val="000000"/>
          <w:sz w:val="18"/>
        </w:rPr>
        <w:t xml:space="preserve"> = 48) as gray points. For translation pathways, Spearman ρ = −0.598 (</w:t>
      </w:r>
      <w:r>
        <w:rPr>
          <w:rFonts w:ascii="Times New Roman" w:hAnsi="Times New Roman"/>
          <w:b w:val="0"/>
          <w:bCs w:val="0"/>
          <w:i/>
          <w:iCs/>
          <w:color w:val="000000"/>
          <w:sz w:val="18"/>
        </w:rPr>
        <w:t>P</w:t>
      </w:r>
      <w:r>
        <w:rPr>
          <w:rFonts w:ascii="Times New Roman" w:hAnsi="Times New Roman"/>
          <w:b w:val="0"/>
          <w:bCs w:val="0"/>
          <w:color w:val="000000"/>
          <w:sz w:val="18"/>
        </w:rPr>
        <w:t xml:space="preserve"> = 0.0003; permutation test with 10,000 iterations, </w:t>
      </w:r>
      <w:r>
        <w:rPr>
          <w:rFonts w:ascii="Times New Roman" w:hAnsi="Times New Roman"/>
          <w:b w:val="0"/>
          <w:bCs w:val="0"/>
          <w:i/>
          <w:iCs/>
          <w:color w:val="000000"/>
          <w:sz w:val="18"/>
        </w:rPr>
        <w:t>P</w:t>
      </w:r>
      <w:r>
        <w:rPr>
          <w:rFonts w:ascii="Times New Roman" w:hAnsi="Times New Roman"/>
          <w:b w:val="0"/>
          <w:bCs w:val="0"/>
          <w:color w:val="000000"/>
          <w:sz w:val="18"/>
        </w:rPr>
        <w:t xml:space="preserve"> = 0.0079). Dashed lines mark </w:t>
      </w:r>
      <w:r>
        <w:rPr>
          <w:rFonts w:ascii="Times New Roman" w:hAnsi="Times New Roman"/>
          <w:b w:val="0"/>
          <w:bCs w:val="0"/>
          <w:i/>
          <w:iCs/>
          <w:color w:val="000000"/>
          <w:sz w:val="18"/>
        </w:rPr>
        <w:t>d</w:t>
      </w:r>
      <w:r>
        <w:rPr>
          <w:rFonts w:ascii="Times New Roman" w:hAnsi="Times New Roman"/>
          <w:b w:val="0"/>
          <w:bCs w:val="0"/>
          <w:color w:val="000000"/>
          <w:sz w:val="18"/>
        </w:rPr>
        <w:t xml:space="preserve"> = 0; the dotted diagonal (y = −x) represents perfect mirror symmetry. Twenty-four of 33 translation pathways fall in Quadrant IV (HCC↑ HF↓), representing the predominant mirror-direction pattern (binomial test </w:t>
      </w:r>
      <w:r>
        <w:rPr>
          <w:rFonts w:ascii="Times New Roman" w:hAnsi="Times New Roman"/>
          <w:b w:val="0"/>
          <w:bCs w:val="0"/>
          <w:i/>
          <w:iCs/>
          <w:color w:val="000000"/>
          <w:sz w:val="18"/>
        </w:rPr>
        <w:t>P</w:t>
      </w:r>
      <w:r>
        <w:rPr>
          <w:rFonts w:ascii="Times New Roman" w:hAnsi="Times New Roman"/>
          <w:b w:val="0"/>
          <w:bCs w:val="0"/>
          <w:color w:val="000000"/>
          <w:sz w:val="18"/>
        </w:rPr>
        <w:t xml:space="preserve"> &lt; 0.0001). This pathway-level convergence occurs despite distinct co-expression network organization (Fig. 1), indicating that shared functional themes can emerge from disease-specific regulatory architectures.</w:t>
      </w:r>
    </w:p>
    <w:bookmarkEnd w:id="3"/>
    <w:p w14:paraId="5A3B7954">
      <w:pPr>
        <w:pStyle w:val="5"/>
        <w:spacing w:line="360" w:lineRule="auto"/>
        <w:jc w:val="both"/>
      </w:pPr>
      <w:bookmarkStart w:id="4" w:name="X1e10413deeb6a2eb59b6a363e72c13b0cd5b8b4"/>
      <w:r>
        <w:rPr>
          <w:rFonts w:ascii="Times New Roman" w:hAnsi="Times New Roman"/>
          <w:b/>
          <w:color w:val="000000"/>
          <w:sz w:val="22"/>
        </w:rPr>
        <w:t>Disease and cohort context influence the magnitude of translation-related remodeling</w:t>
      </w:r>
    </w:p>
    <w:p w14:paraId="7850B98E">
      <w:pPr>
        <w:pStyle w:val="23"/>
        <w:spacing w:line="360" w:lineRule="auto"/>
        <w:jc w:val="both"/>
      </w:pPr>
      <w:r>
        <w:rPr>
          <w:rFonts w:ascii="Times New Roman" w:hAnsi="Times New Roman"/>
          <w:b w:val="0"/>
          <w:color w:val="000000"/>
          <w:sz w:val="22"/>
        </w:rPr>
        <w:t>The mirror perturbation observed in the GSE57338–TCGA-LIHC comparison (24/33 mirror pathways, ρ = −0.598) raises the question of whether this pattern is reproducible across independent cohorts — and, if not, what the sources of variability reveal about the underlying biology. To assess cross-cohort generalizability, the identical ssGSEA pipeline was applied to an independent HF cohort (GSE116250; 14 NF, 37 DCM, 13 ICM; RNA-seq).</w:t>
      </w:r>
    </w:p>
    <w:p w14:paraId="2448FEEF">
      <w:pPr>
        <w:pStyle w:val="3"/>
        <w:spacing w:line="360" w:lineRule="auto"/>
        <w:jc w:val="both"/>
      </w:pPr>
      <w:r>
        <w:rPr>
          <w:rFonts w:ascii="Times New Roman" w:hAnsi="Times New Roman"/>
          <w:b w:val="0"/>
          <w:color w:val="000000"/>
          <w:sz w:val="22"/>
        </w:rPr>
        <w:t xml:space="preserve">The all-pathway Spearman correlation between GSE116250 HF effect sizes and TCGA-LIHC HCC effect sizes remained negative (ρ = −0.283, </w:t>
      </w:r>
      <w:r>
        <w:rPr>
          <w:rFonts w:ascii="Times New Roman" w:hAnsi="Times New Roman"/>
          <w:b w:val="0"/>
          <w:i/>
          <w:iCs/>
          <w:color w:val="000000"/>
          <w:sz w:val="22"/>
        </w:rPr>
        <w:t>P</w:t>
      </w:r>
      <w:r>
        <w:rPr>
          <w:rFonts w:ascii="Times New Roman" w:hAnsi="Times New Roman"/>
          <w:b w:val="0"/>
          <w:color w:val="000000"/>
          <w:sz w:val="22"/>
        </w:rPr>
        <w:t xml:space="preserve"> = 0.011), preserving the overall cross-disease trend. However, the translation-pathway subset did not reproduce the magnitude of mirror perturbation observed in GSE57338 (ρ = +0.249, </w:t>
      </w:r>
      <w:r>
        <w:rPr>
          <w:rFonts w:ascii="Times New Roman" w:hAnsi="Times New Roman"/>
          <w:b w:val="0"/>
          <w:i/>
          <w:iCs/>
          <w:color w:val="000000"/>
          <w:sz w:val="22"/>
        </w:rPr>
        <w:t>P</w:t>
      </w:r>
      <w:r>
        <w:rPr>
          <w:rFonts w:ascii="Times New Roman" w:hAnsi="Times New Roman"/>
          <w:b w:val="0"/>
          <w:color w:val="000000"/>
          <w:sz w:val="22"/>
        </w:rPr>
        <w:t xml:space="preserve"> = 0.162; 14/33 mirror pathways vs. 24/33 in GSE57338). This discrepancy may reflect several contributing factors: (i) </w:t>
      </w:r>
      <w:r>
        <w:rPr>
          <w:rFonts w:ascii="Times New Roman" w:hAnsi="Times New Roman"/>
          <w:b w:val="0"/>
          <w:bCs/>
          <w:color w:val="000000"/>
          <w:sz w:val="22"/>
        </w:rPr>
        <w:t>disease etiology and severity</w:t>
      </w:r>
      <w:r>
        <w:rPr>
          <w:rFonts w:ascii="Times New Roman" w:hAnsi="Times New Roman"/>
          <w:b w:val="0"/>
          <w:color w:val="000000"/>
          <w:sz w:val="22"/>
        </w:rPr>
        <w:t xml:space="preserve"> — GSE57338 comprises advanced HF patients requiring transplantation (DCM/ICM) with severe energetic failure, whereas GSE116250 includes a broader disease spectrum with differing severity distribution; transplant-stage HF may produce a more pronounced reduction in translation-related transcriptional activity; (ii) </w:t>
      </w:r>
      <w:r>
        <w:rPr>
          <w:rFonts w:ascii="Times New Roman" w:hAnsi="Times New Roman"/>
          <w:b w:val="0"/>
          <w:bCs/>
          <w:color w:val="000000"/>
          <w:sz w:val="22"/>
        </w:rPr>
        <w:t>platform</w:t>
      </w:r>
      <w:r>
        <w:rPr>
          <w:rFonts w:ascii="Times New Roman" w:hAnsi="Times New Roman"/>
          <w:b w:val="0"/>
          <w:color w:val="000000"/>
          <w:sz w:val="22"/>
        </w:rPr>
        <w:t xml:space="preserve"> — microarray (GSE57338) vs. RNA-seq RPKM (GSE116250) may differentially affect pathway-level signal resolution; and (iii) </w:t>
      </w:r>
      <w:r>
        <w:rPr>
          <w:rFonts w:ascii="Times New Roman" w:hAnsi="Times New Roman"/>
          <w:b w:val="0"/>
          <w:bCs/>
          <w:color w:val="000000"/>
          <w:sz w:val="22"/>
        </w:rPr>
        <w:t>statistical power</w:t>
      </w:r>
      <w:r>
        <w:rPr>
          <w:rFonts w:ascii="Times New Roman" w:hAnsi="Times New Roman"/>
          <w:b w:val="0"/>
          <w:color w:val="000000"/>
          <w:sz w:val="22"/>
        </w:rPr>
        <w:t xml:space="preserve"> — the smaller sample size (</w:t>
      </w:r>
      <w:r>
        <w:rPr>
          <w:rFonts w:ascii="Times New Roman" w:hAnsi="Times New Roman"/>
          <w:b w:val="0"/>
          <w:i/>
          <w:iCs/>
          <w:color w:val="000000"/>
          <w:sz w:val="22"/>
        </w:rPr>
        <w:t>n</w:t>
      </w:r>
      <w:r>
        <w:rPr>
          <w:rFonts w:ascii="Times New Roman" w:hAnsi="Times New Roman"/>
          <w:b w:val="0"/>
          <w:color w:val="000000"/>
          <w:sz w:val="22"/>
        </w:rPr>
        <w:t xml:space="preserve"> = 64 vs. </w:t>
      </w:r>
      <w:r>
        <w:rPr>
          <w:rFonts w:ascii="Times New Roman" w:hAnsi="Times New Roman"/>
          <w:b w:val="0"/>
          <w:i/>
          <w:iCs/>
          <w:color w:val="000000"/>
          <w:sz w:val="22"/>
        </w:rPr>
        <w:t>n</w:t>
      </w:r>
      <w:r>
        <w:rPr>
          <w:rFonts w:ascii="Times New Roman" w:hAnsi="Times New Roman"/>
          <w:b w:val="0"/>
          <w:color w:val="000000"/>
          <w:sz w:val="22"/>
        </w:rPr>
        <w:t xml:space="preserve"> = 313) reduces precision for translation-subset comparisons. These factors collectively suggest that the mirror perturbation may represent a disease-state-associated transition whose magnitude varies with cohort characteristics, rather than a binary (present/absent) feature uniformly detectable across all HF populations. This context-dependent variability in the strength of translation-related remodeling is consistent with the disease-context-dependent framework.</w:t>
      </w:r>
    </w:p>
    <w:p w14:paraId="35128CBF">
      <w:pPr>
        <w:pStyle w:val="3"/>
        <w:spacing w:line="360" w:lineRule="auto"/>
        <w:jc w:val="both"/>
      </w:pPr>
      <w:r>
        <w:rPr>
          <w:rFonts w:ascii="Times New Roman" w:hAnsi="Times New Roman"/>
          <w:b w:val="0"/>
          <w:color w:val="000000"/>
          <w:sz w:val="22"/>
        </w:rPr>
        <w:t xml:space="preserve">The observed cross-cohort heterogeneity raised the question of whether the mirror perturbation could instead reflect constitutive transcriptional differences between cardiac and hepatic tissue, independent of the specific disease context. To distinguish disease-specific mirror perturbation from tissue-specific baseline characteristics, two same-organ disease comparisons were performed (Fig. 3). In the cardiac same-organ comparison (GSE141910; HCM vs. non-failing myocardium), translation pathway effect sizes showed no correlation with HCC (ρ = −0.036, </w:t>
      </w:r>
      <w:r>
        <w:rPr>
          <w:rFonts w:ascii="Times New Roman" w:hAnsi="Times New Roman"/>
          <w:b w:val="0"/>
          <w:i/>
          <w:iCs/>
          <w:color w:val="000000"/>
          <w:sz w:val="22"/>
        </w:rPr>
        <w:t>P</w:t>
      </w:r>
      <w:r>
        <w:rPr>
          <w:rFonts w:ascii="Times New Roman" w:hAnsi="Times New Roman"/>
          <w:b w:val="0"/>
          <w:color w:val="000000"/>
          <w:sz w:val="22"/>
        </w:rPr>
        <w:t xml:space="preserve"> = 0.840; 14/33 mirror pathways), consistent with a null distribution. The absence of mirror perturbation in hypertrophic cardiomyopathy argues against a generic cardiac disease effect, indicating that the cross-disease HF–HCC mirror perturbation is unlikely to be explained by baseline cardiac tissue-related expression differences alone. In the liver same-organ comparison (GSE89377; cirrhosis vs. normal liver), translation pathway effect sizes were positively correlated with HCC (ρ = +0.402, </w:t>
      </w:r>
      <w:r>
        <w:rPr>
          <w:rFonts w:ascii="Times New Roman" w:hAnsi="Times New Roman"/>
          <w:b w:val="0"/>
          <w:i/>
          <w:iCs/>
          <w:color w:val="000000"/>
          <w:sz w:val="22"/>
        </w:rPr>
        <w:t>P</w:t>
      </w:r>
      <w:r>
        <w:rPr>
          <w:rFonts w:ascii="Times New Roman" w:hAnsi="Times New Roman"/>
          <w:b w:val="0"/>
          <w:color w:val="000000"/>
          <w:sz w:val="22"/>
        </w:rPr>
        <w:t xml:space="preserve"> = 0.021; 9/33 mirror pathways), consistent with progressive activation of translation-related transcriptional programs during hepatocarcinogenesis. Together, these same-organ disease controls indicate that the mirror perturbation emerges within specific disease contexts rather than reflecting organ-level baseline differences. Collectively, these analyses indicate that the observed mirror perturbation is context-dependent, reproducible at the level of global pathway organization, and absent in same-organ disease comparisons.</w:t>
      </w:r>
    </w:p>
    <w:p w14:paraId="47629D9E">
      <w:pPr>
        <w:pStyle w:val="47"/>
        <w:spacing w:line="360" w:lineRule="auto"/>
      </w:pPr>
      <w:r>
        <w:rPr>
          <w:rFonts w:ascii="Times New Roman" w:hAnsi="Times New Roman"/>
          <w:b w:val="0"/>
          <w:color w:val="000000"/>
          <w:sz w:val="22"/>
        </w:rPr>
        <w:drawing>
          <wp:inline distT="0" distB="0" distL="114300" distR="114300">
            <wp:extent cx="5334000" cy="4572000"/>
            <wp:effectExtent l="0" t="0" r="0" b="0"/>
            <wp:docPr id="18" name="Picture" descr="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Figure 3"/>
                    <pic:cNvPicPr>
                      <a:picLocks noChangeAspect="1" noChangeArrowheads="1"/>
                    </pic:cNvPicPr>
                  </pic:nvPicPr>
                  <pic:blipFill>
                    <a:blip r:embed="rId8"/>
                    <a:stretch>
                      <a:fillRect/>
                    </a:stretch>
                  </pic:blipFill>
                  <pic:spPr>
                    <a:xfrm>
                      <a:off x="0" y="0"/>
                      <a:ext cx="5334000" cy="4572000"/>
                    </a:xfrm>
                    <a:prstGeom prst="rect">
                      <a:avLst/>
                    </a:prstGeom>
                    <a:noFill/>
                    <a:ln w="9525">
                      <a:noFill/>
                    </a:ln>
                  </pic:spPr>
                </pic:pic>
              </a:graphicData>
            </a:graphic>
          </wp:inline>
        </w:drawing>
      </w:r>
    </w:p>
    <w:p w14:paraId="23CD2177">
      <w:pPr>
        <w:pStyle w:val="45"/>
        <w:spacing w:line="360" w:lineRule="auto"/>
      </w:pPr>
      <w:r>
        <w:rPr>
          <w:rFonts w:ascii="Times New Roman" w:hAnsi="Times New Roman"/>
          <w:b w:val="0"/>
          <w:color w:val="000000"/>
          <w:sz w:val="22"/>
        </w:rPr>
        <w:t>Figure 3</w:t>
      </w:r>
    </w:p>
    <w:p w14:paraId="5D80FEA5">
      <w:pPr>
        <w:pStyle w:val="3"/>
        <w:spacing w:line="360" w:lineRule="auto"/>
        <w:jc w:val="both"/>
        <w:rPr>
          <w:b w:val="0"/>
          <w:bCs w:val="0"/>
        </w:rPr>
      </w:pPr>
      <w:r>
        <w:rPr>
          <w:rFonts w:ascii="Times New Roman" w:hAnsi="Times New Roman"/>
          <w:b w:val="0"/>
          <w:bCs w:val="0"/>
          <w:color w:val="000000"/>
          <w:sz w:val="18"/>
        </w:rPr>
        <w:t xml:space="preserve">Fig. 3 | Cohort dependency and disease-context analyses of cross-disease mirror perturbation. Cross-disease Spearman correlation of pathway-level Cohen’s </w:t>
      </w:r>
      <w:r>
        <w:rPr>
          <w:rFonts w:ascii="Times New Roman" w:hAnsi="Times New Roman"/>
          <w:b w:val="0"/>
          <w:bCs w:val="0"/>
          <w:i/>
          <w:iCs/>
          <w:color w:val="000000"/>
          <w:sz w:val="18"/>
        </w:rPr>
        <w:t>d</w:t>
      </w:r>
      <w:r>
        <w:rPr>
          <w:rFonts w:ascii="Times New Roman" w:hAnsi="Times New Roman"/>
          <w:b w:val="0"/>
          <w:bCs w:val="0"/>
          <w:color w:val="000000"/>
          <w:sz w:val="18"/>
        </w:rPr>
        <w:t xml:space="preserve"> effect sizes (x-axis: HCC, TCGA-LIHC) for 33 translation-related pathways (red) and 48 other pathways (gray). a, HF discovery cohort (GSE57338): ρ = −0.598, 24/33 mirror. b, Cardiac same-organ control (GSE141910, HCM vs. NF): ρ = −0.036 (</w:t>
      </w:r>
      <w:r>
        <w:rPr>
          <w:rFonts w:ascii="Times New Roman" w:hAnsi="Times New Roman"/>
          <w:b w:val="0"/>
          <w:bCs w:val="0"/>
          <w:i/>
          <w:iCs/>
          <w:color w:val="000000"/>
          <w:sz w:val="18"/>
        </w:rPr>
        <w:t>P</w:t>
      </w:r>
      <w:r>
        <w:rPr>
          <w:rFonts w:ascii="Times New Roman" w:hAnsi="Times New Roman"/>
          <w:b w:val="0"/>
          <w:bCs w:val="0"/>
          <w:color w:val="000000"/>
          <w:sz w:val="18"/>
        </w:rPr>
        <w:t xml:space="preserve"> = 0.84) — no mirror perturbation, excluding a generic cardiac disease effect. c, Liver same-organ control (GSE89377, cirrhosis vs. normal): ρ = +0.402 (</w:t>
      </w:r>
      <w:r>
        <w:rPr>
          <w:rFonts w:ascii="Times New Roman" w:hAnsi="Times New Roman"/>
          <w:b w:val="0"/>
          <w:bCs w:val="0"/>
          <w:i/>
          <w:iCs/>
          <w:color w:val="000000"/>
          <w:sz w:val="18"/>
        </w:rPr>
        <w:t>P</w:t>
      </w:r>
      <w:r>
        <w:rPr>
          <w:rFonts w:ascii="Times New Roman" w:hAnsi="Times New Roman"/>
          <w:b w:val="0"/>
          <w:bCs w:val="0"/>
          <w:color w:val="000000"/>
          <w:sz w:val="18"/>
        </w:rPr>
        <w:t xml:space="preserve"> = 0.021) — translation pathways positively correlated with HCC, consistent with progressive remodeling of translation-related programs during hepatocarcinogenesis. d, Independent HF cohort (GSE116250): overall cross-disease trend retained (all-pathway ρ = −0.283, </w:t>
      </w:r>
      <w:r>
        <w:rPr>
          <w:rFonts w:ascii="Times New Roman" w:hAnsi="Times New Roman"/>
          <w:b w:val="0"/>
          <w:bCs w:val="0"/>
          <w:i/>
          <w:iCs/>
          <w:color w:val="000000"/>
          <w:sz w:val="18"/>
        </w:rPr>
        <w:t>P</w:t>
      </w:r>
      <w:r>
        <w:rPr>
          <w:rFonts w:ascii="Times New Roman" w:hAnsi="Times New Roman"/>
          <w:b w:val="0"/>
          <w:bCs w:val="0"/>
          <w:color w:val="000000"/>
          <w:sz w:val="18"/>
        </w:rPr>
        <w:t xml:space="preserve"> = 0.011); translation-subset shows cohort-dependent heterogeneity (ρ = +0.249, 14/33 mirror), indicating that the magnitude of mirror perturbation varies with disease etiology, severity, and platform. Mirror perturbation was absent in both same-organ comparisons, supporting disease-context dependence.</w:t>
      </w:r>
    </w:p>
    <w:bookmarkEnd w:id="4"/>
    <w:p w14:paraId="6F5C8FE6">
      <w:pPr>
        <w:pStyle w:val="5"/>
        <w:spacing w:line="360" w:lineRule="auto"/>
        <w:jc w:val="both"/>
      </w:pPr>
      <w:bookmarkStart w:id="5" w:name="X02ce305d1f65b16a947188421433840c43c55eb"/>
      <w:r>
        <w:rPr>
          <w:rFonts w:ascii="Times New Roman" w:hAnsi="Times New Roman"/>
          <w:b/>
          <w:color w:val="000000"/>
          <w:sz w:val="22"/>
        </w:rPr>
        <w:t>Exploratory assessment of TATS clinical associations</w:t>
      </w:r>
    </w:p>
    <w:p w14:paraId="0B3194AF">
      <w:pPr>
        <w:pStyle w:val="23"/>
        <w:spacing w:line="360" w:lineRule="auto"/>
        <w:jc w:val="both"/>
      </w:pPr>
      <w:r>
        <w:rPr>
          <w:rFonts w:ascii="Times New Roman" w:hAnsi="Times New Roman"/>
          <w:b w:val="0"/>
          <w:color w:val="000000"/>
          <w:sz w:val="22"/>
        </w:rPr>
        <w:t>Given that translation-related programs may reflect biological states rather than prognostic determinants specific to individual diseases, we explored whether a translation-associated transcriptional score (TATS) — defined as the mean z-score normalized expression of the 227 green module genes — showed clinical outcome associations in independent HCC cohorts as an exploratory analysis. TATS was evaluated in HCC rather than HF because available HCC cohorts provide standardized survival annotation, whereas GSE57338 represents a cross-sectional transplant population without comparable long-term outcome data.</w:t>
      </w:r>
    </w:p>
    <w:p w14:paraId="72174219">
      <w:pPr>
        <w:pStyle w:val="3"/>
        <w:spacing w:line="360" w:lineRule="auto"/>
        <w:jc w:val="both"/>
      </w:pPr>
      <w:r>
        <w:rPr>
          <w:rFonts w:ascii="Times New Roman" w:hAnsi="Times New Roman"/>
          <w:b w:val="0"/>
          <w:color w:val="000000"/>
          <w:sz w:val="22"/>
        </w:rPr>
        <w:t>TATS was not significantly associated with overall survival in GSE141198 (</w:t>
      </w:r>
      <w:r>
        <w:rPr>
          <w:rFonts w:ascii="Times New Roman" w:hAnsi="Times New Roman"/>
          <w:b w:val="0"/>
          <w:i/>
          <w:iCs/>
          <w:color w:val="000000"/>
          <w:sz w:val="22"/>
        </w:rPr>
        <w:t>n</w:t>
      </w:r>
      <w:r>
        <w:rPr>
          <w:rFonts w:ascii="Times New Roman" w:hAnsi="Times New Roman"/>
          <w:b w:val="0"/>
          <w:color w:val="000000"/>
          <w:sz w:val="22"/>
        </w:rPr>
        <w:t xml:space="preserve"> = 148, 94 events; log-rank </w:t>
      </w:r>
      <w:r>
        <w:rPr>
          <w:rFonts w:ascii="Times New Roman" w:hAnsi="Times New Roman"/>
          <w:b w:val="0"/>
          <w:i/>
          <w:iCs/>
          <w:color w:val="000000"/>
          <w:sz w:val="22"/>
        </w:rPr>
        <w:t>P</w:t>
      </w:r>
      <w:r>
        <w:rPr>
          <w:rFonts w:ascii="Times New Roman" w:hAnsi="Times New Roman"/>
          <w:b w:val="0"/>
          <w:color w:val="000000"/>
          <w:sz w:val="22"/>
        </w:rPr>
        <w:t xml:space="preserve"> = 0.303; Fig. 4a). When analyzed as a continuous variable, TATS was also non-significant in Cox regression (HR = 1.68, 95% CI [0.67, 4.21], </w:t>
      </w:r>
      <w:r>
        <w:rPr>
          <w:rFonts w:ascii="Times New Roman" w:hAnsi="Times New Roman"/>
          <w:b w:val="0"/>
          <w:i/>
          <w:iCs/>
          <w:color w:val="000000"/>
          <w:sz w:val="22"/>
        </w:rPr>
        <w:t>P</w:t>
      </w:r>
      <w:r>
        <w:rPr>
          <w:rFonts w:ascii="Times New Roman" w:hAnsi="Times New Roman"/>
          <w:b w:val="0"/>
          <w:color w:val="000000"/>
          <w:sz w:val="22"/>
        </w:rPr>
        <w:t xml:space="preserve"> = 0.265). Stratification by etiology (HBV, HCV, NBNC) revealed no significant association between TATS and survival in any subgroup. Across all three independent HCC cohorts — GSE141198, GSE14520 (</w:t>
      </w:r>
      <w:r>
        <w:rPr>
          <w:rFonts w:ascii="Times New Roman" w:hAnsi="Times New Roman"/>
          <w:b w:val="0"/>
          <w:i/>
          <w:iCs/>
          <w:color w:val="000000"/>
          <w:sz w:val="22"/>
        </w:rPr>
        <w:t>n</w:t>
      </w:r>
      <w:r>
        <w:rPr>
          <w:rFonts w:ascii="Times New Roman" w:hAnsi="Times New Roman"/>
          <w:b w:val="0"/>
          <w:color w:val="000000"/>
          <w:sz w:val="22"/>
        </w:rPr>
        <w:t xml:space="preserve"> = 221), and GSE76427 (</w:t>
      </w:r>
      <w:r>
        <w:rPr>
          <w:rFonts w:ascii="Times New Roman" w:hAnsi="Times New Roman"/>
          <w:b w:val="0"/>
          <w:i/>
          <w:iCs/>
          <w:color w:val="000000"/>
          <w:sz w:val="22"/>
        </w:rPr>
        <w:t>n</w:t>
      </w:r>
      <w:r>
        <w:rPr>
          <w:rFonts w:ascii="Times New Roman" w:hAnsi="Times New Roman"/>
          <w:b w:val="0"/>
          <w:color w:val="000000"/>
          <w:sz w:val="22"/>
        </w:rPr>
        <w:t xml:space="preserve"> = 115) — TATS showed no significant survival association. The limited survival association of TATS indicates that translation-related module activity, as measured by aggregate gene expression, was not associated with overall survival in the examined HCC cohorts. This finding is consistent with the disease-context-dependent interpretation: the transcriptional organization of translation-related genes may differ between HF and HCC, and their aggregate expression level in tumor tissue may not capture the clinical dimension most relevant to HCC outcome.</w:t>
      </w:r>
    </w:p>
    <w:p w14:paraId="002A9229">
      <w:pPr>
        <w:pStyle w:val="47"/>
        <w:spacing w:line="360" w:lineRule="auto"/>
      </w:pPr>
      <w:r>
        <w:rPr>
          <w:rFonts w:ascii="Times New Roman" w:hAnsi="Times New Roman"/>
          <w:b w:val="0"/>
          <w:color w:val="000000"/>
          <w:sz w:val="22"/>
        </w:rPr>
        <w:drawing>
          <wp:inline distT="0" distB="0" distL="114300" distR="114300">
            <wp:extent cx="5334000" cy="2667000"/>
            <wp:effectExtent l="0" t="0" r="0" b="0"/>
            <wp:docPr id="22" name="Picture" descr="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Figure 4"/>
                    <pic:cNvPicPr>
                      <a:picLocks noChangeAspect="1" noChangeArrowheads="1"/>
                    </pic:cNvPicPr>
                  </pic:nvPicPr>
                  <pic:blipFill>
                    <a:blip r:embed="rId9"/>
                    <a:stretch>
                      <a:fillRect/>
                    </a:stretch>
                  </pic:blipFill>
                  <pic:spPr>
                    <a:xfrm>
                      <a:off x="0" y="0"/>
                      <a:ext cx="5334000" cy="2667000"/>
                    </a:xfrm>
                    <a:prstGeom prst="rect">
                      <a:avLst/>
                    </a:prstGeom>
                    <a:noFill/>
                    <a:ln w="9525">
                      <a:noFill/>
                    </a:ln>
                  </pic:spPr>
                </pic:pic>
              </a:graphicData>
            </a:graphic>
          </wp:inline>
        </w:drawing>
      </w:r>
    </w:p>
    <w:p w14:paraId="3C4F3AF2">
      <w:pPr>
        <w:pStyle w:val="45"/>
        <w:spacing w:line="360" w:lineRule="auto"/>
      </w:pPr>
      <w:r>
        <w:rPr>
          <w:rFonts w:ascii="Times New Roman" w:hAnsi="Times New Roman"/>
          <w:b w:val="0"/>
          <w:color w:val="000000"/>
          <w:sz w:val="22"/>
        </w:rPr>
        <w:t>Figure 4</w:t>
      </w:r>
    </w:p>
    <w:p w14:paraId="3C084A19">
      <w:pPr>
        <w:pStyle w:val="3"/>
        <w:spacing w:line="360" w:lineRule="auto"/>
        <w:jc w:val="both"/>
        <w:rPr>
          <w:b w:val="0"/>
          <w:bCs w:val="0"/>
        </w:rPr>
      </w:pPr>
      <w:r>
        <w:rPr>
          <w:rFonts w:ascii="Times New Roman" w:hAnsi="Times New Roman"/>
          <w:b w:val="0"/>
          <w:bCs w:val="0"/>
          <w:color w:val="000000"/>
          <w:sz w:val="18"/>
        </w:rPr>
        <w:t>Fig. 4 | TATS exploratory clinical association and hub gene significance. a, Kaplan–Meier overall survival curves for TATS (median split) in the GSE141198 HCC cohort (</w:t>
      </w:r>
      <w:r>
        <w:rPr>
          <w:rFonts w:ascii="Times New Roman" w:hAnsi="Times New Roman"/>
          <w:b w:val="0"/>
          <w:bCs w:val="0"/>
          <w:i/>
          <w:iCs/>
          <w:color w:val="000000"/>
          <w:sz w:val="18"/>
        </w:rPr>
        <w:t>n</w:t>
      </w:r>
      <w:r>
        <w:rPr>
          <w:rFonts w:ascii="Times New Roman" w:hAnsi="Times New Roman"/>
          <w:b w:val="0"/>
          <w:bCs w:val="0"/>
          <w:color w:val="000000"/>
          <w:sz w:val="18"/>
        </w:rPr>
        <w:t xml:space="preserve"> = 148, 94 events). Log-rank </w:t>
      </w:r>
      <w:r>
        <w:rPr>
          <w:rFonts w:ascii="Times New Roman" w:hAnsi="Times New Roman"/>
          <w:b w:val="0"/>
          <w:bCs w:val="0"/>
          <w:i/>
          <w:iCs/>
          <w:color w:val="000000"/>
          <w:sz w:val="18"/>
        </w:rPr>
        <w:t>P</w:t>
      </w:r>
      <w:r>
        <w:rPr>
          <w:rFonts w:ascii="Times New Roman" w:hAnsi="Times New Roman"/>
          <w:b w:val="0"/>
          <w:bCs w:val="0"/>
          <w:color w:val="000000"/>
          <w:sz w:val="18"/>
        </w:rPr>
        <w:t xml:space="preserve"> = 0.303; Cox HR = 1.68, 95% CI [0.67, 4.21], </w:t>
      </w:r>
      <w:r>
        <w:rPr>
          <w:rFonts w:ascii="Times New Roman" w:hAnsi="Times New Roman"/>
          <w:b w:val="0"/>
          <w:bCs w:val="0"/>
          <w:i/>
          <w:iCs/>
          <w:color w:val="000000"/>
          <w:sz w:val="18"/>
        </w:rPr>
        <w:t>P</w:t>
      </w:r>
      <w:r>
        <w:rPr>
          <w:rFonts w:ascii="Times New Roman" w:hAnsi="Times New Roman"/>
          <w:b w:val="0"/>
          <w:bCs w:val="0"/>
          <w:color w:val="000000"/>
          <w:sz w:val="18"/>
        </w:rPr>
        <w:t xml:space="preserve"> = 0.265. TATS was not significantly associated with overall survival. b, Gene Significance (Pearson correlation with HF status) for the top ten green module hub genes in GSE57338. All hub genes show negative Gene Significance, consistent with reduced expression of translation-associated hub genes in HF.</w:t>
      </w:r>
    </w:p>
    <w:bookmarkEnd w:id="5"/>
    <w:p w14:paraId="4A24A17F">
      <w:pPr>
        <w:pStyle w:val="5"/>
        <w:spacing w:line="360" w:lineRule="auto"/>
        <w:jc w:val="both"/>
      </w:pPr>
      <w:bookmarkStart w:id="6" w:name="Xf77b5fd22659b51cc58db1acf92e254d9aa3f77"/>
      <w:r>
        <w:rPr>
          <w:rFonts w:ascii="Times New Roman" w:hAnsi="Times New Roman"/>
          <w:b/>
          <w:color w:val="000000"/>
          <w:sz w:val="22"/>
        </w:rPr>
        <w:t>Regulatory associations with translation-related transcriptional programs</w:t>
      </w:r>
    </w:p>
    <w:p w14:paraId="5CA0A022">
      <w:pPr>
        <w:pStyle w:val="23"/>
        <w:spacing w:line="360" w:lineRule="auto"/>
        <w:jc w:val="both"/>
      </w:pPr>
      <w:r>
        <w:rPr>
          <w:rFonts w:ascii="Times New Roman" w:hAnsi="Times New Roman"/>
          <w:b w:val="0"/>
          <w:color w:val="000000"/>
          <w:sz w:val="22"/>
        </w:rPr>
        <w:t>Given that translation-related programs exhibit disease-specific network organization and pathway-level mirror perturbation but limited clinical prognostic value, we next investigated which transcriptional programs are associated with translation-related transcriptional program activity. To address this, we performed systematic transcription factor (TF)–TATS correlation analysis across GSE141198 tumor samples (</w:t>
      </w:r>
      <w:r>
        <w:rPr>
          <w:rFonts w:ascii="Times New Roman" w:hAnsi="Times New Roman"/>
          <w:b w:val="0"/>
          <w:i/>
          <w:iCs/>
          <w:color w:val="000000"/>
          <w:sz w:val="22"/>
        </w:rPr>
        <w:t>n</w:t>
      </w:r>
      <w:r>
        <w:rPr>
          <w:rFonts w:ascii="Times New Roman" w:hAnsi="Times New Roman"/>
          <w:b w:val="0"/>
          <w:color w:val="000000"/>
          <w:sz w:val="22"/>
        </w:rPr>
        <w:t xml:space="preserve"> = 148). Nineteen candidate TFs were selected, encompassing stress response-related TFs (ATF4, DDIT3, XBP1, HIF1A, NFE2L2, TP53), cell-cycle regulators (E2F family, E2F1–E2F8), and growth/proliferation regulators (MYC, MYCN, MYCL, MTOR, RPTOR).</w:t>
      </w:r>
    </w:p>
    <w:p w14:paraId="5112B513">
      <w:pPr>
        <w:pStyle w:val="3"/>
        <w:spacing w:line="360" w:lineRule="auto"/>
        <w:jc w:val="both"/>
      </w:pPr>
      <w:r>
        <w:rPr>
          <w:rFonts w:ascii="Times New Roman" w:hAnsi="Times New Roman"/>
          <w:b w:val="0"/>
          <w:color w:val="000000"/>
          <w:sz w:val="22"/>
        </w:rPr>
        <w:t xml:space="preserve">At the pathway activity level, </w:t>
      </w:r>
      <w:r>
        <w:rPr>
          <w:rFonts w:ascii="Times New Roman" w:hAnsi="Times New Roman"/>
          <w:b w:val="0"/>
          <w:bCs/>
          <w:color w:val="000000"/>
          <w:sz w:val="22"/>
        </w:rPr>
        <w:t>MYC target pathway activity showed the strongest overall correlation with TATS</w:t>
      </w:r>
      <w:r>
        <w:rPr>
          <w:rFonts w:ascii="Times New Roman" w:hAnsi="Times New Roman"/>
          <w:b w:val="0"/>
          <w:color w:val="000000"/>
          <w:sz w:val="22"/>
        </w:rPr>
        <w:t xml:space="preserve"> (MYC Targets V2: ρ = +0.753, </w:t>
      </w:r>
      <w:r>
        <w:rPr>
          <w:rFonts w:ascii="Times New Roman" w:hAnsi="Times New Roman"/>
          <w:b w:val="0"/>
          <w:i/>
          <w:iCs/>
          <w:color w:val="000000"/>
          <w:sz w:val="22"/>
        </w:rPr>
        <w:t>P</w:t>
      </w:r>
      <w:r>
        <w:rPr>
          <w:rFonts w:ascii="Times New Roman" w:hAnsi="Times New Roman"/>
          <w:b w:val="0"/>
          <w:color w:val="000000"/>
          <w:sz w:val="22"/>
        </w:rPr>
        <w:t xml:space="preserve"> &lt; 0.0001; MYC Targets V1: ρ = +0.459, </w:t>
      </w:r>
      <w:r>
        <w:rPr>
          <w:rFonts w:ascii="Times New Roman" w:hAnsi="Times New Roman"/>
          <w:b w:val="0"/>
          <w:i/>
          <w:iCs/>
          <w:color w:val="000000"/>
          <w:sz w:val="22"/>
        </w:rPr>
        <w:t>P</w:t>
      </w:r>
      <w:r>
        <w:rPr>
          <w:rFonts w:ascii="Times New Roman" w:hAnsi="Times New Roman"/>
          <w:b w:val="0"/>
          <w:color w:val="000000"/>
          <w:sz w:val="22"/>
        </w:rPr>
        <w:t xml:space="preserve"> &lt; 0.0001; Fig. 5b), showing a substantially stronger correlation than MYC mRNA level alone (ρ = +0.255). This discrepancy between TF mRNA level and target pathway activity may reflect regulation of MYC pathway activity beyond transcript abundance and the statistical benefit of aggregating multiple target genes into a pathway score. To evaluate whether the MYC Targets V2–TATS association was driven by shared gene representation rather than pathway-level concordance, we quantified the gene overlap between the TATS constituent genes (227 green module genes) and each Hallmark pathway gene set (Supplementary Table 7). MYC Targets V2 showed 9 overlapping genes (4.0% of TATS; Jaccard index = 0.033), MYC Targets V1 showed 12 (5.3%), and E2F Targets showed 4 (1.8%). De-overlap sensitivity analysis — removing the nine shared genes from TATS and recomputing all TF–TATS correlations — indicated that the correlation pattern remained similar: ATF4–TATS ρ = 0.499 (vs. 0.500 original), MYC mRNA–TATS ρ = 0.223 (vs. 0.255) (Supplementary Table 7). Of the nine overlapping genes between TATS and MYC Targets V2, eight were present in the GSE141198 expression matrix (one gene was absent due to platform annotation filtering). TATS-side de-overlap — removing these eight genes from the TATS gene set, while the ssGSEA-based MYC Targets V2 pathway score (which aggregates over the full Hallmark gene set via the GSVA algorithm) was unchanged — indicated that the MYC Targets V2–TATS association remained robust (de-overlap ρ = 0.714, bootstrap 95% CI [0.620, 0.786]; original ρ = 0.753, bootstrap 95% CI [0.666, 0.817]), consistent with reduced likelihood that the pathway-level association is solely explained by shared genes. E2F Targets (ρ = +0.409, </w:t>
      </w:r>
      <w:r>
        <w:rPr>
          <w:rFonts w:ascii="Times New Roman" w:hAnsi="Times New Roman"/>
          <w:b w:val="0"/>
          <w:i/>
          <w:iCs/>
          <w:color w:val="000000"/>
          <w:sz w:val="22"/>
        </w:rPr>
        <w:t>P</w:t>
      </w:r>
      <w:r>
        <w:rPr>
          <w:rFonts w:ascii="Times New Roman" w:hAnsi="Times New Roman"/>
          <w:b w:val="0"/>
          <w:color w:val="000000"/>
          <w:sz w:val="22"/>
        </w:rPr>
        <w:t xml:space="preserve"> &lt; 0.0001) and MTORC1 Signaling (ρ = +0.335, </w:t>
      </w:r>
      <w:r>
        <w:rPr>
          <w:rFonts w:ascii="Times New Roman" w:hAnsi="Times New Roman"/>
          <w:b w:val="0"/>
          <w:i/>
          <w:iCs/>
          <w:color w:val="000000"/>
          <w:sz w:val="22"/>
        </w:rPr>
        <w:t>P</w:t>
      </w:r>
      <w:r>
        <w:rPr>
          <w:rFonts w:ascii="Times New Roman" w:hAnsi="Times New Roman"/>
          <w:b w:val="0"/>
          <w:color w:val="000000"/>
          <w:sz w:val="22"/>
        </w:rPr>
        <w:t xml:space="preserve"> &lt; 0.0001) pathway activities were also positively associated with TATS, consistent with the proliferative association of translation-related transcriptional remodeling.</w:t>
      </w:r>
    </w:p>
    <w:p w14:paraId="51D27F72">
      <w:pPr>
        <w:pStyle w:val="3"/>
        <w:spacing w:line="360" w:lineRule="auto"/>
        <w:jc w:val="both"/>
      </w:pPr>
      <w:r>
        <w:rPr>
          <w:rFonts w:ascii="Times New Roman" w:hAnsi="Times New Roman"/>
          <w:b w:val="0"/>
          <w:color w:val="000000"/>
          <w:sz w:val="22"/>
        </w:rPr>
        <w:t xml:space="preserve">At the individual TF expression level, eleven of nineteen TFs were significantly correlated with TATS at FDR &lt; 0.05. Among these, </w:t>
      </w:r>
      <w:r>
        <w:rPr>
          <w:rFonts w:ascii="Times New Roman" w:hAnsi="Times New Roman"/>
          <w:b w:val="0"/>
          <w:bCs/>
          <w:color w:val="000000"/>
          <w:sz w:val="22"/>
        </w:rPr>
        <w:t>ATF4 showed the strongest association among individual TF transcripts</w:t>
      </w:r>
      <w:r>
        <w:rPr>
          <w:rFonts w:ascii="Times New Roman" w:hAnsi="Times New Roman"/>
          <w:b w:val="0"/>
          <w:color w:val="000000"/>
          <w:sz w:val="22"/>
        </w:rPr>
        <w:t xml:space="preserve"> (ρ = +0.500, FDR &lt; 0.0001; bootstrap 95% CI [0.359, 0.621]; Fig. 5a). ATF4 is a central transcription factor of the integrated stress response (ISR), a conserved signaling cascade associated with stress-responsive transcriptional regulation. Additional ISR and unfolded protein response (UPR)-related TFs were also significantly associated with TATS: DDIT3 (CHOP; ρ = +0.338, FDR &lt; 0.0001; bootstrap 95% CI [0.192, 0.475]) and XBP1 (ρ = +0.180, FDR = 0.050), indicating co-association of ISR-related transcriptional programs rather than isolated ATF4 upregulation. Among the E2F family, multiple members showed positive correlations: E2F1 (ρ = +0.352, FDR &lt; 0.0001), E2F2 (ρ = +0.291, FDR = 0.001), E2F3 (ρ = +0.270, FDR = 0.003), E2F4 (ρ = +0.202, FDR = 0.029), and E2F6 (ρ = +0.191, FDR = 0.038). NFE2L2 was negatively correlated with TATS (ρ = −0.280, FDR = 0.002), while MYCL showed the strongest negative association (ρ = −0.388, FDR &lt; 0.0001). Among the remaining TFs, MYC mRNA showed a significant but modest individual correlation (ρ = +0.255, FDR = 0.004; see also pathway-level MYC activity above), while E2F5 (ρ = +0.101, FDR = 0.318), E2F7 (ρ = −0.001, FDR = 0.988), E2F8 (ρ = +0.098, FDR = 0.318), MYCN (ρ = +0.001, FDR = 0.989), and RPTOR (ρ = +0.166, FDR = 0.069) showed weak or non-significant individual associations. HIF1A (ρ = −0.039, FDR = 0.756), MTOR (ρ = +0.021, FDR = 0.895), and TP53 (ρ = +0.041, FDR = 0.756) showed no significant correlation with TATS in this cohort. Complete TF–TATS correlation statistics for all 19 candidate TFs are provided in Supplementary Table 6.</w:t>
      </w:r>
    </w:p>
    <w:p w14:paraId="503F4624">
      <w:pPr>
        <w:pStyle w:val="3"/>
        <w:spacing w:line="360" w:lineRule="auto"/>
        <w:jc w:val="both"/>
      </w:pPr>
      <w:r>
        <w:rPr>
          <w:rFonts w:ascii="Times New Roman" w:hAnsi="Times New Roman"/>
          <w:b w:val="0"/>
          <w:color w:val="000000"/>
          <w:sz w:val="22"/>
        </w:rPr>
        <w:t xml:space="preserve">These results identify two associated transcriptional dimensions linked to translation-related transcriptional programs in HCC: (i) </w:t>
      </w:r>
      <w:r>
        <w:rPr>
          <w:rFonts w:ascii="Times New Roman" w:hAnsi="Times New Roman"/>
          <w:b w:val="0"/>
          <w:bCs/>
          <w:color w:val="000000"/>
          <w:sz w:val="22"/>
        </w:rPr>
        <w:t>proliferative demand</w:t>
      </w:r>
      <w:r>
        <w:rPr>
          <w:rFonts w:ascii="Times New Roman" w:hAnsi="Times New Roman"/>
          <w:b w:val="0"/>
          <w:color w:val="000000"/>
          <w:sz w:val="22"/>
        </w:rPr>
        <w:t xml:space="preserve"> — MYC target pathway activity (ρ = +0.753), reflecting the association between proliferative signaling and translation-related transcriptional programs; and (ii) </w:t>
      </w:r>
      <w:r>
        <w:rPr>
          <w:rFonts w:ascii="Times New Roman" w:hAnsi="Times New Roman"/>
          <w:b w:val="0"/>
          <w:bCs/>
          <w:color w:val="000000"/>
          <w:sz w:val="22"/>
        </w:rPr>
        <w:t>stress-responsive signaling</w:t>
      </w:r>
      <w:r>
        <w:rPr>
          <w:rFonts w:ascii="Times New Roman" w:hAnsi="Times New Roman"/>
          <w:b w:val="0"/>
          <w:color w:val="000000"/>
          <w:sz w:val="22"/>
        </w:rPr>
        <w:t xml:space="preserve"> — ATF4/ISR (ρ = +0.500), co-associated with DDIT3 and XBP1, linking cellular stress adaptation to translation-related transcriptional changes. These dimensions are complementary rather than competing: MYC pathway activity (ρ = +0.753) and ATF4 expression (ρ = +0.500) represent distinct regulatory layers — proliferative pathway output and stress-responsive transcriptional control, respectively — that may co-occur with translation-related remodeling in HCC. These associations are correlational and require experimental validation to establish causality.</w:t>
      </w:r>
    </w:p>
    <w:p w14:paraId="7171E618">
      <w:pPr>
        <w:pStyle w:val="47"/>
        <w:spacing w:line="360" w:lineRule="auto"/>
      </w:pPr>
      <w:r>
        <w:rPr>
          <w:rFonts w:ascii="Times New Roman" w:hAnsi="Times New Roman"/>
          <w:b w:val="0"/>
          <w:color w:val="000000"/>
          <w:sz w:val="22"/>
        </w:rPr>
        <w:drawing>
          <wp:inline distT="0" distB="0" distL="114300" distR="114300">
            <wp:extent cx="5334000" cy="5066665"/>
            <wp:effectExtent l="0" t="0" r="0" b="0"/>
            <wp:docPr id="26" name="Picture"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Figure 5"/>
                    <pic:cNvPicPr>
                      <a:picLocks noChangeAspect="1" noChangeArrowheads="1"/>
                    </pic:cNvPicPr>
                  </pic:nvPicPr>
                  <pic:blipFill>
                    <a:blip r:embed="rId10"/>
                    <a:stretch>
                      <a:fillRect/>
                    </a:stretch>
                  </pic:blipFill>
                  <pic:spPr>
                    <a:xfrm>
                      <a:off x="0" y="0"/>
                      <a:ext cx="5334000" cy="5067299"/>
                    </a:xfrm>
                    <a:prstGeom prst="rect">
                      <a:avLst/>
                    </a:prstGeom>
                    <a:noFill/>
                    <a:ln w="9525">
                      <a:noFill/>
                    </a:ln>
                  </pic:spPr>
                </pic:pic>
              </a:graphicData>
            </a:graphic>
          </wp:inline>
        </w:drawing>
      </w:r>
    </w:p>
    <w:p w14:paraId="65A3812C">
      <w:pPr>
        <w:pStyle w:val="45"/>
        <w:spacing w:line="360" w:lineRule="auto"/>
      </w:pPr>
      <w:r>
        <w:rPr>
          <w:rFonts w:ascii="Times New Roman" w:hAnsi="Times New Roman"/>
          <w:b w:val="0"/>
          <w:color w:val="000000"/>
          <w:sz w:val="22"/>
        </w:rPr>
        <w:t>Figure 5</w:t>
      </w:r>
    </w:p>
    <w:p w14:paraId="09A3CCE1">
      <w:pPr>
        <w:pStyle w:val="3"/>
        <w:spacing w:line="360" w:lineRule="auto"/>
        <w:jc w:val="both"/>
        <w:rPr>
          <w:b w:val="0"/>
          <w:bCs w:val="0"/>
        </w:rPr>
      </w:pPr>
      <w:r>
        <w:rPr>
          <w:rFonts w:ascii="Times New Roman" w:hAnsi="Times New Roman"/>
          <w:b w:val="0"/>
          <w:bCs w:val="0"/>
          <w:color w:val="000000"/>
          <w:sz w:val="18"/>
        </w:rPr>
        <w:t>Fig. 5 | Transcription factor associations, pathway activity, and conceptual model of translation-related transcriptional remodeling in HCC. a, Spearman correlation of 19 candidate transcription factors with TATS in GSE141198 tumor samples (</w:t>
      </w:r>
      <w:r>
        <w:rPr>
          <w:rFonts w:ascii="Times New Roman" w:hAnsi="Times New Roman"/>
          <w:b w:val="0"/>
          <w:bCs w:val="0"/>
          <w:i/>
          <w:iCs/>
          <w:color w:val="000000"/>
          <w:sz w:val="18"/>
        </w:rPr>
        <w:t>n</w:t>
      </w:r>
      <w:r>
        <w:rPr>
          <w:rFonts w:ascii="Times New Roman" w:hAnsi="Times New Roman"/>
          <w:b w:val="0"/>
          <w:bCs w:val="0"/>
          <w:color w:val="000000"/>
          <w:sz w:val="18"/>
        </w:rPr>
        <w:t xml:space="preserve"> = 148). Red bars: positive correlation (FDR &lt; 0.05); blue bars: negative correlation (FDR &lt; 0.05); gray: not significant. ATF4 is the strongest individual TF correlate (ρ = +0.500, FDR &lt; 0.0001). b, Spearman correlation of Hallmark pathway ssGSEA scores with TATS. MYC Targets V2 pathway activity shows the strongest overall association (ρ = +0.753, </w:t>
      </w:r>
      <w:r>
        <w:rPr>
          <w:rFonts w:ascii="Times New Roman" w:hAnsi="Times New Roman"/>
          <w:b w:val="0"/>
          <w:bCs w:val="0"/>
          <w:i/>
          <w:iCs/>
          <w:color w:val="000000"/>
          <w:sz w:val="18"/>
        </w:rPr>
        <w:t>P</w:t>
      </w:r>
      <w:r>
        <w:rPr>
          <w:rFonts w:ascii="Times New Roman" w:hAnsi="Times New Roman"/>
          <w:b w:val="0"/>
          <w:bCs w:val="0"/>
          <w:color w:val="000000"/>
          <w:sz w:val="18"/>
        </w:rPr>
        <w:t xml:space="preserve"> &lt; 0.0001), exceeding MYC mRNA level alone (ρ = +0.255). ATF4/ISR (stress-responsive) and MYC (proliferative) represent complementary transcriptional dimensions associated with translation-related transcriptional remodeling. c, Conceptual model of disease-context-dependent remodeling. (Top) HF and HCC exhibit distinct co-expression network organization (green module, 227 genes, ribosome biogenesis vs. blue module, 1,315 genes, cytoplasmic translation) with limited gene-level overlap (Fisher’s exact test, OR = 1.7, </w:t>
      </w:r>
      <w:r>
        <w:rPr>
          <w:rFonts w:ascii="Times New Roman" w:hAnsi="Times New Roman"/>
          <w:b w:val="0"/>
          <w:bCs w:val="0"/>
          <w:i/>
          <w:iCs/>
          <w:color w:val="000000"/>
          <w:sz w:val="18"/>
        </w:rPr>
        <w:t>P</w:t>
      </w:r>
      <w:r>
        <w:rPr>
          <w:rFonts w:ascii="Times New Roman" w:hAnsi="Times New Roman"/>
          <w:b w:val="0"/>
          <w:bCs w:val="0"/>
          <w:color w:val="000000"/>
          <w:sz w:val="18"/>
        </w:rPr>
        <w:t xml:space="preserve"> = 0.039), yet converge on opposite-direction pathway perturbation (24/33 mirror pathways, ρ = −0.598). (Middle) Same-organ disease controls confirm disease-context dependence: HCM vs. NF shows no mirror perturbation (ρ = −0.036), excluding a broad cardiac disease-related explanation; cirrhosis vs. normal shows positive correlation (ρ = +0.402), consistent with progressive remodeling of translation-related programs during hepatocarcinogenesis; an independent HF cohort (GSE116250) shows partial replication (14/33 mirror pathways), indicating severity/etiology-dependent variability. (Bottom) Two complementary candidate regulatory dimensions associated with TATS in HCC: stress-responsive (ATF4/ISR, ρ = +0.500) and proliferative (MYC pathway, ρ = +0.753).</w:t>
      </w:r>
    </w:p>
    <w:bookmarkEnd w:id="1"/>
    <w:bookmarkEnd w:id="6"/>
    <w:p w14:paraId="39656E64">
      <w:pPr>
        <w:pStyle w:val="4"/>
        <w:spacing w:line="360" w:lineRule="auto"/>
        <w:jc w:val="both"/>
      </w:pPr>
      <w:bookmarkStart w:id="7" w:name="discussion"/>
      <w:r>
        <w:rPr>
          <w:rFonts w:ascii="Times New Roman" w:hAnsi="Times New Roman"/>
          <w:b/>
          <w:color w:val="000000"/>
          <w:sz w:val="22"/>
        </w:rPr>
        <w:t>Discussion</w:t>
      </w:r>
    </w:p>
    <w:p w14:paraId="66215F0B">
      <w:pPr>
        <w:pStyle w:val="23"/>
        <w:spacing w:line="360" w:lineRule="auto"/>
        <w:jc w:val="both"/>
      </w:pPr>
      <w:r>
        <w:rPr>
          <w:rFonts w:ascii="Times New Roman" w:hAnsi="Times New Roman"/>
          <w:b w:val="0"/>
          <w:color w:val="000000"/>
          <w:sz w:val="22"/>
        </w:rPr>
        <w:t xml:space="preserve">This study investigated whether translation-related transcriptional programs are organized through conserved network architectures or disease-specific remodeling across heart failure and hepatocellular carcinoma — two diseases with fundamentally opposing translational demands. Three principal findings emerge. First, systematic WGCNA-based module discovery identified translation-related co-expression modules in both diseases (HF green module, 227 genes, ribosome biogenesis; HCC blue module, 1,315 genes, cytoplasmic translation), but their network organization — module size, gene composition, and hub gene identity — differed substantially, with limited gene-level overlap (Fisher OR = 1.7, </w:t>
      </w:r>
      <w:r>
        <w:rPr>
          <w:rFonts w:ascii="Times New Roman" w:hAnsi="Times New Roman"/>
          <w:b w:val="0"/>
          <w:i/>
          <w:iCs/>
          <w:color w:val="000000"/>
          <w:sz w:val="22"/>
        </w:rPr>
        <w:t>P</w:t>
      </w:r>
      <w:r>
        <w:rPr>
          <w:rFonts w:ascii="Times New Roman" w:hAnsi="Times New Roman"/>
          <w:b w:val="0"/>
          <w:color w:val="000000"/>
          <w:sz w:val="22"/>
        </w:rPr>
        <w:t xml:space="preserve"> = 0.039). Second, despite this network-level divergence, translation pathways exhibited convergent mirror perturbation at the pathway level: 24 of 33 translation-related pathways showed opposite-direction changes in HCC and HF (Spearman ρ = −0.598, </w:t>
      </w:r>
      <w:r>
        <w:rPr>
          <w:rFonts w:ascii="Times New Roman" w:hAnsi="Times New Roman"/>
          <w:b w:val="0"/>
          <w:i/>
          <w:iCs/>
          <w:color w:val="000000"/>
          <w:sz w:val="22"/>
        </w:rPr>
        <w:t>P</w:t>
      </w:r>
      <w:r>
        <w:rPr>
          <w:rFonts w:ascii="Times New Roman" w:hAnsi="Times New Roman"/>
          <w:b w:val="0"/>
          <w:color w:val="000000"/>
          <w:sz w:val="22"/>
        </w:rPr>
        <w:t xml:space="preserve"> = 0.0003), representing the strongest quantitative signal in this study. Third, this mirror perturbation was absent in same-organ disease controls (HCM vs. NF, ρ = −0.036; cirrhosis vs. normal, ρ = +0.402), supporting disease-context dependence rather than organ-specific baseline confounding, and showed cohort-dependent variability in an independent HF cohort (GSE116250, 14/33 mirror pathways). Collectively, these findings identify a pattern of disease-context-dependent remodeling: translation-related transcriptional programs are independently identifiable across diseases but organized through distinct network organization, with shared functional themes emerging at the pathway level and perturbation direction shaped by disease context.</w:t>
      </w:r>
    </w:p>
    <w:p w14:paraId="393C7661">
      <w:pPr>
        <w:pStyle w:val="3"/>
        <w:spacing w:line="360" w:lineRule="auto"/>
        <w:jc w:val="both"/>
      </w:pPr>
      <w:r>
        <w:rPr>
          <w:rFonts w:ascii="Times New Roman" w:hAnsi="Times New Roman"/>
          <w:b w:val="0"/>
          <w:color w:val="000000"/>
          <w:sz w:val="22"/>
        </w:rPr>
        <w:t>The contrast between distinct network organization and convergent pathway-level alterations is the central conceptual finding of this study. Previous cross-disease transcriptomic studies have typically sought either conserved modules or differentially expressed genes; our analysis at multiple resolutions — co-expression network topology, module composition, and aggregated pathway activity — indicates that conservation and divergence coexist at different levels of biological organization. The HF green module (227 genes, ribosome biogenesis) and the HCC blue module (1,315 genes, cytoplasmic translation) share translation-related functional themes at the GO enrichment level, yet their gene composition, hub gene identity, and regulatory architecture are disease-specific. This suggests that distinct regulatory networks may independently converge on similar biological processes under different disease contexts, rather than involving an identical conserved module altered in opposite directions. The mirror perturbation observed at the pathway level (ρ = −0.598) therefore reflects convergence of functional output — translation-related transcriptional suppression in the energy-depleted failing myocardium and activation of translation-related transcriptional programs in the proliferative HCC microenvironment — observed across disease-specific network configurations. We refer to this descriptive pattern as disease-context-dependent remodeling: shared functional themes, disease-specific network organization, and opposite perturbation directions. This framework differs fundamentally from the “conserved module” model and provides a more nuanced lens for cross-disease transcriptomic comparisons.</w:t>
      </w:r>
    </w:p>
    <w:p w14:paraId="37484CE7">
      <w:pPr>
        <w:pStyle w:val="3"/>
        <w:spacing w:line="360" w:lineRule="auto"/>
        <w:jc w:val="both"/>
      </w:pPr>
      <w:r>
        <w:rPr>
          <w:rFonts w:ascii="Times New Roman" w:hAnsi="Times New Roman"/>
          <w:b w:val="0"/>
          <w:color w:val="000000"/>
          <w:sz w:val="22"/>
        </w:rPr>
        <w:t>The same-organ disease controls provide critical context for this interpretation. The absence of mirror perturbation in hypertrophic cardiomyopathy (GSE141910; ρ = −0.036) argues against a generic cardiac disease effect, while the positive correlation in cirrhosis (GSE89377; ρ = +0.402) is consistent with progressive remodeling of translation-related transcriptional programs across hepatocarcinogenesis-associated conditions. These controls indicate that the HF–HCC mirror perturbation reflects disease-context-dependent remodeling rather than constitutive tissue-specific transcriptional programs — a distinction that single-disease analyses cannot resolve.</w:t>
      </w:r>
    </w:p>
    <w:p w14:paraId="336FBD50">
      <w:pPr>
        <w:pStyle w:val="3"/>
        <w:spacing w:line="360" w:lineRule="auto"/>
        <w:jc w:val="both"/>
      </w:pPr>
      <w:r>
        <w:rPr>
          <w:rFonts w:ascii="Times New Roman" w:hAnsi="Times New Roman"/>
          <w:b w:val="0"/>
          <w:color w:val="000000"/>
          <w:sz w:val="22"/>
        </w:rPr>
        <w:t xml:space="preserve">The translation-focused pathway subset exhibited cohort-dependent heterogeneity: the mirror perturbation was prominent in the discovery cohort (GSE57338, 24/33 mirror pathways, ρ = −0.598) but did not reproduce the same magnitude in an independent HF cohort (GSE116250, 14/33 mirror pathways; translation-subset ρ = +0.249, </w:t>
      </w:r>
      <w:r>
        <w:rPr>
          <w:rFonts w:ascii="Times New Roman" w:hAnsi="Times New Roman"/>
          <w:b w:val="0"/>
          <w:i/>
          <w:iCs/>
          <w:color w:val="000000"/>
          <w:sz w:val="22"/>
        </w:rPr>
        <w:t>P</w:t>
      </w:r>
      <w:r>
        <w:rPr>
          <w:rFonts w:ascii="Times New Roman" w:hAnsi="Times New Roman"/>
          <w:b w:val="0"/>
          <w:color w:val="000000"/>
          <w:sz w:val="22"/>
        </w:rPr>
        <w:t xml:space="preserve"> = 0.162). This cohort-dependent heterogeneity suggests that the magnitude of translation-related remodeling varies with disease severity, etiology composition, and cohort characteristics. Therefore, the cross-disease mirror pattern should be interpreted as a context-dependent observation rather than a universal feature of HF. Transplant-stage HF (GSE57338) may exhibit a more pronounced reduction in translation-related transcriptional activity than cohorts spanning a broader disease spectrum (GSE116250). This interpretation is consistent with an energy-constrained state in which reduced translation-related transcriptional activity may accompany increased energetic stress</w:t>
      </w:r>
      <w:r>
        <w:rPr>
          <w:rFonts w:ascii="Times New Roman" w:hAnsi="Times New Roman"/>
          <w:b w:val="0"/>
          <w:color w:val="000000"/>
          <w:sz w:val="22"/>
          <w:vertAlign w:val="superscript"/>
        </w:rPr>
        <w:t>[19,20,21]</w:t>
      </w:r>
      <w:r>
        <w:rPr>
          <w:rFonts w:ascii="Times New Roman" w:hAnsi="Times New Roman"/>
          <w:b w:val="0"/>
          <w:color w:val="000000"/>
          <w:sz w:val="22"/>
        </w:rPr>
        <w:t>. The smaller effect sizes in HF compared with HCC further suggest that reduced translation-associated activity in the failing heart reflects gradual, incomplete compensation rather than the robust oncogene-driven transcriptional reprogramming characteristic of cancer.</w:t>
      </w:r>
    </w:p>
    <w:p w14:paraId="101CAFBB">
      <w:pPr>
        <w:pStyle w:val="3"/>
        <w:spacing w:line="360" w:lineRule="auto"/>
        <w:jc w:val="both"/>
      </w:pPr>
      <w:r>
        <w:rPr>
          <w:rFonts w:ascii="Times New Roman" w:hAnsi="Times New Roman"/>
          <w:b w:val="0"/>
          <w:color w:val="000000"/>
          <w:sz w:val="22"/>
        </w:rPr>
        <w:t>Among the transcription factors and pathways examined, MYC target pathway activity showed the highest overall correlation with the translation-associated transcriptional score (ρ = +0.753), while ATF4 showed the strongest association among individual transcription factors (ρ = +0.500, FDR &lt; 0.0001). MYC target pathway activity (particularly MYC Targets V2, which is enriched for ribosome biogenesis and translation-related genes) likely reflects the association of proliferative signaling with cellular programs linked to ribosome biogenesis</w:t>
      </w:r>
      <w:r>
        <w:rPr>
          <w:rFonts w:ascii="Times New Roman" w:hAnsi="Times New Roman"/>
          <w:b w:val="0"/>
          <w:color w:val="000000"/>
          <w:sz w:val="22"/>
          <w:vertAlign w:val="superscript"/>
        </w:rPr>
        <w:t>[8,12,22]</w:t>
      </w:r>
      <w:r>
        <w:rPr>
          <w:rFonts w:ascii="Times New Roman" w:hAnsi="Times New Roman"/>
          <w:b w:val="0"/>
          <w:color w:val="000000"/>
          <w:sz w:val="22"/>
        </w:rPr>
        <w:t>. The strong MYC–TATS association should be interpreted as pathway-level concordance rather than direct evidence of upstream regulation, as both TATS and MYC target gene sets share representation of translation-related genes. ATF4, a central transcription factor of the integrated stress response (ISR), has been implicated in coupling cellular stress sensing with translational regulation</w:t>
      </w:r>
      <w:r>
        <w:rPr>
          <w:rFonts w:ascii="Times New Roman" w:hAnsi="Times New Roman"/>
          <w:b w:val="0"/>
          <w:color w:val="000000"/>
          <w:sz w:val="22"/>
          <w:vertAlign w:val="superscript"/>
        </w:rPr>
        <w:t>[23,24,25]</w:t>
      </w:r>
      <w:r>
        <w:rPr>
          <w:rFonts w:ascii="Times New Roman" w:hAnsi="Times New Roman"/>
          <w:b w:val="0"/>
          <w:color w:val="000000"/>
          <w:sz w:val="22"/>
        </w:rPr>
        <w:t>; its co-association with DDIT3 (CHOP) and XBP1 — ISR and UPR signaling components — suggests pathway-level engagement rather than isolated ATF4 upregulation. These represent distinct regulatory dimensions — proliferative (MYC) and stress-responsive (ATF4/ISR) — neither subordinate to the other, both associated with translation-related transcriptional remodeling in HCC. In this cohort, HIF1A and MTOR transcript levels were not significantly correlated with TATS, suggesting that their regulatory relationship with translation-related programs may be indirect or context-dependent rather than reflected at steady-state mRNA levels. These correlational findings nominate MYC and ATF4/ISR as candidate regulatory signals associated with translation-related transcriptional remodeling in HCC; causal validation through ChIP-seq and functional perturbation experiments is required.</w:t>
      </w:r>
    </w:p>
    <w:p w14:paraId="1C536ABD">
      <w:pPr>
        <w:pStyle w:val="3"/>
        <w:spacing w:line="360" w:lineRule="auto"/>
        <w:jc w:val="both"/>
      </w:pPr>
      <w:r>
        <w:rPr>
          <w:rFonts w:ascii="Times New Roman" w:hAnsi="Times New Roman"/>
          <w:b w:val="0"/>
          <w:color w:val="000000"/>
          <w:sz w:val="22"/>
        </w:rPr>
        <w:t xml:space="preserve">The translation-associated transcriptional score (TATS) was not intended as a disease-specific biomarker but as a cross-disease transcriptional representation of a translation-associated program shared at the pathway level. TATS, defined as the mean normalized expression of the 227 green module genes, showed no significant prognostic value in GSE141198 (log-rank </w:t>
      </w:r>
      <w:r>
        <w:rPr>
          <w:rFonts w:ascii="Times New Roman" w:hAnsi="Times New Roman"/>
          <w:b w:val="0"/>
          <w:i/>
          <w:iCs/>
          <w:color w:val="000000"/>
          <w:sz w:val="22"/>
        </w:rPr>
        <w:t>P</w:t>
      </w:r>
      <w:r>
        <w:rPr>
          <w:rFonts w:ascii="Times New Roman" w:hAnsi="Times New Roman"/>
          <w:b w:val="0"/>
          <w:color w:val="000000"/>
          <w:sz w:val="22"/>
        </w:rPr>
        <w:t xml:space="preserve"> = 0.303; Cox HR = 1.68, 95% CI [0.67, 4.21], </w:t>
      </w:r>
      <w:r>
        <w:rPr>
          <w:rFonts w:ascii="Times New Roman" w:hAnsi="Times New Roman"/>
          <w:b w:val="0"/>
          <w:i/>
          <w:iCs/>
          <w:color w:val="000000"/>
          <w:sz w:val="22"/>
        </w:rPr>
        <w:t>P</w:t>
      </w:r>
      <w:r>
        <w:rPr>
          <w:rFonts w:ascii="Times New Roman" w:hAnsi="Times New Roman"/>
          <w:b w:val="0"/>
          <w:color w:val="000000"/>
          <w:sz w:val="22"/>
        </w:rPr>
        <w:t xml:space="preserve"> = 0.265) or in etiology-stratified subgroups. This is consistent across three independent HCC cohorts. The lack of prognostic association indicates that translation-related module activity, measured as aggregate transcript abundance, was not associated with overall survival in the examined HCC cohorts. This result is informative: it indicates that shared functional themes do not imply equivalent clinical utility, and that the relationship between translation-related transcription and clinical outcome is context-dependent. The absence of prognostic association also suggests that pathway-level transcriptional remodeling does not necessarily translate into patient-level outcome prediction, underscoring the distinction between molecular pathway activity and clinical prognostic utility. More broadly, the absence of prognostic association further suggests that shared translation-related programs represent context-dependent biological states rather than universal predictors of malignant progression.</w:t>
      </w:r>
    </w:p>
    <w:p w14:paraId="3D62BA93">
      <w:pPr>
        <w:pStyle w:val="3"/>
        <w:spacing w:line="360" w:lineRule="auto"/>
        <w:jc w:val="both"/>
      </w:pPr>
      <w:r>
        <w:rPr>
          <w:rFonts w:ascii="Times New Roman" w:hAnsi="Times New Roman"/>
          <w:b w:val="0"/>
          <w:color w:val="000000"/>
          <w:sz w:val="22"/>
        </w:rPr>
        <w:t>Several limitations should be considered. Because this study is based on transcriptomic datasets, the identified translation-related programs represent transcriptional organization of translation-associated genes rather than direct measurements of translational efficiency or protein synthesis rates; ribosome footprint profiling (Ribo-seq) would substantially strengthen the evidence for altered translational activity</w:t>
      </w:r>
      <w:r>
        <w:rPr>
          <w:rFonts w:ascii="Times New Roman" w:hAnsi="Times New Roman"/>
          <w:b w:val="0"/>
          <w:color w:val="000000"/>
          <w:sz w:val="22"/>
          <w:vertAlign w:val="superscript"/>
        </w:rPr>
        <w:t>[26]</w:t>
      </w:r>
      <w:r>
        <w:rPr>
          <w:rFonts w:ascii="Times New Roman" w:hAnsi="Times New Roman"/>
          <w:b w:val="0"/>
          <w:color w:val="000000"/>
          <w:sz w:val="22"/>
        </w:rPr>
        <w:t xml:space="preserve">. These findings represent disease-associated transcriptional organization inferred from bulk expression data and should not be interpreted as direct evidence of causal network rewiring or dynamic remodeling. Bulk transcriptomes cannot fully separate transcriptional remodeling from changes in cellular composition (e.g., cardiomyocyte loss and fibroblast proliferation in HF, tumor purity variation and stromal infiltration in HCC); cell-type deconvolution was beyond the scope of this analysis and represents an important direction for future studies. The ATF4/ISR regulatory hypothesis is derived from correlational analysis and requires causal validation. Moreover, although mirror perturbation was observed at the pathway level in both HF and HCC discovery datasets, the extent of pathway-level concordance may vary with cohort characteristics including disease subtype composition, severity distribution, and transcriptomic platform differences, as suggested by partial replication in an independent HF cohort (GSE116250). Platform differences between microarray (GSE57338) and RNA-seq (TCGA-LIHC, GSE141198) datasets, while mitigated by within-dataset effect size computation, may introduce systematic bias. Network construction parameters were independently optimized within each dataset according to WGCNA best practices (scale-free topology criterion, R² ≥ 0.8); cross-dataset comparisons of network topology should therefore be interpreted as reflecting both biological differences and dataset-specific optimization, rather than as comparisons between identically parameterized networks. Formal module preservation analysis (e.g., WGCNA modulePreservation) was not performed owing to well-documented cross-platform interpretability challenges in </w:t>
      </w:r>
      <w:r>
        <w:rPr>
          <w:rFonts w:ascii="Times New Roman" w:hAnsi="Times New Roman"/>
          <w:b w:val="0"/>
          <w:i/>
          <w:iCs/>
          <w:color w:val="000000"/>
          <w:sz w:val="22"/>
        </w:rPr>
        <w:t>Z</w:t>
      </w:r>
      <w:r>
        <w:rPr>
          <w:rFonts w:ascii="Times New Roman" w:hAnsi="Times New Roman"/>
          <w:b w:val="0"/>
          <w:color w:val="000000"/>
          <w:sz w:val="22"/>
        </w:rPr>
        <w:t xml:space="preserve">summary threshold calibration; the gene-level overlap quantification reported here (Fisher OR = 1.7, </w:t>
      </w:r>
      <w:r>
        <w:rPr>
          <w:rFonts w:ascii="Times New Roman" w:hAnsi="Times New Roman"/>
          <w:b w:val="0"/>
          <w:i/>
          <w:iCs/>
          <w:color w:val="000000"/>
          <w:sz w:val="22"/>
        </w:rPr>
        <w:t>P</w:t>
      </w:r>
      <w:r>
        <w:rPr>
          <w:rFonts w:ascii="Times New Roman" w:hAnsi="Times New Roman"/>
          <w:b w:val="0"/>
          <w:color w:val="000000"/>
          <w:sz w:val="22"/>
        </w:rPr>
        <w:t xml:space="preserve"> = 0.039) provides an empirical assessment of limited module gene sharing. While WGCNA provides a well-established framework for co-expression network discovery, alternative network inference methods may identify additional regulatory relationships. HCC cohorts are composed predominantly of individuals of Asian ancestry, and cross-population generalizability requires further evaluation. The cross-disease comparison, while internally controlled through within-dataset effect sizes, remains observational; prospective multi-omics studies with paired ribosome profiling would be required to establish causal relationships between transcriptional remodeling and translational output.</w:t>
      </w:r>
    </w:p>
    <w:bookmarkEnd w:id="7"/>
    <w:p w14:paraId="261C54CB">
      <w:pPr>
        <w:pStyle w:val="4"/>
        <w:spacing w:line="360" w:lineRule="auto"/>
        <w:jc w:val="both"/>
      </w:pPr>
      <w:bookmarkStart w:id="8" w:name="conclusion"/>
      <w:r>
        <w:rPr>
          <w:rFonts w:ascii="Times New Roman" w:hAnsi="Times New Roman"/>
          <w:b/>
          <w:color w:val="000000"/>
          <w:sz w:val="22"/>
        </w:rPr>
        <w:t>Conclusion</w:t>
      </w:r>
    </w:p>
    <w:p w14:paraId="42D5DE3E">
      <w:pPr>
        <w:pStyle w:val="23"/>
        <w:spacing w:line="360" w:lineRule="auto"/>
        <w:jc w:val="both"/>
      </w:pPr>
      <w:r>
        <w:rPr>
          <w:rFonts w:ascii="Times New Roman" w:hAnsi="Times New Roman"/>
          <w:b w:val="0"/>
          <w:color w:val="000000"/>
          <w:sz w:val="22"/>
        </w:rPr>
        <w:t>These findings indicate that translation-related transcriptional programs are independently identifiable in HF and HCC but organized through disease-specific network organization, with convergent functional themes emerging at the pathway level and perturbation direction shaped by disease context. The contrast between network-level divergence and pathway-level convergence — rather than module conservation — characterizes one aspect of the relationship between these two diseases. From a cardiovascular perspective, this cross-disease framework illuminates fundamental principles of translation-related remodeling that are obscured in heart-failure-only analyses: the identification of ATF4/ISR as a stress-responsive correlate suggests that the failing heart engages conserved stress-adaptive transcriptional programs that are also co-opted during hepatocarcinogenesis, and the mirror perturbation absent in HCM but present in advanced HF suggests that progressive translational suppression may represent a disease-stage-specific vulnerability rather than a generic cardiac feature. This disease-context-dependent remodeling framework (Fig. 5) provides a foundation for future mechanistic studies investigating how distinct pathological environments reshape translation-related transcriptional programs, and illustrates the value of multi-resolution cross-disease comparative frameworks for identifying regulatory principles — and potentially therapeutic entry points — difficult to resolve through single-disease analyses.</w:t>
      </w:r>
    </w:p>
    <w:bookmarkEnd w:id="8"/>
    <w:p w14:paraId="54C2505D">
      <w:pPr>
        <w:pStyle w:val="4"/>
        <w:spacing w:line="360" w:lineRule="auto"/>
        <w:jc w:val="both"/>
      </w:pPr>
      <w:bookmarkStart w:id="9" w:name="methods"/>
      <w:r>
        <w:rPr>
          <w:rFonts w:ascii="Times New Roman" w:hAnsi="Times New Roman"/>
          <w:b/>
          <w:color w:val="000000"/>
          <w:sz w:val="22"/>
        </w:rPr>
        <w:t>Methods</w:t>
      </w:r>
    </w:p>
    <w:p w14:paraId="09C35436">
      <w:pPr>
        <w:pStyle w:val="5"/>
        <w:spacing w:line="360" w:lineRule="auto"/>
        <w:jc w:val="both"/>
      </w:pPr>
      <w:bookmarkStart w:id="10" w:name="data-acquisition-and-preprocessing"/>
      <w:r>
        <w:rPr>
          <w:rFonts w:ascii="Times New Roman" w:hAnsi="Times New Roman"/>
          <w:b/>
          <w:color w:val="000000"/>
          <w:sz w:val="22"/>
        </w:rPr>
        <w:t>Data acquisition and preprocessing</w:t>
      </w:r>
    </w:p>
    <w:p w14:paraId="765FF926">
      <w:pPr>
        <w:pStyle w:val="23"/>
        <w:spacing w:line="360" w:lineRule="auto"/>
        <w:jc w:val="both"/>
      </w:pPr>
      <w:r>
        <w:rPr>
          <w:rFonts w:ascii="Times New Roman" w:hAnsi="Times New Roman"/>
          <w:b w:val="0"/>
          <w:color w:val="000000"/>
          <w:sz w:val="22"/>
        </w:rPr>
        <w:t>All datasets used in this study are publicly available and were originally collected with informed consent and ethical approval as described in their respective publications. No new data involving human participants or animals were generated for this study.</w:t>
      </w:r>
    </w:p>
    <w:p w14:paraId="2C3529D4">
      <w:pPr>
        <w:pStyle w:val="3"/>
        <w:spacing w:line="360" w:lineRule="auto"/>
        <w:jc w:val="both"/>
      </w:pPr>
      <w:r>
        <w:rPr>
          <w:rFonts w:ascii="Times New Roman" w:hAnsi="Times New Roman"/>
          <w:b w:val="0"/>
          <w:color w:val="000000"/>
          <w:sz w:val="22"/>
        </w:rPr>
        <w:t>Datasets were selected based on the following criteria: (i) availability of both disease and non-disease control samples within the same study; (ii) sample size ≥ 100; and (iii) raw or normalized expression matrices publicly available.</w:t>
      </w:r>
    </w:p>
    <w:p w14:paraId="09B48AE3">
      <w:pPr>
        <w:pStyle w:val="3"/>
        <w:spacing w:line="360" w:lineRule="auto"/>
        <w:jc w:val="both"/>
      </w:pPr>
      <w:r>
        <w:rPr>
          <w:rFonts w:ascii="Times New Roman" w:hAnsi="Times New Roman"/>
          <w:b w:val="0"/>
          <w:bCs/>
          <w:color w:val="000000"/>
          <w:sz w:val="22"/>
        </w:rPr>
        <w:t>GSE57338 (HF).</w:t>
      </w:r>
      <w:r>
        <w:rPr>
          <w:rFonts w:ascii="Times New Roman" w:hAnsi="Times New Roman"/>
          <w:b w:val="0"/>
          <w:color w:val="000000"/>
          <w:sz w:val="22"/>
        </w:rPr>
        <w:t xml:space="preserve"> Downloaded from GEO, </w:t>
      </w:r>
      <w:r>
        <w:rPr>
          <w:rFonts w:ascii="Times New Roman" w:hAnsi="Times New Roman"/>
          <w:b w:val="0"/>
          <w:i/>
          <w:iCs/>
          <w:color w:val="000000"/>
          <w:sz w:val="22"/>
        </w:rPr>
        <w:t>n</w:t>
      </w:r>
      <w:r>
        <w:rPr>
          <w:rFonts w:ascii="Times New Roman" w:hAnsi="Times New Roman"/>
          <w:b w:val="0"/>
          <w:color w:val="000000"/>
          <w:sz w:val="22"/>
        </w:rPr>
        <w:t xml:space="preserve"> = 313 left ventricular samples (including dilated cardiomyopathy, ischemic cardiomyopathy, and non-failing controls), platform GPL11532 (Affymetrix HuGene 1.1 ST Array). Probes were first filtered to retain those with expression above a predefined background threshold (log2 intensity ≥ 4) in at least 20% of samples, and the remaining probes were then mapped to gene symbols via the hugene11sttranscriptcluster.db annotation package, with multiple probes averaged per gene.</w:t>
      </w:r>
    </w:p>
    <w:p w14:paraId="589BA037">
      <w:pPr>
        <w:pStyle w:val="3"/>
        <w:spacing w:line="360" w:lineRule="auto"/>
        <w:jc w:val="both"/>
      </w:pPr>
      <w:r>
        <w:rPr>
          <w:rFonts w:ascii="Times New Roman" w:hAnsi="Times New Roman"/>
          <w:b w:val="0"/>
          <w:bCs/>
          <w:color w:val="000000"/>
          <w:sz w:val="22"/>
        </w:rPr>
        <w:t>TCGA-LIHC (HCC discovery set).</w:t>
      </w:r>
      <w:r>
        <w:rPr>
          <w:rFonts w:ascii="Times New Roman" w:hAnsi="Times New Roman"/>
          <w:b w:val="0"/>
          <w:color w:val="000000"/>
          <w:sz w:val="22"/>
        </w:rPr>
        <w:t xml:space="preserve"> Downloaded from the TCGA GDC portal, </w:t>
      </w:r>
      <w:r>
        <w:rPr>
          <w:rFonts w:ascii="Times New Roman" w:hAnsi="Times New Roman"/>
          <w:b w:val="0"/>
          <w:i/>
          <w:iCs/>
          <w:color w:val="000000"/>
          <w:sz w:val="22"/>
        </w:rPr>
        <w:t>n</w:t>
      </w:r>
      <w:r>
        <w:rPr>
          <w:rFonts w:ascii="Times New Roman" w:hAnsi="Times New Roman"/>
          <w:b w:val="0"/>
          <w:color w:val="000000"/>
          <w:sz w:val="22"/>
        </w:rPr>
        <w:t xml:space="preserve"> = 424 samples (initially 371 tumor + 50 normal + 3 recurrent tumor), RNA-seq (Illumina), using </w:t>
      </w:r>
      <w:r>
        <w:rPr>
          <w:rStyle w:val="48"/>
          <w:rFonts w:ascii="Times New Roman" w:hAnsi="Times New Roman"/>
          <w:b w:val="0"/>
          <w:color w:val="000000"/>
          <w:sz w:val="22"/>
        </w:rPr>
        <w:t>assay(se, "unstranded")</w:t>
      </w:r>
      <w:r>
        <w:rPr>
          <w:rFonts w:ascii="Times New Roman" w:hAnsi="Times New Roman"/>
          <w:b w:val="0"/>
          <w:color w:val="000000"/>
          <w:sz w:val="22"/>
        </w:rPr>
        <w:t xml:space="preserve"> for counts. Three recurrent tumor samples were excluded from differential expression and pathway analyses because they were not classified as primary tumor or normal liver tissue; all downstream analyses therefore used </w:t>
      </w:r>
      <w:r>
        <w:rPr>
          <w:rFonts w:ascii="Times New Roman" w:hAnsi="Times New Roman"/>
          <w:b w:val="0"/>
          <w:i/>
          <w:iCs/>
          <w:color w:val="000000"/>
          <w:sz w:val="22"/>
        </w:rPr>
        <w:t>n</w:t>
      </w:r>
      <w:r>
        <w:rPr>
          <w:rFonts w:ascii="Times New Roman" w:hAnsi="Times New Roman"/>
          <w:b w:val="0"/>
          <w:color w:val="000000"/>
          <w:sz w:val="22"/>
        </w:rPr>
        <w:t xml:space="preserve"> = 421 (371 tumor vs. 50 normal). DESeq2 variance stabilizing transformation (VST) normalization was applied using the vst function</w:t>
      </w:r>
      <w:r>
        <w:rPr>
          <w:rFonts w:ascii="Times New Roman" w:hAnsi="Times New Roman"/>
          <w:b w:val="0"/>
          <w:color w:val="000000"/>
          <w:sz w:val="22"/>
          <w:vertAlign w:val="superscript"/>
        </w:rPr>
        <w:t>[13]</w:t>
      </w:r>
      <w:r>
        <w:rPr>
          <w:rFonts w:ascii="Times New Roman" w:hAnsi="Times New Roman"/>
          <w:b w:val="0"/>
          <w:color w:val="000000"/>
          <w:sz w:val="22"/>
        </w:rPr>
        <w:t xml:space="preserve">with </w:t>
      </w:r>
      <w:r>
        <w:rPr>
          <w:rStyle w:val="48"/>
          <w:rFonts w:ascii="Times New Roman" w:hAnsi="Times New Roman"/>
          <w:b w:val="0"/>
          <w:color w:val="000000"/>
          <w:sz w:val="22"/>
        </w:rPr>
        <w:t>blind = TRUE</w:t>
      </w:r>
      <w:r>
        <w:rPr>
          <w:rFonts w:ascii="Times New Roman" w:hAnsi="Times New Roman"/>
          <w:b w:val="0"/>
          <w:color w:val="000000"/>
          <w:sz w:val="22"/>
        </w:rPr>
        <w:t xml:space="preserve"> and </w:t>
      </w:r>
      <w:r>
        <w:rPr>
          <w:rStyle w:val="48"/>
          <w:rFonts w:ascii="Times New Roman" w:hAnsi="Times New Roman"/>
          <w:b w:val="0"/>
          <w:color w:val="000000"/>
          <w:sz w:val="22"/>
        </w:rPr>
        <w:t>nsub = 1000</w:t>
      </w:r>
      <w:r>
        <w:rPr>
          <w:rFonts w:ascii="Times New Roman" w:hAnsi="Times New Roman"/>
          <w:b w:val="0"/>
          <w:color w:val="000000"/>
          <w:sz w:val="22"/>
        </w:rPr>
        <w:t xml:space="preserve"> parameters (design = ~ 1), following filtering for genes with counts ≥ 10 in at least 20% of samples. Ensembl IDs were converted to gene symbols via org.Hs.eg.db.</w:t>
      </w:r>
    </w:p>
    <w:p w14:paraId="0A141AF3">
      <w:pPr>
        <w:pStyle w:val="3"/>
        <w:spacing w:line="360" w:lineRule="auto"/>
        <w:jc w:val="both"/>
      </w:pPr>
      <w:r>
        <w:rPr>
          <w:rFonts w:ascii="Times New Roman" w:hAnsi="Times New Roman"/>
          <w:b w:val="0"/>
          <w:bCs/>
          <w:color w:val="000000"/>
          <w:sz w:val="22"/>
        </w:rPr>
        <w:t>GSE141198 (HCC validation set).</w:t>
      </w:r>
      <w:r>
        <w:rPr>
          <w:rFonts w:ascii="Times New Roman" w:hAnsi="Times New Roman"/>
          <w:b w:val="0"/>
          <w:color w:val="000000"/>
          <w:sz w:val="22"/>
        </w:rPr>
        <w:t xml:space="preserve"> Downloaded from GEO, </w:t>
      </w:r>
      <w:r>
        <w:rPr>
          <w:rFonts w:ascii="Times New Roman" w:hAnsi="Times New Roman"/>
          <w:b w:val="0"/>
          <w:i/>
          <w:iCs/>
          <w:color w:val="000000"/>
          <w:sz w:val="22"/>
        </w:rPr>
        <w:t>n</w:t>
      </w:r>
      <w:r>
        <w:rPr>
          <w:rFonts w:ascii="Times New Roman" w:hAnsi="Times New Roman"/>
          <w:b w:val="0"/>
          <w:color w:val="000000"/>
          <w:sz w:val="22"/>
        </w:rPr>
        <w:t xml:space="preserve"> = 148 HCC tumors (RNA-seq), 94 OS events. Processing pipeline identical to TCGA-LIHC.</w:t>
      </w:r>
    </w:p>
    <w:p w14:paraId="330715CA">
      <w:pPr>
        <w:pStyle w:val="3"/>
        <w:spacing w:line="360" w:lineRule="auto"/>
        <w:jc w:val="both"/>
      </w:pPr>
      <w:r>
        <w:rPr>
          <w:rFonts w:ascii="Times New Roman" w:hAnsi="Times New Roman"/>
          <w:b w:val="0"/>
          <w:bCs/>
          <w:color w:val="000000"/>
          <w:sz w:val="22"/>
        </w:rPr>
        <w:t>GSE14520 and GSE76427 (external validation).</w:t>
      </w:r>
      <w:r>
        <w:rPr>
          <w:rFonts w:ascii="Times New Roman" w:hAnsi="Times New Roman"/>
          <w:b w:val="0"/>
          <w:color w:val="000000"/>
          <w:sz w:val="22"/>
        </w:rPr>
        <w:t xml:space="preserve"> GSE14520 (</w:t>
      </w:r>
      <w:r>
        <w:rPr>
          <w:rFonts w:ascii="Times New Roman" w:hAnsi="Times New Roman"/>
          <w:b w:val="0"/>
          <w:i/>
          <w:iCs/>
          <w:color w:val="000000"/>
          <w:sz w:val="22"/>
        </w:rPr>
        <w:t>n</w:t>
      </w:r>
      <w:r>
        <w:rPr>
          <w:rFonts w:ascii="Times New Roman" w:hAnsi="Times New Roman"/>
          <w:b w:val="0"/>
          <w:color w:val="000000"/>
          <w:sz w:val="22"/>
        </w:rPr>
        <w:t xml:space="preserve"> = 221 HCC tumors, GPL3921 Affymetrix HT Human Genome U133A Array) and GSE76427 (</w:t>
      </w:r>
      <w:r>
        <w:rPr>
          <w:rFonts w:ascii="Times New Roman" w:hAnsi="Times New Roman"/>
          <w:b w:val="0"/>
          <w:i/>
          <w:iCs/>
          <w:color w:val="000000"/>
          <w:sz w:val="22"/>
        </w:rPr>
        <w:t>n</w:t>
      </w:r>
      <w:r>
        <w:rPr>
          <w:rFonts w:ascii="Times New Roman" w:hAnsi="Times New Roman"/>
          <w:b w:val="0"/>
          <w:color w:val="000000"/>
          <w:sz w:val="22"/>
        </w:rPr>
        <w:t xml:space="preserve"> = 115 HCC tumors, GPL10558 Illumina HumanHT-12 V4.0) were downloaded from GEO for external TATS validation. Processing and TATS calculation were performed identically across all validation cohorts.</w:t>
      </w:r>
    </w:p>
    <w:bookmarkEnd w:id="10"/>
    <w:p w14:paraId="67F7B713">
      <w:pPr>
        <w:pStyle w:val="5"/>
        <w:spacing w:line="360" w:lineRule="auto"/>
      </w:pPr>
      <w:bookmarkStart w:id="11" w:name="wgcna-co-expression-network-analysis"/>
      <w:r>
        <w:rPr>
          <w:rFonts w:ascii="Times New Roman" w:hAnsi="Times New Roman"/>
          <w:b/>
          <w:color w:val="000000"/>
          <w:sz w:val="22"/>
        </w:rPr>
        <w:t>WGCNA co-expression network analysis</w:t>
      </w:r>
    </w:p>
    <w:p w14:paraId="7F8BC492">
      <w:pPr>
        <w:pStyle w:val="23"/>
        <w:spacing w:line="360" w:lineRule="auto"/>
        <w:jc w:val="both"/>
      </w:pPr>
      <w:r>
        <w:rPr>
          <w:rFonts w:ascii="Times New Roman" w:hAnsi="Times New Roman"/>
          <w:b w:val="0"/>
          <w:color w:val="000000"/>
          <w:sz w:val="22"/>
        </w:rPr>
        <w:t>WGCNA input data consisted of gene expression matrices filtered and normalized as described above. For GSE57338 (microarray data), the bottom 20% of genes by variance were removed, and the top 6,000 most variable genes were retained for network construction (retaining 177 of 214 ribosomal/translation-related genes in the full expression matrix). For GSE141198 (RNA-seq data), all expressed genes passing the above filters (5,003 genes) were used. Signed network analysis was performed using the WGCNA package</w:t>
      </w:r>
      <w:r>
        <w:rPr>
          <w:rFonts w:ascii="Times New Roman" w:hAnsi="Times New Roman"/>
          <w:b w:val="0"/>
          <w:color w:val="000000"/>
          <w:sz w:val="22"/>
          <w:vertAlign w:val="superscript"/>
        </w:rPr>
        <w:t>[14,15]</w:t>
      </w:r>
      <w:r>
        <w:rPr>
          <w:rFonts w:ascii="Times New Roman" w:hAnsi="Times New Roman"/>
          <w:b w:val="0"/>
          <w:color w:val="000000"/>
          <w:sz w:val="22"/>
        </w:rPr>
        <w:t>. The soft threshold β was selected to best approximate the scale-free topology criterion (targeting R² ≈ 0.85; GSE57338: β = 17, signed R² = 0.865; GSE141198: β = 4, R² = 0.84; Extended Data Fig. 3). Network construction parameters — including soft-threshold power, gene filtering strategy, and module detection method — were independently optimized for each dataset according to platform-specific data characteristics, rather than artificially constrained to identical settings across diseases.</w:t>
      </w:r>
    </w:p>
    <w:p w14:paraId="77920518">
      <w:pPr>
        <w:pStyle w:val="3"/>
        <w:spacing w:line="360" w:lineRule="auto"/>
        <w:jc w:val="both"/>
      </w:pPr>
      <w:r>
        <w:rPr>
          <w:rFonts w:ascii="Times New Roman" w:hAnsi="Times New Roman"/>
          <w:b w:val="0"/>
          <w:color w:val="000000"/>
          <w:sz w:val="22"/>
        </w:rPr>
        <w:t>For GSE57338, a manual stepwise procedure was used: Pearson correlation (stats::cor) → signed adjacency matrix [(0.5 × (1 + cor))^β] → TOM similarity (WGCNA::TOMsimilarity, TOMType = “signed”) → hierarchical clustering (hclust, method = “average”) → dynamic tree cutting (dynamicTreeCut::cutreeDynamic, deepSplit = 2, minClusterSize = 30). This manual procedure was adopted to ensure platform compatibility across R versions. For GSE141198, the WGCNA blockwiseModules one-step function was used for network construction (networkType = “signed”, minModuleSize = 30, mergeCutHeight = 0.25, TOMType = “signed”, pamRespectsDendro = FALSE, maxBlockSize = 6,000, randomSeed = 42).</w:t>
      </w:r>
    </w:p>
    <w:p w14:paraId="54BA457A">
      <w:pPr>
        <w:pStyle w:val="3"/>
        <w:spacing w:line="360" w:lineRule="auto"/>
        <w:jc w:val="both"/>
      </w:pPr>
      <w:r>
        <w:rPr>
          <w:rFonts w:ascii="Times New Roman" w:hAnsi="Times New Roman"/>
          <w:b w:val="0"/>
          <w:bCs/>
          <w:color w:val="000000"/>
          <w:sz w:val="22"/>
        </w:rPr>
        <w:t>Translation-related module identification.</w:t>
      </w:r>
      <w:r>
        <w:rPr>
          <w:rFonts w:ascii="Times New Roman" w:hAnsi="Times New Roman"/>
          <w:b w:val="0"/>
          <w:color w:val="000000"/>
          <w:sz w:val="22"/>
        </w:rPr>
        <w:t xml:space="preserve"> Rather than designating a translation-related module by manual inspection or prior assumption, an objective translation-enrichment scoring procedure was applied. For each module, GO Biological Process enrichment was performed using clusterProfiler</w:t>
      </w:r>
      <w:r>
        <w:rPr>
          <w:rFonts w:ascii="Times New Roman" w:hAnsi="Times New Roman"/>
          <w:b w:val="0"/>
          <w:color w:val="000000"/>
          <w:sz w:val="22"/>
          <w:vertAlign w:val="superscript"/>
        </w:rPr>
        <w:t>[16]</w:t>
      </w:r>
      <w:r>
        <w:rPr>
          <w:rFonts w:ascii="Times New Roman" w:hAnsi="Times New Roman"/>
          <w:b w:val="0"/>
          <w:color w:val="000000"/>
          <w:sz w:val="22"/>
        </w:rPr>
        <w:t xml:space="preserve">(enrichGO, ont = “BP”, pAdjustMethod = “BH”, qvalueCutoff = 0.1). A module-level translation enrichment score was computed as: (number of significantly enriched GO terms matching translation-related keywords [“translation|ribosom|peptide|ribonucleoprotein|rRNA|translational”]) × (−log10 of the best p.adjust among those terms). The module with the highest translation-enrichment score was designated the translation-related module. In this study, “translation-related transcriptional programs” refer to coordinated expression patterns of genes involved in ribosome biogenesis, translation machinery, and associated regulatory processes, rather than direct measurements of protein synthesis activity. For GSE141198, the blue module (1,315 genes, “cytoplasmic translation” adjusted </w:t>
      </w:r>
      <w:r>
        <w:rPr>
          <w:rFonts w:ascii="Times New Roman" w:hAnsi="Times New Roman"/>
          <w:b w:val="0"/>
          <w:i/>
          <w:iCs/>
          <w:color w:val="000000"/>
          <w:sz w:val="22"/>
        </w:rPr>
        <w:t>P</w:t>
      </w:r>
      <w:r>
        <w:rPr>
          <w:rFonts w:ascii="Times New Roman" w:hAnsi="Times New Roman"/>
          <w:b w:val="0"/>
          <w:color w:val="000000"/>
          <w:sz w:val="22"/>
        </w:rPr>
        <w:t xml:space="preserve"> = 6.3 × 10⁻¹²) was identified as the translation-related module using the same keyword-based functional annotation approach.</w:t>
      </w:r>
    </w:p>
    <w:p w14:paraId="59FE7830">
      <w:pPr>
        <w:pStyle w:val="3"/>
        <w:spacing w:line="360" w:lineRule="auto"/>
        <w:jc w:val="both"/>
      </w:pPr>
      <w:r>
        <w:rPr>
          <w:rFonts w:ascii="Times New Roman" w:hAnsi="Times New Roman"/>
          <w:b w:val="0"/>
          <w:bCs/>
          <w:color w:val="000000"/>
          <w:sz w:val="22"/>
        </w:rPr>
        <w:t>Hub gene identification.</w:t>
      </w:r>
      <w:r>
        <w:rPr>
          <w:rFonts w:ascii="Times New Roman" w:hAnsi="Times New Roman"/>
          <w:b w:val="0"/>
          <w:color w:val="000000"/>
          <w:sz w:val="22"/>
        </w:rPr>
        <w:t xml:space="preserve"> Hub genes within the translation-related module were identified post hoc using the dual criteria of intramodular connectivity (|Module Membership| &gt; 0.80) and gene significance for the disease phenotype (|Gene Significance| &gt; 0.20). Hub genes were ranked by the product |GS| × |MM|. No genes were pre-specified or excluded based on biological expectations.</w:t>
      </w:r>
    </w:p>
    <w:p w14:paraId="3619CB43">
      <w:pPr>
        <w:pStyle w:val="3"/>
        <w:spacing w:line="360" w:lineRule="auto"/>
        <w:jc w:val="both"/>
      </w:pPr>
      <w:r>
        <w:rPr>
          <w:rFonts w:ascii="Times New Roman" w:hAnsi="Times New Roman"/>
          <w:b w:val="0"/>
          <w:bCs/>
          <w:color w:val="000000"/>
          <w:sz w:val="22"/>
        </w:rPr>
        <w:t>Module internal robustness assessment.</w:t>
      </w:r>
      <w:r>
        <w:rPr>
          <w:rFonts w:ascii="Times New Roman" w:hAnsi="Times New Roman"/>
          <w:b w:val="0"/>
          <w:color w:val="000000"/>
          <w:sz w:val="22"/>
        </w:rPr>
        <w:t xml:space="preserve"> To verify that the green module represents a genuine internally robust co-expression structure rather than an artifact of the β = 17 soft-threshold parameter or top-6,000 gene filtering, intra-modular connectivity was assessed via the topological overlap matrix (TOM). Mean intra-modular TOM for the green module (227 genes) was compared against a null distribution generated from 10,000 random gene sets of equal size, yielding a </w:t>
      </w:r>
      <w:r>
        <w:rPr>
          <w:rFonts w:ascii="Times New Roman" w:hAnsi="Times New Roman"/>
          <w:b w:val="0"/>
          <w:i/>
          <w:iCs/>
          <w:color w:val="000000"/>
          <w:sz w:val="22"/>
        </w:rPr>
        <w:t>Z</w:t>
      </w:r>
      <w:r>
        <w:rPr>
          <w:rFonts w:ascii="Times New Roman" w:hAnsi="Times New Roman"/>
          <w:b w:val="0"/>
          <w:color w:val="000000"/>
          <w:sz w:val="22"/>
        </w:rPr>
        <w:t xml:space="preserve">-score and empirical </w:t>
      </w:r>
      <w:r>
        <w:rPr>
          <w:rFonts w:ascii="Times New Roman" w:hAnsi="Times New Roman"/>
          <w:b w:val="0"/>
          <w:i/>
          <w:iCs/>
          <w:color w:val="000000"/>
          <w:sz w:val="22"/>
        </w:rPr>
        <w:t>P</w:t>
      </w:r>
      <w:r>
        <w:rPr>
          <w:rFonts w:ascii="Times New Roman" w:hAnsi="Times New Roman"/>
          <w:b w:val="0"/>
          <w:color w:val="000000"/>
          <w:sz w:val="22"/>
        </w:rPr>
        <w:t>-value. Module stability was further evaluated by gene-level jackknife resampling (90% retention per iteration, 100 iterations) to assess the coefficient of variation (CV) of intra-modular connectivity. Cross-disease coherence was assessed by computing the mean absolute pairwise Pearson correlation of green module genes in the independent GSE141198 expression matrix and comparing this against 1,000 random gene sets of equal size.</w:t>
      </w:r>
    </w:p>
    <w:bookmarkEnd w:id="11"/>
    <w:p w14:paraId="279845D1">
      <w:pPr>
        <w:pStyle w:val="5"/>
        <w:spacing w:line="360" w:lineRule="auto"/>
      </w:pPr>
      <w:bookmarkStart w:id="12" w:name="ssgsea-pathway-activity-analysis"/>
      <w:r>
        <w:rPr>
          <w:rFonts w:ascii="Times New Roman" w:hAnsi="Times New Roman"/>
          <w:b/>
          <w:color w:val="000000"/>
          <w:sz w:val="22"/>
        </w:rPr>
        <w:t>ssGSEA pathway activity analysis</w:t>
      </w:r>
    </w:p>
    <w:p w14:paraId="20E787FC">
      <w:pPr>
        <w:pStyle w:val="23"/>
        <w:spacing w:line="360" w:lineRule="auto"/>
        <w:jc w:val="both"/>
      </w:pPr>
      <w:r>
        <w:rPr>
          <w:rFonts w:ascii="Times New Roman" w:hAnsi="Times New Roman"/>
          <w:b w:val="0"/>
          <w:color w:val="000000"/>
          <w:sz w:val="22"/>
        </w:rPr>
        <w:t>Gene set sources: msigdbr package (v26.1.0), including all 50 Hallmark gene sets (collection = “H”), KEGG ribosome (collection = “C2”, subcollection = “CP:KEGG_MEDICUS”, 1 set), and Reactome translation-related pathways (collection = “C2”, subcollection = “CP:REACTOME”, keyword-filtered: TRANSLATION|PEPTIDE_CHAIN_ELONGATION|EUKARYOTIC_TRANSLATION|RIBOSOME|NONSENSE_MEDIATED|TRNA_AMINOACYLATION|RRNA_PROCESSING, 32 sets), yielding 83 input gene sets. During ssGSEA scoring, the minSize = 5 parameter (requiring ≥ 5 genes from a given gene set to be present in the expression matrix) filtered two Hallmark sets with insufficient gene coverage, resulting in 81 pathways retained for cross-disease comparison.</w:t>
      </w:r>
    </w:p>
    <w:p w14:paraId="796E4EA2">
      <w:pPr>
        <w:pStyle w:val="3"/>
        <w:spacing w:line="360" w:lineRule="auto"/>
        <w:jc w:val="both"/>
      </w:pPr>
      <w:r>
        <w:rPr>
          <w:rFonts w:ascii="Times New Roman" w:hAnsi="Times New Roman"/>
          <w:b w:val="0"/>
          <w:color w:val="000000"/>
          <w:sz w:val="22"/>
        </w:rPr>
        <w:t>ssGSEA scoring was performed using the GSVA package (v2.6.2): parameter objects were constructed via ssgseaParam (minSize = 5, maxSize = 500), and single-sample pathway activity scores were computed using the gsva function from the GSVA package</w:t>
      </w:r>
      <w:r>
        <w:rPr>
          <w:rFonts w:ascii="Times New Roman" w:hAnsi="Times New Roman"/>
          <w:b w:val="0"/>
          <w:color w:val="000000"/>
          <w:sz w:val="22"/>
          <w:vertAlign w:val="superscript"/>
        </w:rPr>
        <w:t>[17]</w:t>
      </w:r>
      <w:r>
        <w:rPr>
          <w:rFonts w:ascii="Times New Roman" w:hAnsi="Times New Roman"/>
          <w:b w:val="0"/>
          <w:color w:val="000000"/>
          <w:sz w:val="22"/>
        </w:rPr>
        <w:t>, which implements the ssGSEA algorithm originally described by Barbie et al.</w:t>
      </w:r>
      <w:r>
        <w:rPr>
          <w:rFonts w:ascii="Times New Roman" w:hAnsi="Times New Roman"/>
          <w:b w:val="0"/>
          <w:color w:val="000000"/>
          <w:sz w:val="22"/>
          <w:vertAlign w:val="superscript"/>
        </w:rPr>
        <w:t>[18]</w:t>
      </w:r>
      <w:r>
        <w:rPr>
          <w:rFonts w:ascii="Times New Roman" w:hAnsi="Times New Roman"/>
          <w:b w:val="0"/>
          <w:color w:val="000000"/>
          <w:sz w:val="22"/>
        </w:rPr>
        <w:t xml:space="preserve">Disease-associated effect size for each pathway was calculated as Cohen’s </w:t>
      </w:r>
      <w:r>
        <w:rPr>
          <w:rFonts w:ascii="Times New Roman" w:hAnsi="Times New Roman"/>
          <w:b w:val="0"/>
          <w:i/>
          <w:iCs/>
          <w:color w:val="000000"/>
          <w:sz w:val="22"/>
        </w:rPr>
        <w:t>d</w:t>
      </w:r>
      <w:r>
        <w:rPr>
          <w:rFonts w:ascii="Times New Roman" w:hAnsi="Times New Roman"/>
          <w:b w:val="0"/>
          <w:color w:val="000000"/>
          <w:sz w:val="22"/>
        </w:rPr>
        <w:t>. Cross-disease Spearman correlation of pathway effect sizes was evaluated. Statistical significance of the cross-disease correlation was assessed by a 10,000-iteration permutation test (random seed = 42), where the vector of HF pathway effect sizes was randomly shuffled in each iteration.</w:t>
      </w:r>
    </w:p>
    <w:bookmarkEnd w:id="12"/>
    <w:p w14:paraId="626EDA91">
      <w:pPr>
        <w:pStyle w:val="5"/>
        <w:spacing w:line="360" w:lineRule="auto"/>
        <w:jc w:val="both"/>
      </w:pPr>
      <w:bookmarkStart w:id="13" w:name="X15bfed6e2e4f310076a23810346badac46b91f2"/>
      <w:r>
        <w:rPr>
          <w:rFonts w:ascii="Times New Roman" w:hAnsi="Times New Roman"/>
          <w:b/>
          <w:color w:val="000000"/>
          <w:sz w:val="22"/>
        </w:rPr>
        <w:t>Translation-associated transcriptional score (TATS) and survival analysis</w:t>
      </w:r>
    </w:p>
    <w:p w14:paraId="02F0766A">
      <w:pPr>
        <w:pStyle w:val="23"/>
        <w:spacing w:line="360" w:lineRule="auto"/>
        <w:jc w:val="both"/>
      </w:pPr>
      <w:r>
        <w:rPr>
          <w:rFonts w:ascii="Times New Roman" w:hAnsi="Times New Roman"/>
          <w:b w:val="0"/>
          <w:color w:val="000000"/>
          <w:sz w:val="22"/>
        </w:rPr>
        <w:t>The translation-associated transcriptional score (TATS) was defined as the mean of z-scores of VST-normalized expression values for the green module genes (</w:t>
      </w:r>
      <w:r>
        <w:rPr>
          <w:rFonts w:ascii="Times New Roman" w:hAnsi="Times New Roman"/>
          <w:b w:val="0"/>
          <w:i/>
          <w:iCs/>
          <w:color w:val="000000"/>
          <w:sz w:val="22"/>
        </w:rPr>
        <w:t>n</w:t>
      </w:r>
      <w:r>
        <w:rPr>
          <w:rFonts w:ascii="Times New Roman" w:hAnsi="Times New Roman"/>
          <w:b w:val="0"/>
          <w:color w:val="000000"/>
          <w:sz w:val="22"/>
        </w:rPr>
        <w:t xml:space="preserve"> = 227) identified in the HF WGCNA. TATS was evaluated as an exploratory measure of translation-related transcriptional activity rather than as a validated prognostic signature. For GSE141198, OS time and status were obtained from the “os days:ch1” and “os status:ch1” fields, respectively. For GSE14520 and GSE76427, OS definitions followed the respective GEO record annotations. Patients were dichotomized into high/low TATS groups by median TATS. Kaplan–Meier survival curves were compared using the log-rank test. Cox proportional hazards regression was performed using the survival package, with TATS modeled as both a continuous variable (per-IQR increase) and a binary variable (median split). Multivariate Cox models were adjusted for etiology (HBV, HCV, NBNC) in cohort-specific subgroup analyses where etiology data were available. The proportional hazards assumption was assessed using Schoenfeld residual tests.</w:t>
      </w:r>
    </w:p>
    <w:bookmarkEnd w:id="13"/>
    <w:p w14:paraId="14C0837F">
      <w:pPr>
        <w:pStyle w:val="5"/>
        <w:spacing w:line="360" w:lineRule="auto"/>
        <w:jc w:val="both"/>
      </w:pPr>
      <w:bookmarkStart w:id="14" w:name="upstream-transcription-factor-analysis"/>
      <w:r>
        <w:rPr>
          <w:rFonts w:ascii="Times New Roman" w:hAnsi="Times New Roman"/>
          <w:b/>
          <w:color w:val="000000"/>
          <w:sz w:val="22"/>
        </w:rPr>
        <w:t>Upstream transcription factor analysis</w:t>
      </w:r>
    </w:p>
    <w:p w14:paraId="60946476">
      <w:pPr>
        <w:pStyle w:val="23"/>
        <w:spacing w:line="360" w:lineRule="auto"/>
        <w:jc w:val="both"/>
      </w:pPr>
      <w:r>
        <w:rPr>
          <w:rFonts w:ascii="Times New Roman" w:hAnsi="Times New Roman"/>
          <w:b w:val="0"/>
          <w:color w:val="000000"/>
          <w:sz w:val="22"/>
        </w:rPr>
        <w:t>Nineteen candidate TFs were selected based on literature and MSigDB: ATF4, DDIT3, E2F1, E2F2, E2F3, E2F4, E2F5, E2F6, E2F7, E2F8, HIF1A, MTOR, MYC, MYCL, MYCN, NFE2L2, RPTOR, TP53, XBP1. This list encompasses the MYC family (MYC, MYCN, MYCL), the E2F family (E2F1–E2F8), mTOR pathway components, and stress-responsive TFs (ATF4, DDIT3, XBP1, HIF1A, NFE2L2, TP53).</w:t>
      </w:r>
    </w:p>
    <w:p w14:paraId="6EA7074D">
      <w:pPr>
        <w:pStyle w:val="3"/>
        <w:spacing w:line="360" w:lineRule="auto"/>
        <w:jc w:val="both"/>
      </w:pPr>
      <w:r>
        <w:rPr>
          <w:rFonts w:ascii="Times New Roman" w:hAnsi="Times New Roman"/>
          <w:b w:val="0"/>
          <w:color w:val="000000"/>
          <w:sz w:val="22"/>
        </w:rPr>
        <w:t>Spearman correlation coefficients were computed between VST-normalized expression values of each TF and TATS across GSE141198 tumor samples (</w:t>
      </w:r>
      <w:r>
        <w:rPr>
          <w:rFonts w:ascii="Times New Roman" w:hAnsi="Times New Roman"/>
          <w:b w:val="0"/>
          <w:i/>
          <w:iCs/>
          <w:color w:val="000000"/>
          <w:sz w:val="22"/>
        </w:rPr>
        <w:t>n</w:t>
      </w:r>
      <w:r>
        <w:rPr>
          <w:rFonts w:ascii="Times New Roman" w:hAnsi="Times New Roman"/>
          <w:b w:val="0"/>
          <w:color w:val="000000"/>
          <w:sz w:val="22"/>
        </w:rPr>
        <w:t xml:space="preserve"> = 148). Benjamini–Hochberg (BH) false discovery rate (FDR) correction was applied across all 19 tests.</w:t>
      </w:r>
    </w:p>
    <w:bookmarkEnd w:id="14"/>
    <w:p w14:paraId="5D0A3CFD">
      <w:pPr>
        <w:pStyle w:val="5"/>
        <w:spacing w:line="360" w:lineRule="auto"/>
        <w:jc w:val="both"/>
      </w:pPr>
      <w:bookmarkStart w:id="15" w:name="direction-consistency-testing"/>
      <w:r>
        <w:rPr>
          <w:rFonts w:ascii="Times New Roman" w:hAnsi="Times New Roman"/>
          <w:b/>
          <w:color w:val="000000"/>
          <w:sz w:val="22"/>
        </w:rPr>
        <w:t>Direction consistency testing</w:t>
      </w:r>
    </w:p>
    <w:p w14:paraId="17B456B4">
      <w:pPr>
        <w:pStyle w:val="23"/>
        <w:spacing w:line="360" w:lineRule="auto"/>
        <w:jc w:val="both"/>
      </w:pPr>
      <w:r>
        <w:rPr>
          <w:rFonts w:ascii="Times New Roman" w:hAnsi="Times New Roman"/>
          <w:b w:val="0"/>
          <w:color w:val="000000"/>
          <w:sz w:val="22"/>
        </w:rPr>
        <w:t xml:space="preserve">Cross-disease log2 fold-change (log2FC) values for translation-related module genes were obtained from TCGA-LIHC (tumor vs. normal, DESeq2) and GSE57338 (HF vs. non-failing, limma). Spearman correlation of cross-disease log2FC was used to assess directional consistency. Significance was evaluated by a 10,000-iteration permutation test (random seed = 42): the HCC-side log2FC vector was randomly shuffled in each iteration, and the one-sided empirical </w:t>
      </w:r>
      <w:r>
        <w:rPr>
          <w:rFonts w:ascii="Times New Roman" w:hAnsi="Times New Roman"/>
          <w:b w:val="0"/>
          <w:i/>
          <w:iCs/>
          <w:color w:val="000000"/>
          <w:sz w:val="22"/>
        </w:rPr>
        <w:t>P</w:t>
      </w:r>
      <w:r>
        <w:rPr>
          <w:rFonts w:ascii="Times New Roman" w:hAnsi="Times New Roman"/>
          <w:b w:val="0"/>
          <w:color w:val="000000"/>
          <w:sz w:val="22"/>
        </w:rPr>
        <w:t>-value was computed as the proportion of permuted Spearman ρ values exceeding the observed ρ.</w:t>
      </w:r>
    </w:p>
    <w:bookmarkEnd w:id="15"/>
    <w:p w14:paraId="26B9E182">
      <w:pPr>
        <w:pStyle w:val="5"/>
        <w:spacing w:line="360" w:lineRule="auto"/>
        <w:jc w:val="both"/>
      </w:pPr>
      <w:bookmarkStart w:id="16" w:name="large-language-model-usage"/>
      <w:r>
        <w:rPr>
          <w:rFonts w:ascii="Times New Roman" w:hAnsi="Times New Roman"/>
          <w:b/>
          <w:color w:val="000000"/>
          <w:sz w:val="22"/>
        </w:rPr>
        <w:t>Large language model usage</w:t>
      </w:r>
    </w:p>
    <w:p w14:paraId="70D36699">
      <w:pPr>
        <w:pStyle w:val="23"/>
        <w:spacing w:line="360" w:lineRule="auto"/>
        <w:jc w:val="both"/>
      </w:pPr>
      <w:r>
        <w:rPr>
          <w:rFonts w:ascii="Times New Roman" w:hAnsi="Times New Roman"/>
          <w:b w:val="0"/>
          <w:color w:val="000000"/>
          <w:sz w:val="22"/>
        </w:rPr>
        <w:t>No large language models or generative AI tools were used in the design, execution, analysis, or writing of this study. All data analyses, statistical tests, and manuscript composition were performed by the authors.</w:t>
      </w:r>
    </w:p>
    <w:bookmarkEnd w:id="16"/>
    <w:p w14:paraId="023408A2">
      <w:pPr>
        <w:pStyle w:val="5"/>
        <w:spacing w:line="360" w:lineRule="auto"/>
        <w:jc w:val="both"/>
      </w:pPr>
      <w:bookmarkStart w:id="17" w:name="statistical-analysis"/>
      <w:r>
        <w:rPr>
          <w:rFonts w:ascii="Times New Roman" w:hAnsi="Times New Roman"/>
          <w:b/>
          <w:color w:val="000000"/>
          <w:sz w:val="22"/>
        </w:rPr>
        <w:t>Statistical analysis</w:t>
      </w:r>
    </w:p>
    <w:p w14:paraId="44B08CD2">
      <w:pPr>
        <w:pStyle w:val="23"/>
        <w:spacing w:line="360" w:lineRule="auto"/>
        <w:jc w:val="both"/>
      </w:pPr>
      <w:r>
        <w:rPr>
          <w:rFonts w:ascii="Times New Roman" w:hAnsi="Times New Roman"/>
          <w:b w:val="0"/>
          <w:color w:val="000000"/>
          <w:sz w:val="22"/>
        </w:rPr>
        <w:t xml:space="preserve">All analyses were conducted in R version 4.6.0 (2026-04-24 ucrt). The following R packages were used: WGCNA (v1.74), DESeq2 (v1.52.0), GSVA (v2.6.2), msigdbr (v26.1.0), clusterProfiler (v4.20.0), survival (v3.8-6), survminer (v0.5.2), limma (v3.68.4), org.Hs.eg.db (v3.23.1), hugene11sttranscriptcluster.db (v8.8.0), TCGAbiolinks (v2.40.0), and dynamicTreeCut (v1.63-1). A complete session information record is available in the GitHub repository. The statistical significance threshold was set at two-sided </w:t>
      </w:r>
      <w:r>
        <w:rPr>
          <w:rFonts w:ascii="Times New Roman" w:hAnsi="Times New Roman"/>
          <w:b w:val="0"/>
          <w:i/>
          <w:iCs/>
          <w:color w:val="000000"/>
          <w:sz w:val="22"/>
        </w:rPr>
        <w:t>P</w:t>
      </w:r>
      <w:r>
        <w:rPr>
          <w:rFonts w:ascii="Times New Roman" w:hAnsi="Times New Roman"/>
          <w:b w:val="0"/>
          <w:color w:val="000000"/>
          <w:sz w:val="22"/>
        </w:rPr>
        <w:t xml:space="preserve"> &lt; 0.05 unless otherwise stated. The BH FDR correction was applied for multiple testing correction throughout (GO enrichment, TF–TATS correlations). Permutation tests used 10,000 iterations with a fixed random seed (set.seed(42)) to ensure reproducibility. Missing data were not imputed (missing rate &lt; 5% in all datasets).</w:t>
      </w:r>
    </w:p>
    <w:bookmarkEnd w:id="17"/>
    <w:p w14:paraId="4A03B8E3">
      <w:pPr>
        <w:pStyle w:val="5"/>
        <w:spacing w:line="360" w:lineRule="auto"/>
        <w:jc w:val="both"/>
      </w:pPr>
      <w:bookmarkStart w:id="18" w:name="Xc732e56844d6638cb1df5ac23b57142ab1c1c29"/>
      <w:r>
        <w:rPr>
          <w:rFonts w:ascii="Times New Roman" w:hAnsi="Times New Roman"/>
          <w:b/>
          <w:color w:val="000000"/>
          <w:sz w:val="22"/>
        </w:rPr>
        <w:t>Robustness assessment across independent heart failure cohorts</w:t>
      </w:r>
    </w:p>
    <w:p w14:paraId="6578F8BD">
      <w:pPr>
        <w:pStyle w:val="23"/>
        <w:spacing w:line="360" w:lineRule="auto"/>
        <w:jc w:val="both"/>
      </w:pPr>
      <w:r>
        <w:rPr>
          <w:rFonts w:ascii="Times New Roman" w:hAnsi="Times New Roman"/>
          <w:b w:val="0"/>
          <w:color w:val="000000"/>
          <w:sz w:val="22"/>
        </w:rPr>
        <w:t xml:space="preserve">To assess the cross-cohort robustness of the mirror perturbation, an independent HF cohort (GSE116250; </w:t>
      </w:r>
      <w:r>
        <w:rPr>
          <w:rFonts w:ascii="Times New Roman" w:hAnsi="Times New Roman"/>
          <w:b w:val="0"/>
          <w:i/>
          <w:iCs/>
          <w:color w:val="000000"/>
          <w:sz w:val="22"/>
        </w:rPr>
        <w:t>n</w:t>
      </w:r>
      <w:r>
        <w:rPr>
          <w:rFonts w:ascii="Times New Roman" w:hAnsi="Times New Roman"/>
          <w:b w:val="0"/>
          <w:color w:val="000000"/>
          <w:sz w:val="22"/>
        </w:rPr>
        <w:t xml:space="preserve"> = 64: 14 non-failing donors, 37 dilated cardiomyopathy, 13 ischemic cardiomyopathy) was analyzed using the identical ssGSEA pipeline. RNA-seq RPKM values were log2-transformed, and Cohen’s </w:t>
      </w:r>
      <w:r>
        <w:rPr>
          <w:rFonts w:ascii="Times New Roman" w:hAnsi="Times New Roman"/>
          <w:b w:val="0"/>
          <w:i/>
          <w:iCs/>
          <w:color w:val="000000"/>
          <w:sz w:val="22"/>
        </w:rPr>
        <w:t>d</w:t>
      </w:r>
      <w:r>
        <w:rPr>
          <w:rFonts w:ascii="Times New Roman" w:hAnsi="Times New Roman"/>
          <w:b w:val="0"/>
          <w:color w:val="000000"/>
          <w:sz w:val="22"/>
        </w:rPr>
        <w:t xml:space="preserve"> effect sizes were computed for the 33 translation-related pathways (DCM + ICM vs. NF). Cross-disease effect size correlation (Spearman ρ) and sign concordance (mirror pathway overlap) between GSE116250 and TCGA-LIHC were compared with the original GSE57338–TCGA-LIHC comparison.</w:t>
      </w:r>
    </w:p>
    <w:bookmarkEnd w:id="18"/>
    <w:p w14:paraId="2D0E2BD0">
      <w:pPr>
        <w:pStyle w:val="5"/>
        <w:spacing w:line="360" w:lineRule="auto"/>
        <w:jc w:val="both"/>
      </w:pPr>
      <w:bookmarkStart w:id="19" w:name="same-organ-disease-controls"/>
      <w:r>
        <w:rPr>
          <w:rFonts w:ascii="Times New Roman" w:hAnsi="Times New Roman"/>
          <w:b/>
          <w:color w:val="000000"/>
          <w:sz w:val="22"/>
        </w:rPr>
        <w:t>Same-organ disease controls</w:t>
      </w:r>
    </w:p>
    <w:p w14:paraId="30CCFD5D">
      <w:pPr>
        <w:pStyle w:val="23"/>
        <w:spacing w:line="360" w:lineRule="auto"/>
        <w:jc w:val="both"/>
      </w:pPr>
      <w:r>
        <w:rPr>
          <w:rFonts w:ascii="Times New Roman" w:hAnsi="Times New Roman"/>
          <w:b w:val="0"/>
          <w:color w:val="000000"/>
          <w:sz w:val="22"/>
        </w:rPr>
        <w:t xml:space="preserve">To distinguish disease-specific mirror perturbation from constitutive tissue-specific differences, two same-organ disease comparisons were performed: (i) hypertrophic cardiomyopathy (HCM) vs. non-failing myocardium (GSE141910; </w:t>
      </w:r>
      <w:r>
        <w:rPr>
          <w:rFonts w:ascii="Times New Roman" w:hAnsi="Times New Roman"/>
          <w:b w:val="0"/>
          <w:i/>
          <w:iCs/>
          <w:color w:val="000000"/>
          <w:sz w:val="22"/>
        </w:rPr>
        <w:t>n</w:t>
      </w:r>
      <w:r>
        <w:rPr>
          <w:rFonts w:ascii="Times New Roman" w:hAnsi="Times New Roman"/>
          <w:b w:val="0"/>
          <w:color w:val="000000"/>
          <w:sz w:val="22"/>
        </w:rPr>
        <w:t xml:space="preserve"> = 28 HCM, </w:t>
      </w:r>
      <w:r>
        <w:rPr>
          <w:rFonts w:ascii="Times New Roman" w:hAnsi="Times New Roman"/>
          <w:b w:val="0"/>
          <w:i/>
          <w:iCs/>
          <w:color w:val="000000"/>
          <w:sz w:val="22"/>
        </w:rPr>
        <w:t>n</w:t>
      </w:r>
      <w:r>
        <w:rPr>
          <w:rFonts w:ascii="Times New Roman" w:hAnsi="Times New Roman"/>
          <w:b w:val="0"/>
          <w:color w:val="000000"/>
          <w:sz w:val="22"/>
        </w:rPr>
        <w:t xml:space="preserve"> = 166 NF), as a cardiac disease comparison; and (ii) cirrhosis vs. normal liver (GSE89377; </w:t>
      </w:r>
      <w:r>
        <w:rPr>
          <w:rFonts w:ascii="Times New Roman" w:hAnsi="Times New Roman"/>
          <w:b w:val="0"/>
          <w:i/>
          <w:iCs/>
          <w:color w:val="000000"/>
          <w:sz w:val="22"/>
        </w:rPr>
        <w:t>n</w:t>
      </w:r>
      <w:r>
        <w:rPr>
          <w:rFonts w:ascii="Times New Roman" w:hAnsi="Times New Roman"/>
          <w:b w:val="0"/>
          <w:color w:val="000000"/>
          <w:sz w:val="22"/>
        </w:rPr>
        <w:t xml:space="preserve"> = 12 cirrhosis, </w:t>
      </w:r>
      <w:r>
        <w:rPr>
          <w:rFonts w:ascii="Times New Roman" w:hAnsi="Times New Roman"/>
          <w:b w:val="0"/>
          <w:i/>
          <w:iCs/>
          <w:color w:val="000000"/>
          <w:sz w:val="22"/>
        </w:rPr>
        <w:t>n</w:t>
      </w:r>
      <w:r>
        <w:rPr>
          <w:rFonts w:ascii="Times New Roman" w:hAnsi="Times New Roman"/>
          <w:b w:val="0"/>
          <w:color w:val="000000"/>
          <w:sz w:val="22"/>
        </w:rPr>
        <w:t xml:space="preserve"> = 13 normal), as a liver disease comparison. The identical ssGSEA pipeline was applied, and cross-disease effect size correlations with TCGA-LIHC were computed for each. A null or non-negative correlation in same-organ comparisons, contrasted with the negative correlation in the HF–HCC comparison, would support disease-context dependence rather than organ-specific baseline confounding.</w:t>
      </w:r>
    </w:p>
    <w:bookmarkEnd w:id="9"/>
    <w:bookmarkEnd w:id="19"/>
    <w:p w14:paraId="24CECA6C">
      <w:pPr>
        <w:pStyle w:val="4"/>
        <w:spacing w:line="360" w:lineRule="auto"/>
      </w:pPr>
      <w:bookmarkStart w:id="20" w:name="data-availability"/>
      <w:r>
        <w:rPr>
          <w:rFonts w:ascii="Times New Roman" w:hAnsi="Times New Roman"/>
          <w:b/>
          <w:color w:val="000000"/>
          <w:sz w:val="22"/>
        </w:rPr>
        <w:t>Data availability</w:t>
      </w:r>
    </w:p>
    <w:p w14:paraId="79D080F7">
      <w:pPr>
        <w:pStyle w:val="23"/>
        <w:keepNext w:val="0"/>
        <w:keepLines w:val="0"/>
        <w:pageBreakBefore w:val="0"/>
        <w:widowControl/>
        <w:kinsoku/>
        <w:wordWrap w:val="0"/>
        <w:overflowPunct/>
        <w:topLinePunct w:val="0"/>
        <w:autoSpaceDE/>
        <w:autoSpaceDN/>
        <w:bidi w:val="0"/>
        <w:adjustRightInd/>
        <w:snapToGrid/>
        <w:spacing w:line="360" w:lineRule="auto"/>
        <w:jc w:val="both"/>
        <w:textAlignment w:val="auto"/>
      </w:pPr>
      <w:r>
        <w:rPr>
          <w:rFonts w:ascii="Times New Roman" w:hAnsi="Times New Roman"/>
          <w:b w:val="0"/>
          <w:color w:val="000000"/>
          <w:sz w:val="22"/>
        </w:rPr>
        <w:t>All datasets used in this study are publicly available: GSE57338, GSE141198, GSE14520, and GSE76427 from GEO (https://www.ncbi.nlm.nih.gov/geo/); TCGA-LIHC from the GDC Data Portal (https://portal.gdc.cancer.gov/). All datasets are accessible via their public landing pages.</w:t>
      </w:r>
    </w:p>
    <w:bookmarkEnd w:id="20"/>
    <w:p w14:paraId="7D4D70A6">
      <w:pPr>
        <w:pStyle w:val="4"/>
        <w:spacing w:line="360" w:lineRule="auto"/>
      </w:pPr>
      <w:bookmarkStart w:id="21" w:name="code-availability"/>
      <w:r>
        <w:rPr>
          <w:rFonts w:ascii="Times New Roman" w:hAnsi="Times New Roman"/>
          <w:b/>
          <w:color w:val="000000"/>
          <w:sz w:val="22"/>
        </w:rPr>
        <w:t>Code availability</w:t>
      </w:r>
    </w:p>
    <w:p w14:paraId="1D2E6F45">
      <w:pPr>
        <w:pStyle w:val="23"/>
        <w:spacing w:line="360" w:lineRule="auto"/>
        <w:jc w:val="both"/>
      </w:pPr>
      <w:r>
        <w:rPr>
          <w:rFonts w:ascii="Times New Roman" w:hAnsi="Times New Roman"/>
          <w:b w:val="0"/>
          <w:color w:val="000000"/>
          <w:sz w:val="22"/>
        </w:rPr>
        <w:t>Analysis code has been deposited in a GitHub repository and is accessible via an anonymous link during peer review: https://anonymous.4open.science/r/translation-mirror-hf-hcc-4622/. The repository contains the complete WGCNA, ssGSEA, TF correlation, and direction consistency analysis pipelines. Upon acceptance, the repository will be made publicly available with a permanent DOI.</w:t>
      </w:r>
    </w:p>
    <w:bookmarkEnd w:id="21"/>
    <w:p w14:paraId="0D3DED57">
      <w:pPr>
        <w:pStyle w:val="4"/>
        <w:spacing w:line="360" w:lineRule="auto"/>
        <w:jc w:val="both"/>
      </w:pPr>
      <w:bookmarkStart w:id="22" w:name="references"/>
      <w:r>
        <w:rPr>
          <w:rFonts w:ascii="Times New Roman" w:hAnsi="Times New Roman"/>
          <w:b/>
          <w:color w:val="000000"/>
          <w:sz w:val="22"/>
        </w:rPr>
        <w:t>References</w:t>
      </w:r>
    </w:p>
    <w:p w14:paraId="61F70A93">
      <w:pPr>
        <w:numPr>
          <w:ilvl w:val="0"/>
          <w:numId w:val="1"/>
        </w:numPr>
        <w:spacing w:line="360" w:lineRule="auto"/>
        <w:jc w:val="both"/>
      </w:pPr>
      <w:r>
        <w:rPr>
          <w:rFonts w:ascii="Times New Roman" w:hAnsi="Times New Roman"/>
          <w:b w:val="0"/>
          <w:color w:val="000000"/>
          <w:sz w:val="22"/>
        </w:rPr>
        <w:t xml:space="preserve">Mericskay, M., Zuurbier, C. J., Lopaschuk, G. D. &amp; Taegtmeyer, H. Cardiac intermediary metabolism in heart failure: substrate use, signalling roles and therapeutic targets. </w:t>
      </w:r>
      <w:r>
        <w:rPr>
          <w:rFonts w:ascii="Times New Roman" w:hAnsi="Times New Roman"/>
          <w:b w:val="0"/>
          <w:i/>
          <w:iCs/>
          <w:color w:val="000000"/>
          <w:sz w:val="22"/>
        </w:rPr>
        <w:t>Nat. Rev. Cardiol.</w:t>
      </w:r>
      <w:r>
        <w:rPr>
          <w:rFonts w:ascii="Times New Roman" w:hAnsi="Times New Roman"/>
          <w:b w:val="0"/>
          <w:color w:val="000000"/>
          <w:sz w:val="22"/>
        </w:rPr>
        <w:t xml:space="preserve"> </w:t>
      </w:r>
      <w:r>
        <w:rPr>
          <w:rFonts w:ascii="Times New Roman" w:hAnsi="Times New Roman"/>
          <w:b w:val="0"/>
          <w:bCs/>
          <w:color w:val="000000"/>
          <w:sz w:val="22"/>
        </w:rPr>
        <w:t>22</w:t>
      </w:r>
      <w:r>
        <w:rPr>
          <w:rFonts w:ascii="Times New Roman" w:hAnsi="Times New Roman"/>
          <w:b w:val="0"/>
          <w:color w:val="000000"/>
          <w:sz w:val="22"/>
        </w:rPr>
        <w:t>, 704–727 (2025).</w:t>
      </w:r>
    </w:p>
    <w:p w14:paraId="09CA28A0">
      <w:pPr>
        <w:numPr>
          <w:ilvl w:val="0"/>
          <w:numId w:val="1"/>
        </w:numPr>
        <w:spacing w:line="360" w:lineRule="auto"/>
        <w:jc w:val="both"/>
      </w:pPr>
      <w:r>
        <w:rPr>
          <w:rFonts w:ascii="Times New Roman" w:hAnsi="Times New Roman"/>
          <w:b w:val="0"/>
          <w:color w:val="000000"/>
          <w:sz w:val="22"/>
        </w:rPr>
        <w:t xml:space="preserve">Abdellatif, M., Rainer, P. P., Sedej, S. &amp; Kroemer, G. Hallmarks of cardiovascular ageing. </w:t>
      </w:r>
      <w:r>
        <w:rPr>
          <w:rFonts w:ascii="Times New Roman" w:hAnsi="Times New Roman"/>
          <w:b w:val="0"/>
          <w:i/>
          <w:iCs/>
          <w:color w:val="000000"/>
          <w:sz w:val="22"/>
        </w:rPr>
        <w:t>Nat. Rev. Cardiol.</w:t>
      </w:r>
      <w:r>
        <w:rPr>
          <w:rFonts w:ascii="Times New Roman" w:hAnsi="Times New Roman"/>
          <w:b w:val="0"/>
          <w:color w:val="000000"/>
          <w:sz w:val="22"/>
        </w:rPr>
        <w:t xml:space="preserve"> </w:t>
      </w:r>
      <w:r>
        <w:rPr>
          <w:rFonts w:ascii="Times New Roman" w:hAnsi="Times New Roman"/>
          <w:b w:val="0"/>
          <w:bCs/>
          <w:color w:val="000000"/>
          <w:sz w:val="22"/>
        </w:rPr>
        <w:t>20</w:t>
      </w:r>
      <w:r>
        <w:rPr>
          <w:rFonts w:ascii="Times New Roman" w:hAnsi="Times New Roman"/>
          <w:b w:val="0"/>
          <w:color w:val="000000"/>
          <w:sz w:val="22"/>
        </w:rPr>
        <w:t>, 754–777 (2023).</w:t>
      </w:r>
    </w:p>
    <w:p w14:paraId="6420D453">
      <w:pPr>
        <w:numPr>
          <w:ilvl w:val="0"/>
          <w:numId w:val="1"/>
        </w:numPr>
        <w:spacing w:line="360" w:lineRule="auto"/>
        <w:jc w:val="both"/>
      </w:pPr>
      <w:r>
        <w:rPr>
          <w:rFonts w:ascii="Times New Roman" w:hAnsi="Times New Roman"/>
          <w:b w:val="0"/>
          <w:color w:val="000000"/>
          <w:sz w:val="22"/>
        </w:rPr>
        <w:t xml:space="preserve">Lu, X., Paliogiannis, P., Calvisi, D. F. &amp; Chen, X. Role of the mammalian target of rapamycin pathway in liver cancer: from molecular genetics to targeted therapies. </w:t>
      </w:r>
      <w:r>
        <w:rPr>
          <w:rFonts w:ascii="Times New Roman" w:hAnsi="Times New Roman"/>
          <w:b w:val="0"/>
          <w:i/>
          <w:iCs/>
          <w:color w:val="000000"/>
          <w:sz w:val="22"/>
        </w:rPr>
        <w:t>Hepatology</w:t>
      </w:r>
      <w:r>
        <w:rPr>
          <w:rFonts w:ascii="Times New Roman" w:hAnsi="Times New Roman"/>
          <w:b w:val="0"/>
          <w:color w:val="000000"/>
          <w:sz w:val="22"/>
        </w:rPr>
        <w:t xml:space="preserve"> </w:t>
      </w:r>
      <w:r>
        <w:rPr>
          <w:rFonts w:ascii="Times New Roman" w:hAnsi="Times New Roman"/>
          <w:b w:val="0"/>
          <w:bCs/>
          <w:color w:val="000000"/>
          <w:sz w:val="22"/>
        </w:rPr>
        <w:t>73</w:t>
      </w:r>
      <w:r>
        <w:rPr>
          <w:rFonts w:ascii="Times New Roman" w:hAnsi="Times New Roman"/>
          <w:b w:val="0"/>
          <w:color w:val="000000"/>
          <w:sz w:val="22"/>
        </w:rPr>
        <w:t>, 49–61 (2021).</w:t>
      </w:r>
    </w:p>
    <w:p w14:paraId="422068B0">
      <w:pPr>
        <w:numPr>
          <w:ilvl w:val="0"/>
          <w:numId w:val="1"/>
        </w:numPr>
        <w:spacing w:line="360" w:lineRule="auto"/>
        <w:jc w:val="both"/>
      </w:pPr>
      <w:r>
        <w:rPr>
          <w:rFonts w:ascii="Times New Roman" w:hAnsi="Times New Roman"/>
          <w:b w:val="0"/>
          <w:color w:val="000000"/>
          <w:sz w:val="22"/>
        </w:rPr>
        <w:t xml:space="preserve">Llovet, J. M. et al. Molecular pathogenesis and systemic therapies for hepatocellular carcinoma. </w:t>
      </w:r>
      <w:r>
        <w:rPr>
          <w:rFonts w:ascii="Times New Roman" w:hAnsi="Times New Roman"/>
          <w:b w:val="0"/>
          <w:i/>
          <w:iCs/>
          <w:color w:val="000000"/>
          <w:sz w:val="22"/>
        </w:rPr>
        <w:t>Nat. Cancer</w:t>
      </w:r>
      <w:r>
        <w:rPr>
          <w:rFonts w:ascii="Times New Roman" w:hAnsi="Times New Roman"/>
          <w:b w:val="0"/>
          <w:color w:val="000000"/>
          <w:sz w:val="22"/>
        </w:rPr>
        <w:t xml:space="preserve"> </w:t>
      </w:r>
      <w:r>
        <w:rPr>
          <w:rFonts w:ascii="Times New Roman" w:hAnsi="Times New Roman"/>
          <w:b w:val="0"/>
          <w:bCs/>
          <w:color w:val="000000"/>
          <w:sz w:val="22"/>
        </w:rPr>
        <w:t>3</w:t>
      </w:r>
      <w:r>
        <w:rPr>
          <w:rFonts w:ascii="Times New Roman" w:hAnsi="Times New Roman"/>
          <w:b w:val="0"/>
          <w:color w:val="000000"/>
          <w:sz w:val="22"/>
        </w:rPr>
        <w:t>, 386–401 (2022).</w:t>
      </w:r>
    </w:p>
    <w:p w14:paraId="1A495B32">
      <w:pPr>
        <w:numPr>
          <w:ilvl w:val="0"/>
          <w:numId w:val="1"/>
        </w:numPr>
        <w:spacing w:line="360" w:lineRule="auto"/>
        <w:jc w:val="both"/>
      </w:pPr>
      <w:r>
        <w:rPr>
          <w:rFonts w:ascii="Times New Roman" w:hAnsi="Times New Roman"/>
          <w:b w:val="0"/>
          <w:color w:val="000000"/>
          <w:sz w:val="22"/>
        </w:rPr>
        <w:t xml:space="preserve">Lanzer, J. D. et al. A cross-study transcriptional patient map of heart failure defines conserved multicellular coordination in cardiac remodeling. </w:t>
      </w:r>
      <w:r>
        <w:rPr>
          <w:rFonts w:ascii="Times New Roman" w:hAnsi="Times New Roman"/>
          <w:b w:val="0"/>
          <w:i/>
          <w:iCs/>
          <w:color w:val="000000"/>
          <w:sz w:val="22"/>
        </w:rPr>
        <w:t>Nat. Commun.</w:t>
      </w:r>
      <w:r>
        <w:rPr>
          <w:rFonts w:ascii="Times New Roman" w:hAnsi="Times New Roman"/>
          <w:b w:val="0"/>
          <w:color w:val="000000"/>
          <w:sz w:val="22"/>
        </w:rPr>
        <w:t xml:space="preserve"> </w:t>
      </w:r>
      <w:r>
        <w:rPr>
          <w:rFonts w:ascii="Times New Roman" w:hAnsi="Times New Roman"/>
          <w:b w:val="0"/>
          <w:bCs/>
          <w:color w:val="000000"/>
          <w:sz w:val="22"/>
        </w:rPr>
        <w:t>16</w:t>
      </w:r>
      <w:r>
        <w:rPr>
          <w:rFonts w:ascii="Times New Roman" w:hAnsi="Times New Roman"/>
          <w:b w:val="0"/>
          <w:color w:val="000000"/>
          <w:sz w:val="22"/>
        </w:rPr>
        <w:t>, 3560 (2025).</w:t>
      </w:r>
    </w:p>
    <w:p w14:paraId="0E26857E">
      <w:pPr>
        <w:numPr>
          <w:ilvl w:val="0"/>
          <w:numId w:val="1"/>
        </w:numPr>
        <w:spacing w:line="360" w:lineRule="auto"/>
        <w:jc w:val="both"/>
      </w:pPr>
      <w:r>
        <w:rPr>
          <w:rFonts w:ascii="Times New Roman" w:hAnsi="Times New Roman"/>
          <w:b w:val="0"/>
          <w:color w:val="000000"/>
          <w:sz w:val="22"/>
        </w:rPr>
        <w:t xml:space="preserve">Xie, S., Xu, M., Deng, W. &amp; Tang, Q. Metabolic landscape in cardiac aging: insights into molecular biology and therapeutic implications. </w:t>
      </w:r>
      <w:r>
        <w:rPr>
          <w:rFonts w:ascii="Times New Roman" w:hAnsi="Times New Roman"/>
          <w:b w:val="0"/>
          <w:i/>
          <w:iCs/>
          <w:color w:val="000000"/>
          <w:sz w:val="22"/>
        </w:rPr>
        <w:t>Signal Transduct. Target. Ther.</w:t>
      </w:r>
      <w:r>
        <w:rPr>
          <w:rFonts w:ascii="Times New Roman" w:hAnsi="Times New Roman"/>
          <w:b w:val="0"/>
          <w:color w:val="000000"/>
          <w:sz w:val="22"/>
        </w:rPr>
        <w:t xml:space="preserve"> </w:t>
      </w:r>
      <w:r>
        <w:rPr>
          <w:rFonts w:ascii="Times New Roman" w:hAnsi="Times New Roman"/>
          <w:b w:val="0"/>
          <w:bCs/>
          <w:color w:val="000000"/>
          <w:sz w:val="22"/>
        </w:rPr>
        <w:t>8</w:t>
      </w:r>
      <w:r>
        <w:rPr>
          <w:rFonts w:ascii="Times New Roman" w:hAnsi="Times New Roman"/>
          <w:b w:val="0"/>
          <w:color w:val="000000"/>
          <w:sz w:val="22"/>
        </w:rPr>
        <w:t>, 114 (2023).</w:t>
      </w:r>
    </w:p>
    <w:p w14:paraId="3A41A4D7">
      <w:pPr>
        <w:numPr>
          <w:ilvl w:val="0"/>
          <w:numId w:val="1"/>
        </w:numPr>
        <w:spacing w:line="360" w:lineRule="auto"/>
        <w:jc w:val="both"/>
      </w:pPr>
      <w:r>
        <w:rPr>
          <w:rFonts w:ascii="Times New Roman" w:hAnsi="Times New Roman"/>
          <w:b w:val="0"/>
          <w:color w:val="000000"/>
          <w:sz w:val="22"/>
        </w:rPr>
        <w:t xml:space="preserve">Brito Querido, J., Díaz-López, I. &amp; Ramakrishnan, V. The molecular basis of translation initiation and its regulation in eukaryotes. </w:t>
      </w:r>
      <w:r>
        <w:rPr>
          <w:rFonts w:ascii="Times New Roman" w:hAnsi="Times New Roman"/>
          <w:b w:val="0"/>
          <w:i/>
          <w:iCs/>
          <w:color w:val="000000"/>
          <w:sz w:val="22"/>
        </w:rPr>
        <w:t>Nat. Rev. Mol. Cell Biol.</w:t>
      </w:r>
      <w:r>
        <w:rPr>
          <w:rFonts w:ascii="Times New Roman" w:hAnsi="Times New Roman"/>
          <w:b w:val="0"/>
          <w:color w:val="000000"/>
          <w:sz w:val="22"/>
        </w:rPr>
        <w:t xml:space="preserve"> </w:t>
      </w:r>
      <w:r>
        <w:rPr>
          <w:rFonts w:ascii="Times New Roman" w:hAnsi="Times New Roman"/>
          <w:b w:val="0"/>
          <w:bCs/>
          <w:color w:val="000000"/>
          <w:sz w:val="22"/>
        </w:rPr>
        <w:t>25</w:t>
      </w:r>
      <w:r>
        <w:rPr>
          <w:rFonts w:ascii="Times New Roman" w:hAnsi="Times New Roman"/>
          <w:b w:val="0"/>
          <w:color w:val="000000"/>
          <w:sz w:val="22"/>
        </w:rPr>
        <w:t>, 168–186 (2024).</w:t>
      </w:r>
    </w:p>
    <w:p w14:paraId="02334587">
      <w:pPr>
        <w:numPr>
          <w:ilvl w:val="0"/>
          <w:numId w:val="1"/>
        </w:numPr>
        <w:spacing w:line="360" w:lineRule="auto"/>
        <w:jc w:val="both"/>
      </w:pPr>
      <w:r>
        <w:rPr>
          <w:rFonts w:ascii="Times New Roman" w:hAnsi="Times New Roman"/>
          <w:b w:val="0"/>
          <w:color w:val="000000"/>
          <w:sz w:val="22"/>
        </w:rPr>
        <w:t xml:space="preserve">Jiao, L. et al. Ribosome biogenesis in disease: new players and therapeutic targets. </w:t>
      </w:r>
      <w:r>
        <w:rPr>
          <w:rFonts w:ascii="Times New Roman" w:hAnsi="Times New Roman"/>
          <w:b w:val="0"/>
          <w:i/>
          <w:iCs/>
          <w:color w:val="000000"/>
          <w:sz w:val="22"/>
        </w:rPr>
        <w:t>Signal Transduct. Target. Ther.</w:t>
      </w:r>
      <w:r>
        <w:rPr>
          <w:rFonts w:ascii="Times New Roman" w:hAnsi="Times New Roman"/>
          <w:b w:val="0"/>
          <w:color w:val="000000"/>
          <w:sz w:val="22"/>
        </w:rPr>
        <w:t xml:space="preserve"> </w:t>
      </w:r>
      <w:r>
        <w:rPr>
          <w:rFonts w:ascii="Times New Roman" w:hAnsi="Times New Roman"/>
          <w:b w:val="0"/>
          <w:bCs/>
          <w:color w:val="000000"/>
          <w:sz w:val="22"/>
        </w:rPr>
        <w:t>8</w:t>
      </w:r>
      <w:r>
        <w:rPr>
          <w:rFonts w:ascii="Times New Roman" w:hAnsi="Times New Roman"/>
          <w:b w:val="0"/>
          <w:color w:val="000000"/>
          <w:sz w:val="22"/>
        </w:rPr>
        <w:t>, 15 (2023).</w:t>
      </w:r>
    </w:p>
    <w:p w14:paraId="3B5DC622">
      <w:pPr>
        <w:numPr>
          <w:ilvl w:val="0"/>
          <w:numId w:val="1"/>
        </w:numPr>
        <w:spacing w:line="360" w:lineRule="auto"/>
        <w:jc w:val="both"/>
      </w:pPr>
      <w:r>
        <w:rPr>
          <w:rFonts w:ascii="Times New Roman" w:hAnsi="Times New Roman"/>
          <w:b w:val="0"/>
          <w:color w:val="000000"/>
          <w:sz w:val="22"/>
        </w:rPr>
        <w:t xml:space="preserve">Jia, X. et al. Protein translation: biological processes and therapeutic strategies for human diseases. </w:t>
      </w:r>
      <w:r>
        <w:rPr>
          <w:rFonts w:ascii="Times New Roman" w:hAnsi="Times New Roman"/>
          <w:b w:val="0"/>
          <w:i/>
          <w:iCs/>
          <w:color w:val="000000"/>
          <w:sz w:val="22"/>
        </w:rPr>
        <w:t>Signal Transduct. Target. Ther.</w:t>
      </w:r>
      <w:r>
        <w:rPr>
          <w:rFonts w:ascii="Times New Roman" w:hAnsi="Times New Roman"/>
          <w:b w:val="0"/>
          <w:color w:val="000000"/>
          <w:sz w:val="22"/>
        </w:rPr>
        <w:t xml:space="preserve"> </w:t>
      </w:r>
      <w:r>
        <w:rPr>
          <w:rFonts w:ascii="Times New Roman" w:hAnsi="Times New Roman"/>
          <w:b w:val="0"/>
          <w:bCs/>
          <w:color w:val="000000"/>
          <w:sz w:val="22"/>
        </w:rPr>
        <w:t>9</w:t>
      </w:r>
      <w:r>
        <w:rPr>
          <w:rFonts w:ascii="Times New Roman" w:hAnsi="Times New Roman"/>
          <w:b w:val="0"/>
          <w:color w:val="000000"/>
          <w:sz w:val="22"/>
        </w:rPr>
        <w:t>, 44 (2024).</w:t>
      </w:r>
    </w:p>
    <w:p w14:paraId="045C26E7">
      <w:pPr>
        <w:numPr>
          <w:ilvl w:val="0"/>
          <w:numId w:val="1"/>
        </w:numPr>
        <w:spacing w:line="360" w:lineRule="auto"/>
        <w:jc w:val="both"/>
      </w:pPr>
      <w:r>
        <w:rPr>
          <w:rFonts w:ascii="Times New Roman" w:hAnsi="Times New Roman"/>
          <w:b w:val="0"/>
          <w:color w:val="000000"/>
          <w:sz w:val="22"/>
        </w:rPr>
        <w:t xml:space="preserve">Goul, C., Peruzzo, R. &amp; Zoncu, R. The molecular basis of nutrient sensing and signalling by mTORC1 in metabolism regulation and disease. </w:t>
      </w:r>
      <w:r>
        <w:rPr>
          <w:rFonts w:ascii="Times New Roman" w:hAnsi="Times New Roman"/>
          <w:b w:val="0"/>
          <w:i/>
          <w:iCs/>
          <w:color w:val="000000"/>
          <w:sz w:val="22"/>
        </w:rPr>
        <w:t>Nat. Rev. Mol. Cell Biol.</w:t>
      </w:r>
      <w:r>
        <w:rPr>
          <w:rFonts w:ascii="Times New Roman" w:hAnsi="Times New Roman"/>
          <w:b w:val="0"/>
          <w:color w:val="000000"/>
          <w:sz w:val="22"/>
        </w:rPr>
        <w:t xml:space="preserve"> </w:t>
      </w:r>
      <w:r>
        <w:rPr>
          <w:rFonts w:ascii="Times New Roman" w:hAnsi="Times New Roman"/>
          <w:b w:val="0"/>
          <w:bCs/>
          <w:color w:val="000000"/>
          <w:sz w:val="22"/>
        </w:rPr>
        <w:t>24</w:t>
      </w:r>
      <w:r>
        <w:rPr>
          <w:rFonts w:ascii="Times New Roman" w:hAnsi="Times New Roman"/>
          <w:b w:val="0"/>
          <w:color w:val="000000"/>
          <w:sz w:val="22"/>
        </w:rPr>
        <w:t>, 857–875 (2023).</w:t>
      </w:r>
    </w:p>
    <w:p w14:paraId="35BB82AA">
      <w:pPr>
        <w:numPr>
          <w:ilvl w:val="0"/>
          <w:numId w:val="1"/>
        </w:numPr>
        <w:spacing w:line="360" w:lineRule="auto"/>
        <w:jc w:val="both"/>
      </w:pPr>
      <w:r>
        <w:rPr>
          <w:rFonts w:ascii="Times New Roman" w:hAnsi="Times New Roman"/>
          <w:b w:val="0"/>
          <w:color w:val="000000"/>
          <w:sz w:val="22"/>
        </w:rPr>
        <w:t xml:space="preserve">Bartish, M. et al. The role of eIF4F-driven mRNA translation in regulating the tumour microenvironment. </w:t>
      </w:r>
      <w:r>
        <w:rPr>
          <w:rFonts w:ascii="Times New Roman" w:hAnsi="Times New Roman"/>
          <w:b w:val="0"/>
          <w:i/>
          <w:iCs/>
          <w:color w:val="000000"/>
          <w:sz w:val="22"/>
        </w:rPr>
        <w:t>Nat. Rev. Cancer</w:t>
      </w:r>
      <w:r>
        <w:rPr>
          <w:rFonts w:ascii="Times New Roman" w:hAnsi="Times New Roman"/>
          <w:b w:val="0"/>
          <w:color w:val="000000"/>
          <w:sz w:val="22"/>
        </w:rPr>
        <w:t xml:space="preserve"> </w:t>
      </w:r>
      <w:r>
        <w:rPr>
          <w:rFonts w:ascii="Times New Roman" w:hAnsi="Times New Roman"/>
          <w:b w:val="0"/>
          <w:bCs/>
          <w:color w:val="000000"/>
          <w:sz w:val="22"/>
        </w:rPr>
        <w:t>23</w:t>
      </w:r>
      <w:r>
        <w:rPr>
          <w:rFonts w:ascii="Times New Roman" w:hAnsi="Times New Roman"/>
          <w:b w:val="0"/>
          <w:color w:val="000000"/>
          <w:sz w:val="22"/>
        </w:rPr>
        <w:t>, 408–425 (2023).</w:t>
      </w:r>
    </w:p>
    <w:p w14:paraId="7068E2D5">
      <w:pPr>
        <w:numPr>
          <w:ilvl w:val="0"/>
          <w:numId w:val="1"/>
        </w:numPr>
        <w:spacing w:line="360" w:lineRule="auto"/>
        <w:jc w:val="both"/>
      </w:pPr>
      <w:r>
        <w:rPr>
          <w:rFonts w:ascii="Times New Roman" w:hAnsi="Times New Roman"/>
          <w:b w:val="0"/>
          <w:color w:val="000000"/>
          <w:sz w:val="22"/>
        </w:rPr>
        <w:t xml:space="preserve">Jakobsen, S. T. &amp; Siersbæk, R. Transcriptional regulation by MYC: an emerging new model. </w:t>
      </w:r>
      <w:r>
        <w:rPr>
          <w:rFonts w:ascii="Times New Roman" w:hAnsi="Times New Roman"/>
          <w:b w:val="0"/>
          <w:i/>
          <w:iCs/>
          <w:color w:val="000000"/>
          <w:sz w:val="22"/>
        </w:rPr>
        <w:t>Oncogene</w:t>
      </w:r>
      <w:r>
        <w:rPr>
          <w:rFonts w:ascii="Times New Roman" w:hAnsi="Times New Roman"/>
          <w:b w:val="0"/>
          <w:color w:val="000000"/>
          <w:sz w:val="22"/>
        </w:rPr>
        <w:t xml:space="preserve"> </w:t>
      </w:r>
      <w:r>
        <w:rPr>
          <w:rFonts w:ascii="Times New Roman" w:hAnsi="Times New Roman"/>
          <w:b w:val="0"/>
          <w:bCs/>
          <w:color w:val="000000"/>
          <w:sz w:val="22"/>
        </w:rPr>
        <w:t>44</w:t>
      </w:r>
      <w:r>
        <w:rPr>
          <w:rFonts w:ascii="Times New Roman" w:hAnsi="Times New Roman"/>
          <w:b w:val="0"/>
          <w:color w:val="000000"/>
          <w:sz w:val="22"/>
        </w:rPr>
        <w:t>, 1–7 (2025).</w:t>
      </w:r>
    </w:p>
    <w:p w14:paraId="4353A4BE">
      <w:pPr>
        <w:numPr>
          <w:ilvl w:val="0"/>
          <w:numId w:val="1"/>
        </w:numPr>
        <w:spacing w:line="360" w:lineRule="auto"/>
        <w:jc w:val="both"/>
      </w:pPr>
      <w:r>
        <w:rPr>
          <w:rFonts w:ascii="Times New Roman" w:hAnsi="Times New Roman"/>
          <w:b w:val="0"/>
          <w:color w:val="000000"/>
          <w:sz w:val="22"/>
        </w:rPr>
        <w:t xml:space="preserve">Love, M. I., Huber, W. &amp; Anders, S. Moderated estimation of fold change and dispersion for RNA-seq data with DESeq2. </w:t>
      </w:r>
      <w:r>
        <w:rPr>
          <w:rFonts w:ascii="Times New Roman" w:hAnsi="Times New Roman"/>
          <w:b w:val="0"/>
          <w:i/>
          <w:iCs/>
          <w:color w:val="000000"/>
          <w:sz w:val="22"/>
        </w:rPr>
        <w:t>Genome Biol.</w:t>
      </w:r>
      <w:r>
        <w:rPr>
          <w:rFonts w:ascii="Times New Roman" w:hAnsi="Times New Roman"/>
          <w:b w:val="0"/>
          <w:color w:val="000000"/>
          <w:sz w:val="22"/>
        </w:rPr>
        <w:t xml:space="preserve"> </w:t>
      </w:r>
      <w:r>
        <w:rPr>
          <w:rFonts w:ascii="Times New Roman" w:hAnsi="Times New Roman"/>
          <w:b w:val="0"/>
          <w:bCs/>
          <w:color w:val="000000"/>
          <w:sz w:val="22"/>
        </w:rPr>
        <w:t>15</w:t>
      </w:r>
      <w:r>
        <w:rPr>
          <w:rFonts w:ascii="Times New Roman" w:hAnsi="Times New Roman"/>
          <w:b w:val="0"/>
          <w:color w:val="000000"/>
          <w:sz w:val="22"/>
        </w:rPr>
        <w:t>, 550 (2014).</w:t>
      </w:r>
    </w:p>
    <w:p w14:paraId="59ED30E5">
      <w:pPr>
        <w:numPr>
          <w:ilvl w:val="0"/>
          <w:numId w:val="1"/>
        </w:numPr>
        <w:spacing w:line="360" w:lineRule="auto"/>
        <w:jc w:val="both"/>
      </w:pPr>
      <w:r>
        <w:rPr>
          <w:rFonts w:ascii="Times New Roman" w:hAnsi="Times New Roman"/>
          <w:b w:val="0"/>
          <w:color w:val="000000"/>
          <w:sz w:val="22"/>
        </w:rPr>
        <w:t xml:space="preserve">Zhang, B. &amp; Horvath, S. A general framework for weighted gene co-expression network analysis. </w:t>
      </w:r>
      <w:r>
        <w:rPr>
          <w:rFonts w:ascii="Times New Roman" w:hAnsi="Times New Roman"/>
          <w:b w:val="0"/>
          <w:i/>
          <w:iCs/>
          <w:color w:val="000000"/>
          <w:sz w:val="22"/>
        </w:rPr>
        <w:t>Stat. Appl. Genet. Mol. Biol.</w:t>
      </w:r>
      <w:r>
        <w:rPr>
          <w:rFonts w:ascii="Times New Roman" w:hAnsi="Times New Roman"/>
          <w:b w:val="0"/>
          <w:color w:val="000000"/>
          <w:sz w:val="22"/>
        </w:rPr>
        <w:t xml:space="preserve"> </w:t>
      </w:r>
      <w:r>
        <w:rPr>
          <w:rFonts w:ascii="Times New Roman" w:hAnsi="Times New Roman"/>
          <w:b w:val="0"/>
          <w:bCs/>
          <w:color w:val="000000"/>
          <w:sz w:val="22"/>
        </w:rPr>
        <w:t>4</w:t>
      </w:r>
      <w:r>
        <w:rPr>
          <w:rFonts w:ascii="Times New Roman" w:hAnsi="Times New Roman"/>
          <w:b w:val="0"/>
          <w:color w:val="000000"/>
          <w:sz w:val="22"/>
        </w:rPr>
        <w:t>, Article 17 (2005).</w:t>
      </w:r>
    </w:p>
    <w:p w14:paraId="2D3357FC">
      <w:pPr>
        <w:numPr>
          <w:ilvl w:val="0"/>
          <w:numId w:val="1"/>
        </w:numPr>
        <w:spacing w:line="360" w:lineRule="auto"/>
        <w:jc w:val="both"/>
      </w:pPr>
      <w:r>
        <w:rPr>
          <w:rFonts w:ascii="Times New Roman" w:hAnsi="Times New Roman"/>
          <w:b w:val="0"/>
          <w:color w:val="000000"/>
          <w:sz w:val="22"/>
        </w:rPr>
        <w:t xml:space="preserve">Langfelder, P. &amp; Horvath, S. WGCNA: an R package for weighted correlation network analysis. </w:t>
      </w:r>
      <w:r>
        <w:rPr>
          <w:rFonts w:ascii="Times New Roman" w:hAnsi="Times New Roman"/>
          <w:b w:val="0"/>
          <w:i/>
          <w:iCs/>
          <w:color w:val="000000"/>
          <w:sz w:val="22"/>
        </w:rPr>
        <w:t>BMC Bioinformatics</w:t>
      </w:r>
      <w:r>
        <w:rPr>
          <w:rFonts w:ascii="Times New Roman" w:hAnsi="Times New Roman"/>
          <w:b w:val="0"/>
          <w:color w:val="000000"/>
          <w:sz w:val="22"/>
        </w:rPr>
        <w:t xml:space="preserve"> </w:t>
      </w:r>
      <w:r>
        <w:rPr>
          <w:rFonts w:ascii="Times New Roman" w:hAnsi="Times New Roman"/>
          <w:b w:val="0"/>
          <w:bCs/>
          <w:color w:val="000000"/>
          <w:sz w:val="22"/>
        </w:rPr>
        <w:t>9</w:t>
      </w:r>
      <w:r>
        <w:rPr>
          <w:rFonts w:ascii="Times New Roman" w:hAnsi="Times New Roman"/>
          <w:b w:val="0"/>
          <w:color w:val="000000"/>
          <w:sz w:val="22"/>
        </w:rPr>
        <w:t>, 559 (2008).</w:t>
      </w:r>
    </w:p>
    <w:p w14:paraId="12FC72B7">
      <w:pPr>
        <w:numPr>
          <w:ilvl w:val="0"/>
          <w:numId w:val="1"/>
        </w:numPr>
        <w:spacing w:line="360" w:lineRule="auto"/>
        <w:jc w:val="both"/>
      </w:pPr>
      <w:r>
        <w:rPr>
          <w:rFonts w:ascii="Times New Roman" w:hAnsi="Times New Roman"/>
          <w:b w:val="0"/>
          <w:color w:val="000000"/>
          <w:sz w:val="22"/>
        </w:rPr>
        <w:t xml:space="preserve">Wu, T. et al. clusterProfiler 4.0: a universal enrichment tool for interpreting omics data. </w:t>
      </w:r>
      <w:r>
        <w:rPr>
          <w:rFonts w:ascii="Times New Roman" w:hAnsi="Times New Roman"/>
          <w:b w:val="0"/>
          <w:i/>
          <w:iCs/>
          <w:color w:val="000000"/>
          <w:sz w:val="22"/>
        </w:rPr>
        <w:t>Innovation</w:t>
      </w:r>
      <w:r>
        <w:rPr>
          <w:rFonts w:ascii="Times New Roman" w:hAnsi="Times New Roman"/>
          <w:b w:val="0"/>
          <w:color w:val="000000"/>
          <w:sz w:val="22"/>
        </w:rPr>
        <w:t xml:space="preserve"> </w:t>
      </w:r>
      <w:r>
        <w:rPr>
          <w:rFonts w:ascii="Times New Roman" w:hAnsi="Times New Roman"/>
          <w:b w:val="0"/>
          <w:bCs/>
          <w:color w:val="000000"/>
          <w:sz w:val="22"/>
        </w:rPr>
        <w:t>2</w:t>
      </w:r>
      <w:r>
        <w:rPr>
          <w:rFonts w:ascii="Times New Roman" w:hAnsi="Times New Roman"/>
          <w:b w:val="0"/>
          <w:color w:val="000000"/>
          <w:sz w:val="22"/>
        </w:rPr>
        <w:t>, 100141 (2021).</w:t>
      </w:r>
    </w:p>
    <w:p w14:paraId="1B422821">
      <w:pPr>
        <w:numPr>
          <w:ilvl w:val="0"/>
          <w:numId w:val="1"/>
        </w:numPr>
        <w:spacing w:line="360" w:lineRule="auto"/>
        <w:jc w:val="both"/>
      </w:pPr>
      <w:r>
        <w:rPr>
          <w:rFonts w:ascii="Times New Roman" w:hAnsi="Times New Roman"/>
          <w:b w:val="0"/>
          <w:color w:val="000000"/>
          <w:sz w:val="22"/>
        </w:rPr>
        <w:t xml:space="preserve">Hänzelmann, S., Castelo, R. &amp; Guinney, J. GSVA: gene set variation analysis for microarray and RNA-seq data. </w:t>
      </w:r>
      <w:r>
        <w:rPr>
          <w:rFonts w:ascii="Times New Roman" w:hAnsi="Times New Roman"/>
          <w:b w:val="0"/>
          <w:i/>
          <w:iCs/>
          <w:color w:val="000000"/>
          <w:sz w:val="22"/>
        </w:rPr>
        <w:t>BMC Bioinformatics</w:t>
      </w:r>
      <w:r>
        <w:rPr>
          <w:rFonts w:ascii="Times New Roman" w:hAnsi="Times New Roman"/>
          <w:b w:val="0"/>
          <w:color w:val="000000"/>
          <w:sz w:val="22"/>
        </w:rPr>
        <w:t xml:space="preserve"> </w:t>
      </w:r>
      <w:r>
        <w:rPr>
          <w:rFonts w:ascii="Times New Roman" w:hAnsi="Times New Roman"/>
          <w:b w:val="0"/>
          <w:bCs/>
          <w:color w:val="000000"/>
          <w:sz w:val="22"/>
        </w:rPr>
        <w:t>14</w:t>
      </w:r>
      <w:r>
        <w:rPr>
          <w:rFonts w:ascii="Times New Roman" w:hAnsi="Times New Roman"/>
          <w:b w:val="0"/>
          <w:color w:val="000000"/>
          <w:sz w:val="22"/>
        </w:rPr>
        <w:t>, 7 (2013).</w:t>
      </w:r>
    </w:p>
    <w:p w14:paraId="1F29520E">
      <w:pPr>
        <w:numPr>
          <w:ilvl w:val="0"/>
          <w:numId w:val="1"/>
        </w:numPr>
        <w:spacing w:line="360" w:lineRule="auto"/>
        <w:jc w:val="both"/>
      </w:pPr>
      <w:r>
        <w:rPr>
          <w:rFonts w:ascii="Times New Roman" w:hAnsi="Times New Roman"/>
          <w:b w:val="0"/>
          <w:color w:val="000000"/>
          <w:sz w:val="22"/>
        </w:rPr>
        <w:t xml:space="preserve">Barbie, D. A. et al. Systematic RNA interference reveals that oncogenic KRAS-driven cancers require TBK1. </w:t>
      </w:r>
      <w:r>
        <w:rPr>
          <w:rFonts w:ascii="Times New Roman" w:hAnsi="Times New Roman"/>
          <w:b w:val="0"/>
          <w:i/>
          <w:iCs/>
          <w:color w:val="000000"/>
          <w:sz w:val="22"/>
        </w:rPr>
        <w:t>Nature</w:t>
      </w:r>
      <w:r>
        <w:rPr>
          <w:rFonts w:ascii="Times New Roman" w:hAnsi="Times New Roman"/>
          <w:b w:val="0"/>
          <w:color w:val="000000"/>
          <w:sz w:val="22"/>
        </w:rPr>
        <w:t xml:space="preserve"> </w:t>
      </w:r>
      <w:r>
        <w:rPr>
          <w:rFonts w:ascii="Times New Roman" w:hAnsi="Times New Roman"/>
          <w:b w:val="0"/>
          <w:bCs/>
          <w:color w:val="000000"/>
          <w:sz w:val="22"/>
        </w:rPr>
        <w:t>462</w:t>
      </w:r>
      <w:r>
        <w:rPr>
          <w:rFonts w:ascii="Times New Roman" w:hAnsi="Times New Roman"/>
          <w:b w:val="0"/>
          <w:color w:val="000000"/>
          <w:sz w:val="22"/>
        </w:rPr>
        <w:t>, 108–112 (2009).</w:t>
      </w:r>
    </w:p>
    <w:p w14:paraId="014DFD3E">
      <w:pPr>
        <w:numPr>
          <w:ilvl w:val="0"/>
          <w:numId w:val="1"/>
        </w:numPr>
        <w:spacing w:line="360" w:lineRule="auto"/>
        <w:jc w:val="both"/>
      </w:pPr>
      <w:r>
        <w:rPr>
          <w:rFonts w:ascii="Times New Roman" w:hAnsi="Times New Roman"/>
          <w:b w:val="0"/>
          <w:color w:val="000000"/>
          <w:sz w:val="22"/>
        </w:rPr>
        <w:t xml:space="preserve">Ritterhoff, J. &amp; Tian, R. Metabolic mechanisms in physiological and pathological cardiac hypertrophy: new paradigms and challenges. </w:t>
      </w:r>
      <w:r>
        <w:rPr>
          <w:rFonts w:ascii="Times New Roman" w:hAnsi="Times New Roman"/>
          <w:b w:val="0"/>
          <w:i/>
          <w:iCs/>
          <w:color w:val="000000"/>
          <w:sz w:val="22"/>
        </w:rPr>
        <w:t>Nat. Rev. Cardiol.</w:t>
      </w:r>
      <w:r>
        <w:rPr>
          <w:rFonts w:ascii="Times New Roman" w:hAnsi="Times New Roman"/>
          <w:b w:val="0"/>
          <w:color w:val="000000"/>
          <w:sz w:val="22"/>
        </w:rPr>
        <w:t xml:space="preserve"> </w:t>
      </w:r>
      <w:r>
        <w:rPr>
          <w:rFonts w:ascii="Times New Roman" w:hAnsi="Times New Roman"/>
          <w:b w:val="0"/>
          <w:bCs/>
          <w:color w:val="000000"/>
          <w:sz w:val="22"/>
        </w:rPr>
        <w:t>20</w:t>
      </w:r>
      <w:r>
        <w:rPr>
          <w:rFonts w:ascii="Times New Roman" w:hAnsi="Times New Roman"/>
          <w:b w:val="0"/>
          <w:color w:val="000000"/>
          <w:sz w:val="22"/>
        </w:rPr>
        <w:t>, 739–753 (2023).</w:t>
      </w:r>
    </w:p>
    <w:p w14:paraId="62FEBDA7">
      <w:pPr>
        <w:numPr>
          <w:ilvl w:val="0"/>
          <w:numId w:val="1"/>
        </w:numPr>
        <w:spacing w:line="360" w:lineRule="auto"/>
        <w:jc w:val="both"/>
      </w:pPr>
      <w:r>
        <w:rPr>
          <w:rFonts w:ascii="Times New Roman" w:hAnsi="Times New Roman"/>
          <w:b w:val="0"/>
          <w:color w:val="000000"/>
          <w:sz w:val="22"/>
        </w:rPr>
        <w:t xml:space="preserve">Costa-Mattioli, M. &amp; Walter, P. The integrated stress response: from mechanism to disease. </w:t>
      </w:r>
      <w:r>
        <w:rPr>
          <w:rFonts w:ascii="Times New Roman" w:hAnsi="Times New Roman"/>
          <w:b w:val="0"/>
          <w:i/>
          <w:iCs/>
          <w:color w:val="000000"/>
          <w:sz w:val="22"/>
        </w:rPr>
        <w:t>Science</w:t>
      </w:r>
      <w:r>
        <w:rPr>
          <w:rFonts w:ascii="Times New Roman" w:hAnsi="Times New Roman"/>
          <w:b w:val="0"/>
          <w:color w:val="000000"/>
          <w:sz w:val="22"/>
        </w:rPr>
        <w:t xml:space="preserve"> </w:t>
      </w:r>
      <w:r>
        <w:rPr>
          <w:rFonts w:ascii="Times New Roman" w:hAnsi="Times New Roman"/>
          <w:b w:val="0"/>
          <w:bCs/>
          <w:color w:val="000000"/>
          <w:sz w:val="22"/>
        </w:rPr>
        <w:t>368</w:t>
      </w:r>
      <w:r>
        <w:rPr>
          <w:rFonts w:ascii="Times New Roman" w:hAnsi="Times New Roman"/>
          <w:b w:val="0"/>
          <w:color w:val="000000"/>
          <w:sz w:val="22"/>
        </w:rPr>
        <w:t>, eaat5314 (2020).</w:t>
      </w:r>
    </w:p>
    <w:p w14:paraId="5DC33680">
      <w:pPr>
        <w:numPr>
          <w:ilvl w:val="0"/>
          <w:numId w:val="1"/>
        </w:numPr>
        <w:spacing w:line="360" w:lineRule="auto"/>
        <w:jc w:val="both"/>
      </w:pPr>
      <w:r>
        <w:rPr>
          <w:rFonts w:ascii="Times New Roman" w:hAnsi="Times New Roman"/>
          <w:b w:val="0"/>
          <w:color w:val="000000"/>
          <w:sz w:val="22"/>
        </w:rPr>
        <w:t xml:space="preserve">Wek, R. C., Anthony, T. G. &amp; Staschke, K. A. Surviving and adapting to stress: translational control and the integrated stress response. </w:t>
      </w:r>
      <w:r>
        <w:rPr>
          <w:rFonts w:ascii="Times New Roman" w:hAnsi="Times New Roman"/>
          <w:b w:val="0"/>
          <w:i/>
          <w:iCs/>
          <w:color w:val="000000"/>
          <w:sz w:val="22"/>
        </w:rPr>
        <w:t>Antioxid. Redox Signal.</w:t>
      </w:r>
      <w:r>
        <w:rPr>
          <w:rFonts w:ascii="Times New Roman" w:hAnsi="Times New Roman"/>
          <w:b w:val="0"/>
          <w:color w:val="000000"/>
          <w:sz w:val="22"/>
        </w:rPr>
        <w:t xml:space="preserve"> </w:t>
      </w:r>
      <w:r>
        <w:rPr>
          <w:rFonts w:ascii="Times New Roman" w:hAnsi="Times New Roman"/>
          <w:b w:val="0"/>
          <w:bCs/>
          <w:color w:val="000000"/>
          <w:sz w:val="22"/>
        </w:rPr>
        <w:t>39</w:t>
      </w:r>
      <w:r>
        <w:rPr>
          <w:rFonts w:ascii="Times New Roman" w:hAnsi="Times New Roman"/>
          <w:b w:val="0"/>
          <w:color w:val="000000"/>
          <w:sz w:val="22"/>
        </w:rPr>
        <w:t>, 351–373 (2023).</w:t>
      </w:r>
    </w:p>
    <w:p w14:paraId="035C84E1">
      <w:pPr>
        <w:numPr>
          <w:ilvl w:val="0"/>
          <w:numId w:val="1"/>
        </w:numPr>
        <w:spacing w:line="360" w:lineRule="auto"/>
        <w:jc w:val="both"/>
      </w:pPr>
      <w:r>
        <w:rPr>
          <w:rFonts w:ascii="Times New Roman" w:hAnsi="Times New Roman"/>
          <w:b w:val="0"/>
          <w:color w:val="000000"/>
          <w:sz w:val="22"/>
        </w:rPr>
        <w:t xml:space="preserve">Ramalho, S., Dopler, A. &amp; Faller, W. J. Ribosome specialization in cancer: a spotlight on ribosomal proteins. </w:t>
      </w:r>
      <w:r>
        <w:rPr>
          <w:rFonts w:ascii="Times New Roman" w:hAnsi="Times New Roman"/>
          <w:b w:val="0"/>
          <w:i/>
          <w:iCs/>
          <w:color w:val="000000"/>
          <w:sz w:val="22"/>
        </w:rPr>
        <w:t>NAR Cancer</w:t>
      </w:r>
      <w:r>
        <w:rPr>
          <w:rFonts w:ascii="Times New Roman" w:hAnsi="Times New Roman"/>
          <w:b w:val="0"/>
          <w:color w:val="000000"/>
          <w:sz w:val="22"/>
        </w:rPr>
        <w:t xml:space="preserve"> </w:t>
      </w:r>
      <w:r>
        <w:rPr>
          <w:rFonts w:ascii="Times New Roman" w:hAnsi="Times New Roman"/>
          <w:b w:val="0"/>
          <w:bCs/>
          <w:color w:val="000000"/>
          <w:sz w:val="22"/>
        </w:rPr>
        <w:t>4</w:t>
      </w:r>
      <w:r>
        <w:rPr>
          <w:rFonts w:ascii="Times New Roman" w:hAnsi="Times New Roman"/>
          <w:b w:val="0"/>
          <w:color w:val="000000"/>
          <w:sz w:val="22"/>
        </w:rPr>
        <w:t>, zcae029 (2024).</w:t>
      </w:r>
    </w:p>
    <w:p w14:paraId="292A995C">
      <w:pPr>
        <w:numPr>
          <w:ilvl w:val="0"/>
          <w:numId w:val="1"/>
        </w:numPr>
        <w:spacing w:line="360" w:lineRule="auto"/>
        <w:jc w:val="both"/>
      </w:pPr>
      <w:r>
        <w:rPr>
          <w:rFonts w:ascii="Times New Roman" w:hAnsi="Times New Roman"/>
          <w:b w:val="0"/>
          <w:color w:val="000000"/>
          <w:sz w:val="22"/>
        </w:rPr>
        <w:t xml:space="preserve">Lu, H. J., Koju, N. &amp; Sheng, R. Mammalian integrated stress responses in stressed organelles and their functions. </w:t>
      </w:r>
      <w:r>
        <w:rPr>
          <w:rFonts w:ascii="Times New Roman" w:hAnsi="Times New Roman"/>
          <w:b w:val="0"/>
          <w:i/>
          <w:iCs/>
          <w:color w:val="000000"/>
          <w:sz w:val="22"/>
        </w:rPr>
        <w:t>Acta Pharmacol. Sin.</w:t>
      </w:r>
      <w:r>
        <w:rPr>
          <w:rFonts w:ascii="Times New Roman" w:hAnsi="Times New Roman"/>
          <w:b w:val="0"/>
          <w:color w:val="000000"/>
          <w:sz w:val="22"/>
        </w:rPr>
        <w:t xml:space="preserve"> </w:t>
      </w:r>
      <w:r>
        <w:rPr>
          <w:rFonts w:ascii="Times New Roman" w:hAnsi="Times New Roman"/>
          <w:b w:val="0"/>
          <w:bCs/>
          <w:color w:val="000000"/>
          <w:sz w:val="22"/>
        </w:rPr>
        <w:t>45</w:t>
      </w:r>
      <w:r>
        <w:rPr>
          <w:rFonts w:ascii="Times New Roman" w:hAnsi="Times New Roman"/>
          <w:b w:val="0"/>
          <w:color w:val="000000"/>
          <w:sz w:val="22"/>
        </w:rPr>
        <w:t>, 1095–1114 (2024).</w:t>
      </w:r>
    </w:p>
    <w:p w14:paraId="14B1C106">
      <w:pPr>
        <w:numPr>
          <w:ilvl w:val="0"/>
          <w:numId w:val="1"/>
        </w:numPr>
        <w:spacing w:line="360" w:lineRule="auto"/>
        <w:jc w:val="both"/>
      </w:pPr>
      <w:r>
        <w:rPr>
          <w:rFonts w:ascii="Times New Roman" w:hAnsi="Times New Roman"/>
          <w:b w:val="0"/>
          <w:color w:val="000000"/>
          <w:sz w:val="22"/>
        </w:rPr>
        <w:t xml:space="preserve">Neill, G. &amp; Masson, G. R. A stay of execution: ATF4 regulation and potential outcomes for the integrated stress response. </w:t>
      </w:r>
      <w:r>
        <w:rPr>
          <w:rFonts w:ascii="Times New Roman" w:hAnsi="Times New Roman"/>
          <w:b w:val="0"/>
          <w:i/>
          <w:iCs/>
          <w:color w:val="000000"/>
          <w:sz w:val="22"/>
        </w:rPr>
        <w:t>Front. Mol. Neurosci.</w:t>
      </w:r>
      <w:r>
        <w:rPr>
          <w:rFonts w:ascii="Times New Roman" w:hAnsi="Times New Roman"/>
          <w:b w:val="0"/>
          <w:color w:val="000000"/>
          <w:sz w:val="22"/>
        </w:rPr>
        <w:t xml:space="preserve"> </w:t>
      </w:r>
      <w:r>
        <w:rPr>
          <w:rFonts w:ascii="Times New Roman" w:hAnsi="Times New Roman"/>
          <w:b w:val="0"/>
          <w:bCs/>
          <w:color w:val="000000"/>
          <w:sz w:val="22"/>
        </w:rPr>
        <w:t>16</w:t>
      </w:r>
      <w:r>
        <w:rPr>
          <w:rFonts w:ascii="Times New Roman" w:hAnsi="Times New Roman"/>
          <w:b w:val="0"/>
          <w:color w:val="000000"/>
          <w:sz w:val="22"/>
        </w:rPr>
        <w:t>, 1112253 (2023).</w:t>
      </w:r>
    </w:p>
    <w:p w14:paraId="1380302C">
      <w:pPr>
        <w:numPr>
          <w:ilvl w:val="0"/>
          <w:numId w:val="1"/>
        </w:numPr>
        <w:spacing w:line="360" w:lineRule="auto"/>
        <w:jc w:val="both"/>
      </w:pPr>
      <w:r>
        <w:rPr>
          <w:rFonts w:ascii="Times New Roman" w:hAnsi="Times New Roman"/>
          <w:b w:val="0"/>
          <w:color w:val="000000"/>
          <w:sz w:val="22"/>
        </w:rPr>
        <w:t xml:space="preserve">Lines, C. L., McGrath, M. J., Dorwart, T. &amp; Conn, C. S. The integrated stress response in cancer progression: a force for plasticity and resistance. </w:t>
      </w:r>
      <w:r>
        <w:rPr>
          <w:rFonts w:ascii="Times New Roman" w:hAnsi="Times New Roman"/>
          <w:b w:val="0"/>
          <w:i/>
          <w:iCs/>
          <w:color w:val="000000"/>
          <w:sz w:val="22"/>
        </w:rPr>
        <w:t>Front. Oncol.</w:t>
      </w:r>
      <w:r>
        <w:rPr>
          <w:rFonts w:ascii="Times New Roman" w:hAnsi="Times New Roman"/>
          <w:b w:val="0"/>
          <w:color w:val="000000"/>
          <w:sz w:val="22"/>
        </w:rPr>
        <w:t xml:space="preserve"> </w:t>
      </w:r>
      <w:r>
        <w:rPr>
          <w:rFonts w:ascii="Times New Roman" w:hAnsi="Times New Roman"/>
          <w:b w:val="0"/>
          <w:bCs/>
          <w:color w:val="000000"/>
          <w:sz w:val="22"/>
        </w:rPr>
        <w:t>13</w:t>
      </w:r>
      <w:r>
        <w:rPr>
          <w:rFonts w:ascii="Times New Roman" w:hAnsi="Times New Roman"/>
          <w:b w:val="0"/>
          <w:color w:val="000000"/>
          <w:sz w:val="22"/>
        </w:rPr>
        <w:t>, 1206561 (2023).</w:t>
      </w:r>
    </w:p>
    <w:p w14:paraId="7AF6FDBD">
      <w:pPr>
        <w:numPr>
          <w:ilvl w:val="0"/>
          <w:numId w:val="1"/>
        </w:numPr>
        <w:spacing w:line="360" w:lineRule="auto"/>
        <w:jc w:val="both"/>
      </w:pPr>
      <w:r>
        <w:rPr>
          <w:rFonts w:ascii="Times New Roman" w:hAnsi="Times New Roman"/>
          <w:b w:val="0"/>
          <w:color w:val="000000"/>
          <w:sz w:val="22"/>
        </w:rPr>
        <w:t xml:space="preserve">Shiraishi, C. et al. RPL3L-containing ribosomes determine translation elongation dynamics required for cardiac function. </w:t>
      </w:r>
      <w:r>
        <w:rPr>
          <w:rFonts w:ascii="Times New Roman" w:hAnsi="Times New Roman"/>
          <w:b w:val="0"/>
          <w:i/>
          <w:iCs/>
          <w:color w:val="000000"/>
          <w:sz w:val="22"/>
        </w:rPr>
        <w:t>Nat. Commun.</w:t>
      </w:r>
      <w:r>
        <w:rPr>
          <w:rFonts w:ascii="Times New Roman" w:hAnsi="Times New Roman"/>
          <w:b w:val="0"/>
          <w:color w:val="000000"/>
          <w:sz w:val="22"/>
        </w:rPr>
        <w:t xml:space="preserve"> </w:t>
      </w:r>
      <w:r>
        <w:rPr>
          <w:rFonts w:ascii="Times New Roman" w:hAnsi="Times New Roman"/>
          <w:b w:val="0"/>
          <w:bCs/>
          <w:color w:val="000000"/>
          <w:sz w:val="22"/>
        </w:rPr>
        <w:t>14</w:t>
      </w:r>
      <w:r>
        <w:rPr>
          <w:rFonts w:ascii="Times New Roman" w:hAnsi="Times New Roman"/>
          <w:b w:val="0"/>
          <w:color w:val="000000"/>
          <w:sz w:val="22"/>
        </w:rPr>
        <w:t>, 2131 (2023).</w:t>
      </w:r>
    </w:p>
    <w:bookmarkEnd w:id="22"/>
    <w:p w14:paraId="1403089E">
      <w:pPr>
        <w:pStyle w:val="4"/>
        <w:spacing w:line="360" w:lineRule="auto"/>
        <w:jc w:val="both"/>
      </w:pPr>
      <w:bookmarkStart w:id="23" w:name="acknowledgements"/>
      <w:r>
        <w:rPr>
          <w:rFonts w:ascii="Times New Roman" w:hAnsi="Times New Roman"/>
          <w:b/>
          <w:color w:val="000000"/>
          <w:sz w:val="22"/>
        </w:rPr>
        <w:t>Acknowledgements</w:t>
      </w:r>
    </w:p>
    <w:p w14:paraId="51F2C30C">
      <w:pPr>
        <w:pStyle w:val="23"/>
        <w:spacing w:line="360" w:lineRule="auto"/>
        <w:jc w:val="both"/>
      </w:pPr>
      <w:r>
        <w:rPr>
          <w:rFonts w:ascii="Times New Roman" w:hAnsi="Times New Roman"/>
          <w:b w:val="0"/>
          <w:color w:val="000000"/>
          <w:sz w:val="22"/>
        </w:rPr>
        <w:t>We thank all TCGA, GEO, and MSigDB database researchers and patients involved in the datasets used in this study, for their willingness to share relevant data and their contributions to medical progress.</w:t>
      </w:r>
    </w:p>
    <w:bookmarkEnd w:id="23"/>
    <w:p w14:paraId="55868722">
      <w:pPr>
        <w:pStyle w:val="4"/>
        <w:spacing w:line="360" w:lineRule="auto"/>
        <w:jc w:val="both"/>
      </w:pPr>
      <w:bookmarkStart w:id="24" w:name="author-contributions"/>
      <w:r>
        <w:rPr>
          <w:rFonts w:ascii="Times New Roman" w:hAnsi="Times New Roman"/>
          <w:b/>
          <w:color w:val="000000"/>
          <w:sz w:val="22"/>
        </w:rPr>
        <w:t>Author contributions</w:t>
      </w:r>
    </w:p>
    <w:p w14:paraId="29A32840">
      <w:pPr>
        <w:pStyle w:val="23"/>
        <w:spacing w:line="360" w:lineRule="auto"/>
        <w:jc w:val="both"/>
      </w:pPr>
      <w:r>
        <w:rPr>
          <w:rFonts w:ascii="Times New Roman" w:hAnsi="Times New Roman"/>
          <w:b w:val="0"/>
          <w:bCs/>
          <w:color w:val="000000"/>
          <w:sz w:val="22"/>
        </w:rPr>
        <w:t>Author 1 (First author)</w:t>
      </w:r>
      <w:r>
        <w:rPr>
          <w:rFonts w:ascii="Times New Roman" w:hAnsi="Times New Roman"/>
          <w:b w:val="0"/>
          <w:color w:val="000000"/>
          <w:sz w:val="22"/>
        </w:rPr>
        <w:t>: Writing – original draft, Visualization, Software, Methodology, Investigation, Formal analysis, Data curation, Conceptualization.</w:t>
      </w:r>
    </w:p>
    <w:p w14:paraId="55A441B6">
      <w:pPr>
        <w:pStyle w:val="3"/>
        <w:spacing w:line="360" w:lineRule="auto"/>
        <w:jc w:val="both"/>
      </w:pPr>
      <w:r>
        <w:rPr>
          <w:rFonts w:ascii="Times New Roman" w:hAnsi="Times New Roman"/>
          <w:b w:val="0"/>
          <w:bCs/>
          <w:color w:val="000000"/>
          <w:sz w:val="22"/>
        </w:rPr>
        <w:t>Author 2 (Co-first author)</w:t>
      </w:r>
      <w:r>
        <w:rPr>
          <w:rFonts w:ascii="Times New Roman" w:hAnsi="Times New Roman"/>
          <w:b w:val="0"/>
          <w:color w:val="000000"/>
          <w:sz w:val="22"/>
        </w:rPr>
        <w:t>: Methodology, Data curation, Formal analysis, Writing – review &amp; editing.</w:t>
      </w:r>
    </w:p>
    <w:p w14:paraId="42381FBE">
      <w:pPr>
        <w:pStyle w:val="3"/>
        <w:spacing w:line="360" w:lineRule="auto"/>
        <w:jc w:val="both"/>
      </w:pPr>
      <w:r>
        <w:rPr>
          <w:rFonts w:ascii="Times New Roman" w:hAnsi="Times New Roman"/>
          <w:b w:val="0"/>
          <w:bCs/>
          <w:color w:val="000000"/>
          <w:sz w:val="22"/>
        </w:rPr>
        <w:t>Author 3 (Co-first author)</w:t>
      </w:r>
      <w:r>
        <w:rPr>
          <w:rFonts w:ascii="Times New Roman" w:hAnsi="Times New Roman"/>
          <w:b w:val="0"/>
          <w:color w:val="000000"/>
          <w:sz w:val="22"/>
        </w:rPr>
        <w:t>: Data curation, Investigation, Writing – review &amp; editing.</w:t>
      </w:r>
    </w:p>
    <w:p w14:paraId="33D1C248">
      <w:pPr>
        <w:pStyle w:val="3"/>
        <w:spacing w:line="360" w:lineRule="auto"/>
        <w:jc w:val="both"/>
      </w:pPr>
      <w:r>
        <w:rPr>
          <w:rFonts w:ascii="Times New Roman" w:hAnsi="Times New Roman"/>
          <w:b w:val="0"/>
          <w:bCs/>
          <w:color w:val="000000"/>
          <w:sz w:val="22"/>
        </w:rPr>
        <w:t>Author 4 (Corresponding author)</w:t>
      </w:r>
      <w:r>
        <w:rPr>
          <w:rFonts w:ascii="Times New Roman" w:hAnsi="Times New Roman"/>
          <w:b w:val="0"/>
          <w:color w:val="000000"/>
          <w:sz w:val="22"/>
        </w:rPr>
        <w:t>: Writing – review &amp; editing, Supervision, Project administration, Methodology, Conceptualization.</w:t>
      </w:r>
    </w:p>
    <w:p w14:paraId="3477ED2A">
      <w:pPr>
        <w:pStyle w:val="3"/>
        <w:spacing w:line="360" w:lineRule="auto"/>
        <w:jc w:val="both"/>
      </w:pPr>
      <w:r>
        <w:rPr>
          <w:rFonts w:ascii="Times New Roman" w:hAnsi="Times New Roman"/>
          <w:b w:val="0"/>
          <w:color w:val="000000"/>
          <w:sz w:val="22"/>
        </w:rPr>
        <w:t>All authors have read and approved the final version of the manuscript.</w:t>
      </w:r>
    </w:p>
    <w:bookmarkEnd w:id="24"/>
    <w:p w14:paraId="7E843BC4">
      <w:pPr>
        <w:pStyle w:val="4"/>
        <w:spacing w:line="360" w:lineRule="auto"/>
        <w:jc w:val="both"/>
      </w:pPr>
      <w:bookmarkStart w:id="25" w:name="competing-interests"/>
      <w:r>
        <w:rPr>
          <w:rFonts w:ascii="Times New Roman" w:hAnsi="Times New Roman"/>
          <w:b/>
          <w:color w:val="000000"/>
          <w:sz w:val="22"/>
        </w:rPr>
        <w:t>Competing interests</w:t>
      </w:r>
    </w:p>
    <w:p w14:paraId="1EB261CA">
      <w:pPr>
        <w:pStyle w:val="23"/>
        <w:spacing w:line="360" w:lineRule="auto"/>
        <w:jc w:val="both"/>
      </w:pPr>
      <w:r>
        <w:rPr>
          <w:rFonts w:ascii="Times New Roman" w:hAnsi="Times New Roman"/>
          <w:b w:val="0"/>
          <w:color w:val="000000"/>
          <w:sz w:val="22"/>
        </w:rPr>
        <w:t>The authors declare that they have no known competing financial interests or personal relationships that could have appeared to influence the work reported in this paper.</w:t>
      </w:r>
    </w:p>
    <w:bookmarkEnd w:id="25"/>
    <w:p w14:paraId="123286D4">
      <w:pPr>
        <w:pStyle w:val="4"/>
        <w:spacing w:line="360" w:lineRule="auto"/>
        <w:jc w:val="both"/>
      </w:pPr>
      <w:bookmarkStart w:id="26" w:name="funding"/>
      <w:r>
        <w:rPr>
          <w:rFonts w:ascii="Times New Roman" w:hAnsi="Times New Roman"/>
          <w:b/>
          <w:color w:val="000000"/>
          <w:sz w:val="22"/>
        </w:rPr>
        <w:t>Funding</w:t>
      </w:r>
    </w:p>
    <w:p w14:paraId="5D6F8CEE">
      <w:pPr>
        <w:pStyle w:val="23"/>
        <w:spacing w:line="360" w:lineRule="auto"/>
        <w:jc w:val="both"/>
      </w:pPr>
      <w:r>
        <w:rPr>
          <w:rFonts w:ascii="Times New Roman" w:hAnsi="Times New Roman"/>
          <w:b w:val="0"/>
          <w:color w:val="000000"/>
          <w:sz w:val="22"/>
        </w:rPr>
        <w:t>This research did not receive any specific grant from funding agencies in the public, commercial, or not-for-profit sectors.</w:t>
      </w:r>
    </w:p>
    <w:bookmarkEnd w:id="26"/>
    <w:p w14:paraId="7A978D1D">
      <w:pPr>
        <w:pStyle w:val="4"/>
        <w:spacing w:line="360" w:lineRule="auto"/>
        <w:jc w:val="both"/>
      </w:pPr>
      <w:bookmarkStart w:id="27" w:name="extended-data"/>
      <w:r>
        <w:rPr>
          <w:rFonts w:ascii="Times New Roman" w:hAnsi="Times New Roman"/>
          <w:b/>
          <w:color w:val="000000"/>
          <w:sz w:val="22"/>
        </w:rPr>
        <w:t>Extended Data</w:t>
      </w:r>
    </w:p>
    <w:p w14:paraId="0C9A3191">
      <w:pPr>
        <w:pStyle w:val="23"/>
        <w:spacing w:line="360" w:lineRule="auto"/>
        <w:jc w:val="both"/>
      </w:pPr>
      <w:r>
        <w:rPr>
          <w:rFonts w:ascii="Times New Roman" w:hAnsi="Times New Roman"/>
          <w:b w:val="0"/>
          <w:bCs/>
          <w:color w:val="000000"/>
          <w:sz w:val="22"/>
        </w:rPr>
        <w:t>Extended Data Fig. 1 | Green module hub gene identification.</w:t>
      </w:r>
      <w:r>
        <w:rPr>
          <w:rFonts w:ascii="Times New Roman" w:hAnsi="Times New Roman"/>
          <w:b w:val="0"/>
          <w:color w:val="000000"/>
          <w:sz w:val="22"/>
        </w:rPr>
        <w:t xml:space="preserve"> Module Membership vs. Gene Significance scatter plot for the HF green module (227 genes). Hub genes (red) satisfy |GS| &gt; 0.2 and |MM| &gt; 0.8 (dual criteria).</w:t>
      </w:r>
    </w:p>
    <w:p w14:paraId="20AC7609">
      <w:pPr>
        <w:pStyle w:val="3"/>
        <w:spacing w:line="360" w:lineRule="auto"/>
        <w:jc w:val="both"/>
      </w:pPr>
      <w:r>
        <w:rPr>
          <w:rFonts w:ascii="Times New Roman" w:hAnsi="Times New Roman"/>
          <w:b w:val="0"/>
          <w:bCs/>
          <w:color w:val="000000"/>
          <w:sz w:val="22"/>
        </w:rPr>
        <w:t>Extended Data Fig. 2 | TATS exploratory survival analysis by etiology subgroup.</w:t>
      </w:r>
      <w:r>
        <w:rPr>
          <w:rFonts w:ascii="Times New Roman" w:hAnsi="Times New Roman"/>
          <w:b w:val="0"/>
          <w:color w:val="000000"/>
          <w:sz w:val="22"/>
        </w:rPr>
        <w:t xml:space="preserve"> Kaplan–Meier overall survival curves for TATS (median split) in GSE141198 stratified by HBV, HCV, and NBNC etiology subgroups.</w:t>
      </w:r>
    </w:p>
    <w:p w14:paraId="19B18FEA">
      <w:pPr>
        <w:pStyle w:val="3"/>
        <w:spacing w:line="360" w:lineRule="auto"/>
        <w:jc w:val="both"/>
      </w:pPr>
      <w:r>
        <w:rPr>
          <w:rFonts w:ascii="Times New Roman" w:hAnsi="Times New Roman"/>
          <w:b w:val="0"/>
          <w:bCs/>
          <w:color w:val="000000"/>
          <w:sz w:val="22"/>
        </w:rPr>
        <w:t>Extended Data Fig. 3 | Soft threshold selection for WGCNA.</w:t>
      </w:r>
      <w:r>
        <w:rPr>
          <w:rFonts w:ascii="Times New Roman" w:hAnsi="Times New Roman"/>
          <w:b w:val="0"/>
          <w:color w:val="000000"/>
          <w:sz w:val="22"/>
        </w:rPr>
        <w:t xml:space="preserve"> Scale-free topology fit index (R²) and mean connectivity as a function of soft-threshold power β. </w:t>
      </w:r>
      <w:r>
        <w:rPr>
          <w:rFonts w:ascii="Times New Roman" w:hAnsi="Times New Roman"/>
          <w:b w:val="0"/>
          <w:bCs/>
          <w:color w:val="000000"/>
          <w:sz w:val="22"/>
        </w:rPr>
        <w:t>(a)</w:t>
      </w:r>
      <w:r>
        <w:rPr>
          <w:rFonts w:ascii="Times New Roman" w:hAnsi="Times New Roman"/>
          <w:b w:val="0"/>
          <w:color w:val="000000"/>
          <w:sz w:val="22"/>
        </w:rPr>
        <w:t xml:space="preserve"> GSE141198 (HCC, RNA-seq, β = 4). </w:t>
      </w:r>
      <w:r>
        <w:rPr>
          <w:rFonts w:ascii="Times New Roman" w:hAnsi="Times New Roman"/>
          <w:b w:val="0"/>
          <w:bCs/>
          <w:color w:val="000000"/>
          <w:sz w:val="22"/>
        </w:rPr>
        <w:t>(b)</w:t>
      </w:r>
      <w:r>
        <w:rPr>
          <w:rFonts w:ascii="Times New Roman" w:hAnsi="Times New Roman"/>
          <w:b w:val="0"/>
          <w:color w:val="000000"/>
          <w:sz w:val="22"/>
        </w:rPr>
        <w:t xml:space="preserve"> GSE57338 (HF, microarray, β = 17, signed R² = 0.865).</w:t>
      </w:r>
    </w:p>
    <w:p w14:paraId="4264F02F">
      <w:pPr>
        <w:pStyle w:val="3"/>
        <w:spacing w:line="360" w:lineRule="auto"/>
        <w:jc w:val="both"/>
      </w:pPr>
      <w:r>
        <w:rPr>
          <w:rFonts w:ascii="Times New Roman" w:hAnsi="Times New Roman"/>
          <w:b w:val="0"/>
          <w:bCs/>
          <w:color w:val="000000"/>
          <w:sz w:val="22"/>
        </w:rPr>
        <w:t>Extended Data Fig. 4 | Green module internal robustness and cross-disease coherence assessment.</w:t>
      </w:r>
      <w:r>
        <w:rPr>
          <w:rFonts w:ascii="Times New Roman" w:hAnsi="Times New Roman"/>
          <w:b w:val="0"/>
          <w:color w:val="000000"/>
          <w:sz w:val="22"/>
        </w:rPr>
        <w:t xml:space="preserve"> </w:t>
      </w:r>
      <w:r>
        <w:rPr>
          <w:rFonts w:ascii="Times New Roman" w:hAnsi="Times New Roman"/>
          <w:b w:val="0"/>
          <w:bCs/>
          <w:color w:val="000000"/>
          <w:sz w:val="22"/>
        </w:rPr>
        <w:t>(a)</w:t>
      </w:r>
      <w:r>
        <w:rPr>
          <w:rFonts w:ascii="Times New Roman" w:hAnsi="Times New Roman"/>
          <w:b w:val="0"/>
          <w:color w:val="000000"/>
          <w:sz w:val="22"/>
        </w:rPr>
        <w:t xml:space="preserve"> Intra-modular TOM distribution for the green module (227 genes, red) versus null expectation from 10,000 random gene sets of equal size (gray). </w:t>
      </w:r>
      <w:r>
        <w:rPr>
          <w:rFonts w:ascii="Times New Roman" w:hAnsi="Times New Roman"/>
          <w:b w:val="0"/>
          <w:i/>
          <w:iCs/>
          <w:color w:val="000000"/>
          <w:sz w:val="22"/>
        </w:rPr>
        <w:t>Z</w:t>
      </w:r>
      <w:r>
        <w:rPr>
          <w:rFonts w:ascii="Times New Roman" w:hAnsi="Times New Roman"/>
          <w:b w:val="0"/>
          <w:color w:val="000000"/>
          <w:sz w:val="22"/>
        </w:rPr>
        <w:t xml:space="preserve"> = 62.8, permutation </w:t>
      </w:r>
      <w:r>
        <w:rPr>
          <w:rFonts w:ascii="Times New Roman" w:hAnsi="Times New Roman"/>
          <w:b w:val="0"/>
          <w:i/>
          <w:iCs/>
          <w:color w:val="000000"/>
          <w:sz w:val="22"/>
        </w:rPr>
        <w:t>P</w:t>
      </w:r>
      <w:r>
        <w:rPr>
          <w:rFonts w:ascii="Times New Roman" w:hAnsi="Times New Roman"/>
          <w:b w:val="0"/>
          <w:color w:val="000000"/>
          <w:sz w:val="22"/>
        </w:rPr>
        <w:t xml:space="preserve"> &lt; 0.0001. </w:t>
      </w:r>
      <w:r>
        <w:rPr>
          <w:rFonts w:ascii="Times New Roman" w:hAnsi="Times New Roman"/>
          <w:b w:val="0"/>
          <w:bCs/>
          <w:color w:val="000000"/>
          <w:sz w:val="22"/>
        </w:rPr>
        <w:t>(b)</w:t>
      </w:r>
      <w:r>
        <w:rPr>
          <w:rFonts w:ascii="Times New Roman" w:hAnsi="Times New Roman"/>
          <w:b w:val="0"/>
          <w:color w:val="000000"/>
          <w:sz w:val="22"/>
        </w:rPr>
        <w:t xml:space="preserve"> Gene-level jackknife resampling (90% retention, 100 iterations) assessing connectivity stability (CV = 1.6%). </w:t>
      </w:r>
      <w:r>
        <w:rPr>
          <w:rFonts w:ascii="Times New Roman" w:hAnsi="Times New Roman"/>
          <w:b w:val="0"/>
          <w:bCs/>
          <w:color w:val="000000"/>
          <w:sz w:val="22"/>
        </w:rPr>
        <w:t>(c)</w:t>
      </w:r>
      <w:r>
        <w:rPr>
          <w:rFonts w:ascii="Times New Roman" w:hAnsi="Times New Roman"/>
          <w:b w:val="0"/>
          <w:color w:val="000000"/>
          <w:sz w:val="22"/>
        </w:rPr>
        <w:t xml:space="preserve"> Cross-disease coherence: mean absolute pairwise Pearson correlation of green module genes in the independent GSE141198 expression matrix (red) versus 1,000 random gene sets (gray).</w:t>
      </w:r>
    </w:p>
    <w:bookmarkEnd w:id="27"/>
    <w:p w14:paraId="0E84945B">
      <w:pPr>
        <w:pStyle w:val="4"/>
        <w:spacing w:line="360" w:lineRule="auto"/>
        <w:jc w:val="both"/>
      </w:pPr>
      <w:bookmarkStart w:id="28" w:name="supplementary-information"/>
      <w:r>
        <w:rPr>
          <w:rFonts w:ascii="Times New Roman" w:hAnsi="Times New Roman"/>
          <w:b/>
          <w:color w:val="000000"/>
          <w:sz w:val="22"/>
        </w:rPr>
        <w:t>Supplementary Information</w:t>
      </w:r>
    </w:p>
    <w:p w14:paraId="696501A3">
      <w:pPr>
        <w:pStyle w:val="23"/>
        <w:spacing w:line="360" w:lineRule="auto"/>
        <w:jc w:val="both"/>
      </w:pPr>
      <w:r>
        <w:rPr>
          <w:rFonts w:ascii="Times New Roman" w:hAnsi="Times New Roman"/>
          <w:b w:val="0"/>
          <w:color w:val="000000"/>
          <w:sz w:val="22"/>
        </w:rPr>
        <w:t>Supplementary Information is available for this paper, including:</w:t>
      </w:r>
    </w:p>
    <w:p w14:paraId="4D591316">
      <w:pPr>
        <w:pStyle w:val="3"/>
        <w:spacing w:line="360" w:lineRule="auto"/>
        <w:jc w:val="both"/>
      </w:pPr>
      <w:r>
        <w:rPr>
          <w:rFonts w:ascii="Times New Roman" w:hAnsi="Times New Roman"/>
          <w:b w:val="0"/>
          <w:bCs/>
          <w:color w:val="000000"/>
          <w:sz w:val="22"/>
        </w:rPr>
        <w:t>Supplementary Table 1.</w:t>
      </w:r>
      <w:r>
        <w:rPr>
          <w:rFonts w:ascii="Times New Roman" w:hAnsi="Times New Roman"/>
          <w:b w:val="0"/>
          <w:color w:val="000000"/>
          <w:sz w:val="22"/>
        </w:rPr>
        <w:t xml:space="preserve"> HF green module gene list (227 genes) with module membership and gene significance statistics.</w:t>
      </w:r>
    </w:p>
    <w:p w14:paraId="5DEBD879">
      <w:pPr>
        <w:pStyle w:val="3"/>
        <w:spacing w:line="360" w:lineRule="auto"/>
        <w:jc w:val="both"/>
      </w:pPr>
      <w:r>
        <w:rPr>
          <w:rFonts w:ascii="Times New Roman" w:hAnsi="Times New Roman"/>
          <w:b w:val="0"/>
          <w:bCs/>
          <w:color w:val="000000"/>
          <w:sz w:val="22"/>
        </w:rPr>
        <w:t>Supplementary Table 2.</w:t>
      </w:r>
      <w:r>
        <w:rPr>
          <w:rFonts w:ascii="Times New Roman" w:hAnsi="Times New Roman"/>
          <w:b w:val="0"/>
          <w:color w:val="000000"/>
          <w:sz w:val="22"/>
        </w:rPr>
        <w:t xml:space="preserve"> Complete ssGSEA pathway effect sizes (Cohen’s </w:t>
      </w:r>
      <w:r>
        <w:rPr>
          <w:rFonts w:ascii="Times New Roman" w:hAnsi="Times New Roman"/>
          <w:b w:val="0"/>
          <w:i/>
          <w:iCs/>
          <w:color w:val="000000"/>
          <w:sz w:val="22"/>
        </w:rPr>
        <w:t>d</w:t>
      </w:r>
      <w:r>
        <w:rPr>
          <w:rFonts w:ascii="Times New Roman" w:hAnsi="Times New Roman"/>
          <w:b w:val="0"/>
          <w:color w:val="000000"/>
          <w:sz w:val="22"/>
        </w:rPr>
        <w:t>) for all 81 pathways in HF and HCC.</w:t>
      </w:r>
    </w:p>
    <w:p w14:paraId="5BF2BBEA">
      <w:pPr>
        <w:pStyle w:val="3"/>
        <w:spacing w:line="360" w:lineRule="auto"/>
        <w:jc w:val="both"/>
      </w:pPr>
      <w:r>
        <w:rPr>
          <w:rFonts w:ascii="Times New Roman" w:hAnsi="Times New Roman"/>
          <w:b w:val="0"/>
          <w:bCs/>
          <w:color w:val="000000"/>
          <w:sz w:val="22"/>
        </w:rPr>
        <w:t>Supplementary Table 3.</w:t>
      </w:r>
      <w:r>
        <w:rPr>
          <w:rFonts w:ascii="Times New Roman" w:hAnsi="Times New Roman"/>
          <w:b w:val="0"/>
          <w:color w:val="000000"/>
          <w:sz w:val="22"/>
        </w:rPr>
        <w:t xml:space="preserve"> Cross-disease log2FC and FDR for translation-related module genes.</w:t>
      </w:r>
    </w:p>
    <w:p w14:paraId="4311C3C2">
      <w:pPr>
        <w:pStyle w:val="3"/>
        <w:spacing w:line="360" w:lineRule="auto"/>
        <w:jc w:val="both"/>
      </w:pPr>
      <w:r>
        <w:rPr>
          <w:rFonts w:ascii="Times New Roman" w:hAnsi="Times New Roman"/>
          <w:b w:val="0"/>
          <w:bCs/>
          <w:color w:val="000000"/>
          <w:sz w:val="22"/>
        </w:rPr>
        <w:t>Supplementary Table 4.</w:t>
      </w:r>
      <w:r>
        <w:rPr>
          <w:rFonts w:ascii="Times New Roman" w:hAnsi="Times New Roman"/>
          <w:b w:val="0"/>
          <w:color w:val="000000"/>
          <w:sz w:val="22"/>
        </w:rPr>
        <w:t xml:space="preserve"> Translation-related pathways showing mirror perturbation (HF↓ HCC↑) with binomial test statistics.</w:t>
      </w:r>
    </w:p>
    <w:p w14:paraId="731E5193">
      <w:pPr>
        <w:pStyle w:val="3"/>
        <w:spacing w:line="360" w:lineRule="auto"/>
        <w:jc w:val="both"/>
      </w:pPr>
      <w:r>
        <w:rPr>
          <w:rFonts w:ascii="Times New Roman" w:hAnsi="Times New Roman"/>
          <w:b w:val="0"/>
          <w:bCs/>
          <w:color w:val="000000"/>
          <w:sz w:val="22"/>
        </w:rPr>
        <w:t>Supplementary Table 5.</w:t>
      </w:r>
      <w:r>
        <w:rPr>
          <w:rFonts w:ascii="Times New Roman" w:hAnsi="Times New Roman"/>
          <w:b w:val="0"/>
          <w:color w:val="000000"/>
          <w:sz w:val="22"/>
        </w:rPr>
        <w:t xml:space="preserve"> GO Biological Process enrichment results for the HF green module (clusterProfiler, BH-adjusted).</w:t>
      </w:r>
    </w:p>
    <w:p w14:paraId="1CBF3B7A">
      <w:pPr>
        <w:pStyle w:val="3"/>
        <w:spacing w:line="360" w:lineRule="auto"/>
        <w:jc w:val="both"/>
      </w:pPr>
      <w:r>
        <w:rPr>
          <w:rFonts w:ascii="Times New Roman" w:hAnsi="Times New Roman"/>
          <w:b w:val="0"/>
          <w:bCs/>
          <w:color w:val="000000"/>
          <w:sz w:val="22"/>
        </w:rPr>
        <w:t>Supplementary Table 6.</w:t>
      </w:r>
      <w:r>
        <w:rPr>
          <w:rFonts w:ascii="Times New Roman" w:hAnsi="Times New Roman"/>
          <w:b w:val="0"/>
          <w:color w:val="000000"/>
          <w:sz w:val="22"/>
        </w:rPr>
        <w:t xml:space="preserve"> Complete TF–TATS Spearman correlation statistics for all 19 candidate transcription factors.</w:t>
      </w:r>
    </w:p>
    <w:p w14:paraId="4E461448">
      <w:pPr>
        <w:pStyle w:val="3"/>
        <w:spacing w:line="360" w:lineRule="auto"/>
        <w:jc w:val="both"/>
      </w:pPr>
      <w:r>
        <w:rPr>
          <w:rFonts w:ascii="Times New Roman" w:hAnsi="Times New Roman"/>
          <w:b w:val="0"/>
          <w:bCs/>
          <w:color w:val="000000"/>
          <w:sz w:val="22"/>
        </w:rPr>
        <w:t>Supplementary Table 7.</w:t>
      </w:r>
      <w:r>
        <w:rPr>
          <w:rFonts w:ascii="Times New Roman" w:hAnsi="Times New Roman"/>
          <w:b w:val="0"/>
          <w:color w:val="000000"/>
          <w:sz w:val="22"/>
        </w:rPr>
        <w:t xml:space="preserve"> Gene overlap analysis between TATS gene set and Hallmark pathway gene sets, with de-overlap sensitivity analysis.</w:t>
      </w:r>
    </w:p>
    <w:bookmarkEnd w:id="0"/>
    <w:bookmarkEnd w:id="28"/>
    <w:sectPr>
      <w:footnotePr>
        <w:numRestart w:val="eachSect"/>
      </w:footnotePr>
      <w:pgSz w:w="11906" w:h="16838"/>
      <w:pgMar w:top="1417" w:right="1134" w:bottom="1417" w:left="113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6C440E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pPr>
    <w:rPr>
      <w:rFonts w:ascii="Times New Roman" w:hAnsi="Times New Roman" w:eastAsiaTheme="minorEastAsia" w:cstheme="minorBidi"/>
      <w:color w:val="000000"/>
      <w:sz w:val="22"/>
      <w:szCs w:val="24"/>
      <w:lang w:val="en-US" w:eastAsia="zh-CN" w:bidi="ar-SA"/>
    </w:rPr>
  </w:style>
  <w:style w:type="paragraph" w:styleId="2">
    <w:name w:val="heading 1"/>
    <w:basedOn w:val="1"/>
    <w:next w:val="3"/>
    <w:link w:val="31"/>
    <w:qFormat/>
    <w:uiPriority w:val="9"/>
    <w:pPr>
      <w:keepNext/>
      <w:keepLines/>
      <w:spacing w:before="0" w:after="120" w:line="360" w:lineRule="auto"/>
      <w:outlineLvl w:val="0"/>
    </w:pPr>
    <w:rPr>
      <w:rFonts w:asciiTheme="majorHAnsi" w:hAnsiTheme="majorHAnsi" w:eastAsiaTheme="majorEastAsia" w:cstheme="majorBidi"/>
      <w:b/>
      <w:color w:val="000000"/>
      <w:sz w:val="24"/>
      <w:szCs w:val="40"/>
    </w:rPr>
  </w:style>
  <w:style w:type="paragraph" w:styleId="4">
    <w:name w:val="heading 2"/>
    <w:basedOn w:val="1"/>
    <w:next w:val="3"/>
    <w:link w:val="32"/>
    <w:semiHidden/>
    <w:unhideWhenUsed/>
    <w:qFormat/>
    <w:uiPriority w:val="9"/>
    <w:pPr>
      <w:keepNext/>
      <w:keepLines/>
      <w:spacing w:before="0" w:after="120" w:line="360" w:lineRule="auto"/>
      <w:outlineLvl w:val="1"/>
    </w:pPr>
    <w:rPr>
      <w:rFonts w:asciiTheme="majorHAnsi" w:hAnsiTheme="majorHAnsi" w:eastAsiaTheme="majorEastAsia" w:cstheme="majorBidi"/>
      <w:b/>
      <w:color w:val="000000"/>
      <w:sz w:val="22"/>
      <w:szCs w:val="32"/>
    </w:rPr>
  </w:style>
  <w:style w:type="paragraph" w:styleId="5">
    <w:name w:val="heading 3"/>
    <w:basedOn w:val="1"/>
    <w:next w:val="3"/>
    <w:link w:val="33"/>
    <w:semiHidden/>
    <w:unhideWhenUsed/>
    <w:qFormat/>
    <w:uiPriority w:val="9"/>
    <w:pPr>
      <w:keepNext/>
      <w:keepLines/>
      <w:spacing w:before="0" w:after="120" w:line="360" w:lineRule="auto"/>
      <w:outlineLvl w:val="2"/>
    </w:pPr>
    <w:rPr>
      <w:rFonts w:ascii="Times New Roman" w:hAnsi="Times New Roman" w:eastAsiaTheme="majorEastAsia" w:cstheme="majorBidi"/>
      <w:b/>
      <w:color w:val="000000"/>
      <w:sz w:val="22"/>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478</Words>
  <Characters>3279</Characters>
  <Lines>12</Lines>
  <Paragraphs>8</Paragraphs>
  <TotalTime>11</TotalTime>
  <ScaleCrop>false</ScaleCrop>
  <LinksUpToDate>false</LinksUpToDate>
  <CharactersWithSpaces>3750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2026-08-05T09:09:00Z</dcterms:created>
  <dc:creator>钟小羽</dc:creator>
  <cp:lastModifiedBy>钟小羽</cp:lastModifiedBy>
  <dcterms:modified xsi:type="dcterms:W3CDTF">2026-08-05T09:15:47Z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eyJoZGlkIjoiNTVjN2M4NDU1ZDhmYWI5Y2YxNzA1ZDYzYjkxMGY3ZTYiLCJ1c2VySWQiOiIxMDI1NDE1NTYxIn0=</vt:lpwstr>
  </property>
  <property fmtid="{D5CDD505-2E9C-101B-9397-08002B2CF9AE}" pid="3" name="KSOProductBuildVer">
    <vt:lpwstr>2052-12.1.0.28043</vt:lpwstr>
  </property>
  <property fmtid="{D5CDD505-2E9C-101B-9397-08002B2CF9AE}" pid="4" name="ICV">
    <vt:lpwstr>4C967A5DE2EE4E5580811639766E6BF4_12</vt:lpwstr>
  </property>
</Properties>
</file>