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i w:val="false"/>
          <w:i w:val="false"/>
          <w:iCs w:val="false"/>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i w:val="false"/>
          <w:i w:val="false"/>
          <w:iCs w:val="false"/>
        </w:rPr>
      </w:pPr>
      <w:r>
        <w:rPr>
          <w:i w:val="false"/>
          <w:iCs w:val="false"/>
        </w:rPr>
        <w:t>一个官员被短期任命</w:t>
      </w:r>
      <w:r>
        <w:rPr>
          <w:i w:val="false"/>
          <w:iCs w:val="false"/>
        </w:rPr>
        <w:t>，所以他可以被快速替代——比如说他离开了岛。</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法定人数</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2702</TotalTime>
  <Application>LibreOffice/5.1.6.2$Linux_X86_64 LibreOffice_project/10m0$Build-2</Application>
  <Pages>13</Pages>
  <Words>12231</Words>
  <Characters>13632</Characters>
  <CharactersWithSpaces>13929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2017-09-14T21:59:16Z</dcterms:modified>
  <cp:revision>521</cp:revision>
  <dc:subject/>
  <dc:title/>
</cp:coreProperties>
</file>