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0" w:before="0" w:lineRule="exact" w:line="560"/>
        <w:jc w:val="center"/>
      </w:pPr>
      <w:r>
        <w:rPr>
          <w:rFonts w:ascii="宋体" w:eastAsia="宋体" w:hAnsi="宋体"/>
          <w:sz w:val="36"/>
        </w:rPr>
        <w:t>江苏省南京市雨花台区人民检察院</w:t>
      </w:r>
    </w:p>
    <w:p>
      <w:pPr>
        <w:spacing w:after="0" w:before="0" w:lineRule="exact" w:line="560"/>
        <w:jc w:val="center"/>
      </w:pPr>
      <w:r>
        <w:rPr>
          <w:rFonts w:ascii="宋体" w:eastAsia="宋体" w:hAnsi="宋体"/>
          <w:b w:val="true"/>
          <w:sz w:val="44"/>
        </w:rPr>
        <w:t>口头纠正违法工作记录</w:t>
      </w:r>
    </w:p>
    <w:p>
      <w:pPr>
        <w:spacing w:after="0" w:before="0" w:lineRule="exact" w:line="560"/>
        <w:jc w:val="right"/>
      </w:pPr>
      <w:bookmarkStart w:id="0" w:name="wh"/>
      <w:r>
        <w:rPr>
          <w:rFonts w:ascii="楷体_GB2312" w:eastAsia="楷体_GB2312" w:hAnsi="楷体_GB2312"/>
          <w:sz w:val="28"/>
        </w:rPr>
        <w:t/>
      </w:r>
      <w:bookmarkEnd w:id="0"/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 xml:space="preserve">案件名称：杨胜昌盗窃案  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 xml:space="preserve">纠正对象： 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违法情形和纠违依据：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1、</w:t>
      </w:r>
      <w:hyperlink r:id="rId4">
        <w:r>
          <w:rPr>
            <w:rFonts w:ascii="微软雅黑" w:eastAsia="微软雅黑" w:hAnsi="微软雅黑"/>
            <w:color w:val="0000FF"/>
            <w:sz w:val="30"/>
            <w:u w:val="single"/>
          </w:rPr>
          <w:t>询问笔录的制作是否合法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刑事立案之前收集的被害人陈述、证人证言，不符合法律规定，违反了《中华人民共和国刑事诉讼法》第五十四条和《公安机关办理刑事案件程序规定》第六十条之规定，应予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2、</w:t>
      </w:r>
      <w:hyperlink r:id="rId5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：我院在审查该案中发现，你局制作的辨认笔录，缺少侦查人员/辨认人/见证人签名，违反了《公安机关办理刑事案件程序规定》第二百五十三条之规定，应予纠正。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3、</w:t>
      </w:r>
      <w:hyperlink r:id="rId6">
        <w:r>
          <w:rPr>
            <w:rFonts w:ascii="微软雅黑" w:eastAsia="微软雅黑" w:hAnsi="微软雅黑"/>
            <w:color w:val="0000FF"/>
            <w:sz w:val="30"/>
            <w:u w:val="single"/>
          </w:rPr>
          <w:t>逮捕后是否在24小时内通知家属</w:t>
        </w:r>
      </w:hyperlink>
      <w:r>
        <w:rPr>
          <w:rFonts w:ascii="仿宋_GB2312" w:eastAsia="仿宋_GB2312" w:hAnsi="仿宋_GB2312"/>
          <w:sz w:val="32"/>
        </w:rPr>
        <w:t>：公安机关未在逮捕后24小时内通知犯罪嫌疑人家属，违反了《中华人民共和国刑事诉讼法》第九十三条第二款、《公安机关办理刑事案件程序规定》第一百四十一条第一款之规定，应当予以纠正。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4、</w:t>
      </w:r>
      <w:hyperlink r:id="rId7">
        <w:r>
          <w:rPr>
            <w:rFonts w:ascii="微软雅黑" w:eastAsia="微软雅黑" w:hAnsi="微软雅黑"/>
            <w:color w:val="0000FF"/>
            <w:sz w:val="30"/>
            <w:u w:val="single"/>
          </w:rPr>
          <w:t>是否向证人告知权利义务</w:t>
        </w:r>
      </w:hyperlink>
      <w:r>
        <w:rPr>
          <w:rFonts w:ascii="仿宋_GB2312" w:eastAsia="仿宋_GB2312" w:hAnsi="仿宋_GB2312"/>
          <w:sz w:val="32"/>
        </w:rPr>
        <w:t>：你局在询问证人xx时，未告知其作证的权利义务，违反《中华人民共和国刑事诉讼法》第一百二十五条、《公安机关办理刑事程序规定》第二百零六条之规定，应予以纠正。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5、</w:t>
      </w:r>
      <w:hyperlink r:id="rId8">
        <w:r>
          <w:rPr>
            <w:rFonts w:ascii="微软雅黑" w:eastAsia="微软雅黑" w:hAnsi="微软雅黑"/>
            <w:color w:val="0000FF"/>
            <w:sz w:val="30"/>
            <w:u w:val="single"/>
          </w:rPr>
          <w:t>刑事拘留后24小时内是否通知家属</w:t>
        </w:r>
      </w:hyperlink>
      <w:r>
        <w:rPr>
          <w:rFonts w:ascii="仿宋_GB2312" w:eastAsia="仿宋_GB2312" w:hAnsi="仿宋_GB2312"/>
          <w:sz w:val="32"/>
        </w:rPr>
        <w:t>：我院在审查该案中发现，你局对犯罪嫌疑人ＸＸ执行刑事拘留后，未在24小时内通知家属，违反了《刑事诉讼法》第八十五条第二款、《公安机关办理刑事案件程序规定》第一百二十三条第一款之规定。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6、</w:t>
      </w:r>
      <w:hyperlink r:id="rId9">
        <w:r>
          <w:rPr>
            <w:rFonts w:ascii="微软雅黑" w:eastAsia="微软雅黑" w:hAnsi="微软雅黑"/>
            <w:color w:val="0000FF"/>
            <w:sz w:val="30"/>
            <w:u w:val="single"/>
          </w:rPr>
          <w:t>讯问笔录的制作是否合法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讯问犯罪嫌疑人后讯问笔录未经犯罪嫌疑人核对、签字（盖章）、捺指印或拒绝签名（盖章）、捺指印未在笔录中注明，违反了《中华人民共和国刑事诉讼法》第一百二十二条和《公安机关办理刑事案件程序规定》第二百零一条之规定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7、</w:t>
      </w:r>
      <w:hyperlink r:id="rId10">
        <w:r>
          <w:rPr>
            <w:rFonts w:ascii="微软雅黑" w:eastAsia="微软雅黑" w:hAnsi="微软雅黑"/>
            <w:color w:val="0000FF"/>
            <w:sz w:val="30"/>
            <w:u w:val="single"/>
          </w:rPr>
          <w:t>讯问笔录的制作是否合法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讯问犯罪嫌疑人后讯问笔录未经犯罪嫌疑人核对、签字（盖章）、捺指印或拒绝签名（盖章）、捺指印未在笔录中注明，违反了《中华人民共和国刑事诉讼法》第一百二十二条和《公安机关办理刑事案件程序规定》第二百零一条之规定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8、</w:t>
      </w:r>
      <w:hyperlink r:id="rId11">
        <w:r>
          <w:rPr>
            <w:rFonts w:ascii="微软雅黑" w:eastAsia="微软雅黑" w:hAnsi="微软雅黑"/>
            <w:color w:val="0000FF"/>
            <w:sz w:val="30"/>
            <w:u w:val="single"/>
          </w:rPr>
          <w:t>讯问笔录的制作是否合法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讯问犯罪嫌疑人后讯问笔录未经犯罪嫌疑人核对、签字（盖章）、捺指印或拒绝签名（盖章）、捺指印未在笔录中注明，违反了《中华人民共和国刑事诉讼法》第一百二十二条和《公安机关办理刑事案件程序规定》第二百零一条之规定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9、</w:t>
      </w:r>
      <w:hyperlink r:id="rId12">
        <w:r>
          <w:rPr>
            <w:rFonts w:ascii="微软雅黑" w:eastAsia="微软雅黑" w:hAnsi="微软雅黑"/>
            <w:color w:val="0000FF"/>
            <w:sz w:val="30"/>
            <w:u w:val="single"/>
          </w:rPr>
          <w:t>询问笔录的制作是否合法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刑事立案之前收集的被害人陈述、证人证言，不符合法律规定，违反了《中华人民共和国刑事诉讼法》第五十四条和《公安机关办理刑事案件程序规定》第六十条之规定，应予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10、</w:t>
      </w:r>
      <w:hyperlink r:id="rId13">
        <w:r>
          <w:rPr>
            <w:rFonts w:ascii="微软雅黑" w:eastAsia="微软雅黑" w:hAnsi="微软雅黑"/>
            <w:color w:val="0000FF"/>
            <w:sz w:val="30"/>
            <w:u w:val="single"/>
          </w:rPr>
          <w:t>讯问笔录的制作是否合法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讯问犯罪嫌疑人后讯问笔录未经犯罪嫌疑人核对、签字（盖章）、捺指印或拒绝签名（盖章）、捺指印未在笔录中注明，违反了《中华人民共和国刑事诉讼法》第一百二十二条和《公安机关办理刑事案件程序规定》第二百零一条之规定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11、</w:t>
      </w:r>
      <w:hyperlink r:id="rId14">
        <w:r>
          <w:rPr>
            <w:rFonts w:ascii="微软雅黑" w:eastAsia="微软雅黑" w:hAnsi="微软雅黑"/>
            <w:color w:val="0000FF"/>
            <w:sz w:val="30"/>
            <w:u w:val="single"/>
          </w:rPr>
          <w:t>询问笔录的制作是否合法</w:t>
        </w:r>
      </w:hyperlink>
      <w:r>
        <w:rPr>
          <w:rFonts w:ascii="仿宋_GB2312" w:eastAsia="仿宋_GB2312" w:hAnsi="仿宋_GB2312"/>
          <w:sz w:val="32"/>
        </w:rPr>
        <w:t>：我院在审查该案中发现，你局在刑事立案之前收集的被害人陈述、证人证言，不符合法律规定，违反了《中华人民共和国刑事诉讼法》第五十四条和《公安机关办理刑事案件程序规定》第六十条之规定，应予纠正。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纠正意见：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纠正过程：</w:t>
      </w:r>
    </w:p>
    <w:p>
      <w:pPr>
        <w:spacing w:after="0" w:before="0" w:lineRule="exact" w:line="560"/>
        <w:ind w:firstLine="630"/>
      </w:pPr>
      <w:r>
        <w:rPr>
          <w:rFonts w:ascii="仿宋_GB2312" w:eastAsia="仿宋_GB2312" w:hAnsi="仿宋_GB2312"/>
          <w:sz w:val="32"/>
        </w:rPr>
        <w:t>反馈情况：</w:t>
      </w:r>
    </w:p>
    <w:p>
      <w:pPr>
        <w:spacing w:after="0" w:before="0" w:lineRule="exact" w:line="560"/>
        <w:ind w:firstLine="630"/>
        <w:jc w:val="right"/>
      </w:pPr>
      <w:r>
        <w:rPr>
          <w:rFonts w:ascii="仿宋_GB2312" w:eastAsia="仿宋_GB2312" w:hAnsi="仿宋_GB2312"/>
          <w:sz w:val="32"/>
        </w:rPr>
        <w:t>承办人：周朝阳</w:t>
      </w:r>
    </w:p>
    <w:p>
      <w:pPr>
        <w:spacing w:after="0" w:before="0" w:lineRule="exact" w:line="560"/>
        <w:ind w:firstLine="630"/>
        <w:jc w:val="right"/>
      </w:pPr>
      <w:r>
        <w:rPr>
          <w:rFonts w:ascii="仿宋_GB2312" w:eastAsia="仿宋_GB2312" w:hAnsi="仿宋_GB2312"/>
          <w:sz w:val="32"/>
        </w:rPr>
        <w:t xml:space="preserve"> 2019年8月8日</w:t>
      </w:r>
    </w:p>
    <w:sectPr>
      <w:headerReference w:type="default" r:id="rId2"/>
      <w:footerReference w:type="default" r:id="rId3"/>
      <w:pgSz w:w="11907" w:h="16840" w:orient="portrait"/>
      <w:pgMar w:left="1588" w:top="2098" w:right="1474" w:bottom="198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Calibri (西文正文)" w:eastAsia="Calibri (西文正文)" w:hAnsi="Calibri (西文正文)"/>
        <w:sz w:val="18"/>
      </w:rPr>
      <w:fldChar w:fldCharType="begin"/>
      <w:instrText>PAGE  \* MERGEFORMAT</w:instrTex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>
  <w:p>
    <w:pPr/>
    <w:r>
      <w:t xml:space="preserve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192.168.0.242/cm/znfz/view/result?linkid=250899" TargetMode="External" Type="http://schemas.openxmlformats.org/officeDocument/2006/relationships/hyperlink"/>
<Relationship Id="rId11" Target="http://192.168.0.242/cm/znfz/view/result?linkid=250900" TargetMode="External" Type="http://schemas.openxmlformats.org/officeDocument/2006/relationships/hyperlink"/>
<Relationship Id="rId12" Target="http://192.168.0.242/cm/znfz/view/result?linkid=250901" TargetMode="External" Type="http://schemas.openxmlformats.org/officeDocument/2006/relationships/hyperlink"/>
<Relationship Id="rId13" Target="http://192.168.0.242/cm/znfz/view/result?linkid=250902" TargetMode="External" Type="http://schemas.openxmlformats.org/officeDocument/2006/relationships/hyperlink"/>
<Relationship Id="rId14" Target="http://192.168.0.242/cm/znfz/view/result?linkid=250903" TargetMode="External" Type="http://schemas.openxmlformats.org/officeDocument/2006/relationships/hyperlink"/>
<Relationship Id="rId2" Target="header1.xml" Type="http://schemas.openxmlformats.org/officeDocument/2006/relationships/header"/>
<Relationship Id="rId3" Target="footer1.xml" Type="http://schemas.openxmlformats.org/officeDocument/2006/relationships/footer"/>
<Relationship Id="rId4" Target="http://192.168.0.242/cm/znfz/view/result?linkid=250893" TargetMode="External" Type="http://schemas.openxmlformats.org/officeDocument/2006/relationships/hyperlink"/>
<Relationship Id="rId5" Target="http://192.168.0.242/cm/znfz/view/result?linkid=250894" TargetMode="External" Type="http://schemas.openxmlformats.org/officeDocument/2006/relationships/hyperlink"/>
<Relationship Id="rId6" Target="http://192.168.0.242/cm/znfz/view/result?linkid=250895" TargetMode="External" Type="http://schemas.openxmlformats.org/officeDocument/2006/relationships/hyperlink"/>
<Relationship Id="rId7" Target="http://192.168.0.242/cm/znfz/view/result?linkid=250896" TargetMode="External" Type="http://schemas.openxmlformats.org/officeDocument/2006/relationships/hyperlink"/>
<Relationship Id="rId8" Target="http://192.168.0.242/cm/znfz/view/result?linkid=250897" TargetMode="External" Type="http://schemas.openxmlformats.org/officeDocument/2006/relationships/hyperlink"/>
<Relationship Id="rId9" Target="http://192.168.0.242/cm/znfz/view/result?linkid=25089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2019-08-08T02:19:03Z</dcterms:created>
  <dc:creator>Apache POI</dc:creator>
</cp:coreProperties>
</file>