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Noto Serif CJK SC"/>
        </w:rPr>
        <w:t>DynamicRad：Content-Adaptive Sparse Attention for Long Video Diffusion</w:t>
        <w:br/>
        <w:t>方法讲解（重写版）</w:t>
      </w:r>
    </w:p>
    <w:p>
      <w:pPr>
        <w:jc w:val="center"/>
      </w:pPr>
      <w:r>
        <w:rPr>
          <w:rFonts w:ascii="Times New Roman" w:hAnsi="Times New Roman" w:eastAsia="Noto Serif CJK SC"/>
          <w:b w:val="0"/>
          <w:sz w:val="21"/>
        </w:rPr>
        <w:t>目标：把论文的方法按“它到底先做什么、再做什么、每个参数控制什么”的方式讲清楚，避免用“静态极速 / 动态保真”这类空泛标签代替机制。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Noto Serif CJK SC"/>
                <w:b/>
              </w:rPr>
              <w:t>先纠正之前的说法：</w:t>
            </w:r>
            <w:r>
              <w:rPr>
                <w:rFonts w:ascii="Times New Roman" w:hAnsi="Times New Roman" w:eastAsia="Noto Serif CJK SC"/>
              </w:rPr>
              <w:t>DynamicRad 不是简单地“看运动强度，然后在一个快模式和一个保真模式之间二选一”。真正的主干是：先依据帧间距离构造一个结构化候选注意力区域；再在候选区域内用两种不同规则删连接；最后把 token 级连接汇总成 GPU 友好的 block-sparse mask。运动路由器只负责从离线已经搜好的配置表里取一套参数/模式。</w:t>
            </w:r>
          </w:p>
        </w:tc>
      </w:tr>
    </w:tbl>
    <w:p>
      <w:pPr>
        <w:spacing w:after="0"/>
      </w:pPr>
    </w:p>
    <w:p>
      <w:pPr>
        <w:pStyle w:val="Heading1"/>
      </w:pPr>
      <w:r>
        <w:t>1. 这篇论文到底想解决什么</w:t>
      </w:r>
    </w:p>
    <w:p>
      <w:r>
        <w:rPr>
          <w:rFonts w:ascii="Times New Roman" w:hAnsi="Times New Roman" w:eastAsia="Noto Serif CJK SC"/>
          <w:b w:val="0"/>
        </w:rPr>
        <w:t>长视频 DiT 的 Attention 很贵，因为总 token 数 S=N_fN_t 随帧数增长，而全注意力需要比较几乎所有 token 对。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531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e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Radial Attention 的优点是规则简单、天然适合块稀疏 kernel，但它的缺点也很直接：mask 基本由“距离”决定，面对高速运动、物体重新出现、远距离时序依赖时，固定局部规则可能把真正重要的远程连接删掉。完全动态的方法又需要在线打分，额外开销更大。DynamicRad 的核心就是在这两个方向之间做结构化折中，但这个“折中”发生在具体的 mask 构造规则里，而不是一句“快 / 保真”就能解释完。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Noto Serif CJK SC"/>
                <w:b/>
              </w:rPr>
              <w:t>一句话版：</w:t>
            </w:r>
            <w:r>
              <w:rPr>
                <w:rFonts w:ascii="Times New Roman" w:hAnsi="Times New Roman" w:eastAsia="Noto Serif CJK SC"/>
              </w:rPr>
              <w:t>DynamicRad 先用“帧距离”决定哪些 Q-K 位置值得成为候选，再在这些候选位置里继续筛；最终得到的是固定 block size 的稀疏 mask，真正的 Attention 仍由 FlashInfer / Sage 一类块级 kernel 计算。</w:t>
            </w:r>
          </w:p>
        </w:tc>
      </w:tr>
    </w:tbl>
    <w:p>
      <w:pPr>
        <w:spacing w:after="0"/>
      </w:pPr>
    </w:p>
    <w:p>
      <w:pPr>
        <w:pStyle w:val="Heading1"/>
      </w:pPr>
      <w:r>
        <w:t>2. 整体流程：先画候选区，再在候选区里删</w:t>
      </w:r>
    </w:p>
    <w:p>
      <w:pPr>
        <w:pStyle w:val="ListNumber"/>
      </w:pPr>
      <w:r>
        <w:rPr>
          <w:rFonts w:ascii="Times New Roman" w:hAnsi="Times New Roman" w:eastAsia="Noto Serif CJK SC"/>
          <w:sz w:val="22"/>
        </w:rPr>
        <w:t>第一步：按帧距离 t=|i-j| 构造候选帧对。越远的帧，不是全部互相连接，而是越来越稀疏地保留。</w:t>
      </w:r>
    </w:p>
    <w:p>
      <w:pPr>
        <w:pStyle w:val="ListNumber"/>
      </w:pPr>
      <w:r>
        <w:rPr>
          <w:rFonts w:ascii="Times New Roman" w:hAnsi="Times New Roman" w:eastAsia="Noto Serif CJK SC"/>
          <w:sz w:val="22"/>
        </w:rPr>
        <w:t>第二步：对于保留下来的帧对，只允许空间索引接近的 token 对进入候选集合 P(i,j)。帧越远，允许的空间窗口越窄。</w:t>
      </w:r>
    </w:p>
    <w:p>
      <w:pPr>
        <w:pStyle w:val="ListNumber"/>
      </w:pPr>
      <w:r>
        <w:rPr>
          <w:rFonts w:ascii="Times New Roman" w:hAnsi="Times New Roman" w:eastAsia="Noto Serif CJK SC"/>
          <w:sz w:val="22"/>
        </w:rPr>
        <w:t>第三步：在 P(i,j) 内继续筛选。Static-ratio 不看当前 Q/K 内容，按比例保留；Dynamic-threshold 看当前 Q/K 的预 Softmax 分数，过阈值才保留。</w:t>
      </w:r>
    </w:p>
    <w:p>
      <w:pPr>
        <w:pStyle w:val="ListNumber"/>
      </w:pPr>
      <w:r>
        <w:rPr>
          <w:rFonts w:ascii="Times New Roman" w:hAnsi="Times New Roman" w:eastAsia="Noto Serif CJK SC"/>
          <w:sz w:val="22"/>
        </w:rPr>
        <w:t>第四步：把零散的 token 连接汇总成 block mask M_b，让后端以 32/64/128 这类固定块大小执行稀疏 Attention。</w:t>
      </w:r>
    </w:p>
    <w:p>
      <w:pPr>
        <w:pStyle w:val="ListNumber"/>
      </w:pPr>
      <w:r>
        <w:rPr>
          <w:rFonts w:ascii="Times New Roman" w:hAnsi="Times New Roman" w:eastAsia="Noto Serif CJK SC"/>
          <w:sz w:val="22"/>
        </w:rPr>
        <w:t>第五步：离线 Bayesian Optimization 事先为 Low / Mid / High motion 搜好参数；推理时文本路由器只运行一次，从表里取配置。</w:t>
      </w:r>
    </w:p>
    <w:p>
      <w:pPr>
        <w:pStyle w:val="Heading1"/>
      </w:pPr>
      <w:r>
        <w:t>3. 候选集怎么构造：Radial 不是“只看附近帧”，而是两层收缩</w:t>
      </w:r>
    </w:p>
    <w:p>
      <w:pPr>
        <w:pStyle w:val="Heading2"/>
      </w:pPr>
      <w:r>
        <w:t>3.1 先按时间距离把远帧分组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8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t 是第 i 帧和第 j 帧之间隔了多少帧。B(t) 用对数把时间距离分段：距离越远，B(t) 越大。L_0 是和单帧 token 数 N_t 对齐的基础尺度。</w:t>
      </w:r>
    </w:p>
    <w:p>
      <w:pPr>
        <w:pStyle w:val="Heading2"/>
      </w:pPr>
      <w:r>
        <w:t>3.2 再让空间窗口随时间距离缩小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468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ec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68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γ 是 decay factor。它越大，远距离帧之间允许看的空间范围越宽；γ 越小，窗口收缩得更快。论文把这个衰减写成近似 1/t 的形式。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4867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wind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8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这里很重要：同一帧以及相邻帧（t≤1）不按这个窗口剪掉；对于更远的帧，窗口至少保留一个 block 大小 B_s，但会随着 t 增大逐渐变窄。</w:t>
      </w:r>
    </w:p>
    <w:p>
      <w:pPr>
        <w:pStyle w:val="Heading2"/>
      </w:pPr>
      <w:r>
        <w:t>3.3 远帧不只是“窗口变窄”，还会跳着保留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5678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λ 是 long-range factor。它控制远距离帧对保留得多不多。距离越远，s_f(t) 通常越大，于是只有满足 t mod s_f(t)=0 的帧对才继续往下走。也就是说，远帧不仅连接区域变小，而且连“哪些远帧对需要参与”都在变稀疏。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531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andid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P(i,j) 就是最终进入下一阶段筛选的 token-pair 候选集合。u、v 是两帧内部的 token 索引。直观上，它限制了“第 i 帧的某个位置，只先去看第 j 帧附近的一段位置”，而不是先把整张 QK 全算出来再删。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Noto Serif CJK SC"/>
                <w:b/>
              </w:rPr>
              <w:t>这里的 radial locality 到底是什么意思：</w:t>
            </w:r>
            <w:r>
              <w:rPr>
                <w:rFonts w:ascii="Times New Roman" w:hAnsi="Times New Roman" w:eastAsia="Noto Serif CJK SC"/>
              </w:rPr>
              <w:t>它不是一句“局部注意力”。更准确地说，是“帧越远 → 允许连接的空间窗口越窄；同时远帧对本身也越来越稀疏”。这两层规则共同构成候选集。</w:t>
            </w:r>
          </w:p>
        </w:tc>
      </w:tr>
    </w:tbl>
    <w:p>
      <w:pPr>
        <w:spacing w:after="0"/>
      </w:pPr>
    </w:p>
    <w:p>
      <w:pPr>
        <w:pStyle w:val="Heading1"/>
      </w:pPr>
      <w:r>
        <w:t>4. Static-ratio：不看 QK 分数，只在候选区内按比例抽</w:t>
      </w:r>
    </w:p>
    <w:p>
      <w:r>
        <w:rPr>
          <w:rFonts w:ascii="Times New Roman" w:hAnsi="Times New Roman" w:eastAsia="Noto Serif CJK SC"/>
          <w:b w:val="0"/>
        </w:rPr>
        <w:t>Static-ratio 的“static”不是说整张 mask 永远完全一样，而是说它不根据当前输入的 Q/K 内容计算重要性分数。候选集由几何/时间规则决定，然后按固定比例 ρ 从候选集合 P(i,j) 中抽取连接。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432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tat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26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时间关系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保留规则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含义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t≤1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ρ=1.0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同帧/相邻帧对应的候选连接不再二次裁剪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t&gt;1 且 L(t)≥B_s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ρ=ρ₁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相对“近”的远帧区域按第一档比例保留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t&gt;1 且 L(t)&lt;B_s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ρ=ρ₂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更远、更窄的区域按第二档比例保留</w:t>
            </w:r>
          </w:p>
        </w:tc>
      </w:tr>
    </w:tbl>
    <w:p>
      <w:r>
        <w:rPr>
          <w:rFonts w:ascii="Times New Roman" w:hAnsi="Times New Roman" w:eastAsia="Noto Serif CJK SC"/>
          <w:b w:val="0"/>
        </w:rPr>
        <w:t>论文用 deterministic seed 做均匀采样，因此它的优势是：不需要额外算 QK proxy，mask 可以很便宜地生成甚至缓存。代价是：它不知道某个候选连接在当前视频里到底重要不重要。</w:t>
      </w:r>
    </w:p>
    <w:p>
      <w:pPr>
        <w:pStyle w:val="Heading1"/>
      </w:pPr>
      <w:r>
        <w:t>5. Dynamic-threshold：候选区不变，但候选区内看 QK 内容</w:t>
      </w:r>
    </w:p>
    <w:p>
      <w:r>
        <w:rPr>
          <w:rFonts w:ascii="Times New Roman" w:hAnsi="Times New Roman" w:eastAsia="Noto Serif CJK SC"/>
          <w:b w:val="0"/>
        </w:rPr>
        <w:t>Dynamic-threshold 并没有抛弃前面的 radial 候选集。它只是把 Static-ratio 的“按比例抽”换成了“先打分，再过阈值”。因此动态性只发生在候选集内部。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88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这里 s(u,v) 是 pre-softmax 的缩放点积。为了不把 32 个 head 都拿来做筛选，论文只取 H_f=2 个 head 做 proxy，再对它们求平均。这是工程上的低成本近似，并不是理论上必须取 2 个 head。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498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n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9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每个候选集合 P(i,j) 内先做 z-score 标准化，再和阈值比较。这样 τ₁、τ₂ 可以跨层/跨 prompt 共用得更稳定。若某个候选集合一个连接都没过阈值，论文保留最高分连接作为 fallback，避免整块完全断掉。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Noto Serif CJK SC"/>
                <w:b/>
              </w:rPr>
              <w:t>Static 和 Dynamic 的真正区别：</w:t>
            </w:r>
            <w:r>
              <w:rPr>
                <w:rFonts w:ascii="Times New Roman" w:hAnsi="Times New Roman" w:eastAsia="Noto Serif CJK SC"/>
              </w:rPr>
              <w:t>Static-ratio：候选集合里“不看内容，按比例抽”。Dynamic-threshold：候选集合里“看当前 Q/K 的 pre-softmax proxy，超过阈值才留”。两者前面的候选集生成规则相同，后面的 block 聚合规则也相同。</w:t>
            </w:r>
          </w:p>
        </w:tc>
      </w:tr>
    </w:tbl>
    <w:p>
      <w:pPr>
        <w:spacing w:after="0"/>
      </w:pPr>
    </w:p>
    <w:p>
      <w:pPr>
        <w:pStyle w:val="Heading1"/>
      </w:pPr>
      <w:r>
        <w:t>6. 最后不是按 token 零散算，而是汇总成 block-sparse mask</w:t>
      </w:r>
    </w:p>
    <w:p>
      <w:r>
        <w:rPr>
          <w:rFonts w:ascii="Times New Roman" w:hAnsi="Times New Roman" w:eastAsia="Noto Serif CJK SC"/>
          <w:b w:val="0"/>
        </w:rPr>
        <w:t>论文明确把 token-level 的保留连接聚合成 block mask。对于一个 block：先统计每一列中有多少 token link 被保留；列内保留比例超过 θ_c，就把这一列记为 active。随后统计 block 里 active column 的比例；如果超过 θ_m，就激活整个 block。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参数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控制什么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数值变大后的效果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θ_c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一列要有多“密”才算 active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更难成为 active column，mask 更稀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θ_m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一个 block 里要有多少 active column 才保留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更难激活 block，mask 更稀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B_s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最终 kernel 的 block 粒度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论文支持 32/64/128；主实验 FlashInfer 用 32</w:t>
            </w:r>
          </w:p>
        </w:tc>
      </w:tr>
    </w:tbl>
    <w:p>
      <w:r>
        <w:rPr>
          <w:rFonts w:ascii="Times New Roman" w:hAnsi="Times New Roman" w:eastAsia="Noto Serif CJK SC"/>
          <w:b w:val="0"/>
        </w:rPr>
        <w:t>所以最终 GPU 看到的并不是一堆随机 token 索引，而是一个规则的 block-sparse mask M_b。Static-ratio 和 Dynamic-threshold 最终都要走到这一步，这就是论文强调 kernel-friendly 的原因。</w:t>
      </w:r>
    </w:p>
    <w:p>
      <w:pPr>
        <w:pStyle w:val="Heading1"/>
      </w:pPr>
      <w:r>
        <w:t>7. Offline BO 到底在搜什么</w:t>
      </w:r>
    </w:p>
    <w:p>
      <w:r>
        <w:rPr>
          <w:rFonts w:ascii="Times New Roman" w:hAnsi="Times New Roman" w:eastAsia="Noto Serif CJK SC"/>
          <w:b w:val="0"/>
        </w:rPr>
        <w:t>Bayesian Optimization 不是训练一个新的注意力网络。它做的事情更像“离线自动调参”：对不同运动场景，搜索一套既满足目标稀疏率、又尽量接近 dense attention 的参数。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5768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第一项要求 sparse attention 尽量接近 dense attention；第二项只在实际稀疏率 S(x) 低于目标 T 时处罚。论文补充材料给出的目标稀疏率 τ/T 约为 0.80，α=10。TPE 通常约 30 次 trial，proxy 搜索约 15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类别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会被 BO 搜的参数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作用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公共结构参数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γ, λ, θ_m, θ_c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窗口衰减、远程帧对密度、token→block 聚合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Static-ratio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ρ₁, ρ₂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候选集内固定保留比例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Dynamic-threshold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τ₁, τ₂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候选集内 QK proxy 的通过阈值</w:t>
            </w:r>
          </w:p>
        </w:tc>
      </w:tr>
    </w:tbl>
    <w:p>
      <w:r>
        <w:rPr>
          <w:rFonts w:ascii="Times New Roman" w:hAnsi="Times New Roman" w:eastAsia="Noto Serif CJK SC"/>
          <w:b w:val="0"/>
        </w:rPr>
        <w:t>论文 Table 2 给出了 Low/Mid/High 三类运动下两种模式各自的 BO 最优参数。它说明“运动更大时通常需要更密的远程连接”，但这是一组搜索结果，不是由某条理论定理直接推出的固定规则。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Motion</w:t>
            </w:r>
          </w:p>
        </w:tc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Mode</w:t>
            </w:r>
          </w:p>
        </w:tc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γ</w:t>
            </w:r>
          </w:p>
        </w:tc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λ</w:t>
            </w:r>
          </w:p>
        </w:tc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θ_m</w:t>
            </w:r>
          </w:p>
        </w:tc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θ_c</w:t>
            </w:r>
          </w:p>
        </w:tc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Near</w:t>
            </w:r>
          </w:p>
        </w:tc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Far</w:t>
            </w:r>
          </w:p>
        </w:tc>
        <w:tc>
          <w:tcPr>
            <w:tcW w:type="dxa" w:w="1083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Sparsity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Low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Static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2.0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0.3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0.75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0.20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ρ₁=0.25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ρ₂=0.55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86.6%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Low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Dynamic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1.3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0.4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0.70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0.45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τ₁=-1.2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τ₂=2.4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82.7%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Mid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Static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1.3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0.7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0.60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0.15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ρ₁=0.75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ρ₂=0.55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84.0%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Mid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Dynamic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1.4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0.7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0.70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0.45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τ₁=-1.5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τ₂=2.0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80.6%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High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Static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1.6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0.8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0.65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0.15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ρ₁=0.55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ρ₂=0.50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81.7%</w:t>
            </w:r>
          </w:p>
        </w:tc>
      </w:tr>
      <w:tr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High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Dynamic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1.6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0.9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0.55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0.40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τ₁=-2.0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τ₂=2.4</w:t>
            </w:r>
          </w:p>
        </w:tc>
        <w:tc>
          <w:tcPr>
            <w:tcW w:type="dxa" w:w="108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77.9%</w:t>
            </w:r>
          </w:p>
        </w:tc>
      </w:tr>
    </w:tbl>
    <w:p>
      <w:pPr>
        <w:pStyle w:val="Heading1"/>
      </w:pPr>
      <w:r>
        <w:t>8. Semantic Motion Router：它真正做的只是“查哪一套表”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5137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rou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推理时，视频模型本来就会先把 prompt 编码成 text embedding。DynamicRad 把这个已有 embedding 做 pooling，再过一个 2-layer MLP，输出一个 0~1 的 motion score，然后离散成 Low / Mid / High。</w:t>
      </w:r>
    </w:p>
    <w:p>
      <w:r>
        <w:rPr>
          <w:rFonts w:ascii="Times New Roman" w:hAnsi="Times New Roman" w:eastAsia="Noto Serif CJK SC"/>
          <w:b w:val="0"/>
        </w:rPr>
        <w:t>这个 router 的训练标签来自视频相邻帧的平均 optical flow：先用真实视频算运动强度，再训练 MLP 让“文本语义”预测对应的运动级别。推理时它只看 prompt embedding，不去看生成到第几帧、也不在线计算真实 optical flow。论文报告 router 每个视频只运行一次，&lt;2 ms。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8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Noto Serif CJK SC"/>
                <w:b/>
              </w:rPr>
              <w:t>最容易讲错的地方：</w:t>
            </w:r>
            <w:r>
              <w:rPr>
                <w:rFonts w:ascii="Times New Roman" w:hAnsi="Times New Roman" w:eastAsia="Noto Serif CJK SC"/>
              </w:rPr>
              <w:t>不要说“它实时根据生成视频的运动强度改变稀疏模式”。论文当前版本是“从文本 prompt 预测一个全局运动 regime，然后从离线 BO lookup table 取配置”。这也是论文自己承认的限制：多阶段运动或语义模糊时，一个全局 regime 可能不够。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Noto Serif CJK SC"/>
          <w:b w:val="0"/>
        </w:rPr>
        <w:t>另外，Table 2 实际上为 Low/Mid/High 在 Static 和 Dynamic 两种 mode 下都给了配置。因此最严谨的说法是：router 的核心职责是确定 motion regime，并据此索引 BO 配置；论文的部署示例倾向于低运动使用更激进的 static mask、高运动使用 dynamic mask，但不能把整个方法简化成“运动强度直接决定速度模式还是质量模式”。</w:t>
      </w:r>
    </w:p>
    <w:p>
      <w:pPr>
        <w:pStyle w:val="Heading1"/>
      </w:pPr>
      <w:r>
        <w:t>9. Mask-Aware LoRA 是可选补偿，不是核心稀疏算法</w:t>
      </w:r>
    </w:p>
    <w:p>
      <w:r>
        <w:rPr>
          <w:rFonts w:ascii="Times New Roman" w:hAnsi="Times New Roman" w:eastAsia="Noto Serif CJK SC"/>
          <w:b w:val="0"/>
        </w:rPr>
        <w:t>当稀疏率很高时，即使 mask 构造合理，也可能损失时序一致性。论文因此提供一个可选的 LoRA：保持 backbone 冻结，只在 selector 相关投影（若实现）以及 Q/K projection 上加 LoRA，让 QK 的分数几何更适应已经被稀疏化的连接结构。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52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mask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它的作用是“让模型适应这个 mask”，而不是决定 mask 本身。论文主实验里 mask-aware LoRA 的 rank 为 16，训练 1k steps。标准长度设置可以按 training-free 稀疏机制评估；长上下文场景还沿用了相应长上下文微调设置。</w:t>
      </w:r>
    </w:p>
    <w:p>
      <w:pPr>
        <w:pStyle w:val="Heading1"/>
      </w:pPr>
      <w:r>
        <w:t>10. 为什么它能加速：结构先把搜索空间砍掉，再给 GPU 一个块状 mask</w:t>
      </w:r>
    </w:p>
    <w:p>
      <w:r>
        <w:rPr>
          <w:rFonts w:ascii="Times New Roman" w:hAnsi="Times New Roman" w:eastAsia="Noto Serif CJK SC"/>
          <w:b w:val="0"/>
        </w:rPr>
        <w:t>Dense attention 随帧数 N_f 呈平方增长。DynamicRad 在 radial-decay 近似下，把单个 query 需要关注的远程范围压到随 ln N_f 增长：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5137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ompl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Noto Serif CJK SC"/>
          <w:b w:val="0"/>
        </w:rPr>
        <w:t>这个复杂度分析依赖论文的 radial-decay 近似，并且没有把 split rule 和 block aggregation 的常数细节全部展开，所以应该理解为“说明长视频越长，结构化稀疏越有渐近优势”，而不是精确的真实 GPU 延迟公式。</w:t>
      </w:r>
    </w:p>
    <w:p>
      <w:r>
        <w:rPr>
          <w:rFonts w:ascii="Times New Roman" w:hAnsi="Times New Roman" w:eastAsia="Noto Serif CJK SC"/>
          <w:b w:val="0"/>
        </w:rPr>
        <w:t>工程上，Dynamic mode 只用 2/32 heads 做 proxy；论文的 H100 micro-benchmark 报告 dynamic QK scoring 约 0.37 ms/layer，mask aggregation 理论约 0.5 ms，而 dense GEMM 在该长序列设置下约 25 ms/layer。Static mode 的 mask 可以缓存，额外 scoring 基本没有。</w:t>
      </w:r>
    </w:p>
    <w:p>
      <w:pPr>
        <w:pStyle w:val="Heading1"/>
      </w:pPr>
      <w:r>
        <w:t>11. 哪些是论文证明/公式，哪些只是经验选择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内容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性质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应该怎么讲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Radial window / split rule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方法设计 + 结构假设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作者假设远距离依赖总体衰减，并把它编码成窗口和跳帧规则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复杂度从 N_f 线性接收域降到 ln N_f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理论分析（在 radial-decay 近似下）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能说明渐近优势，但不等于真实硬件速度严格按该式增长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H_f=2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工程启发式/经验设置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不是理论最优，只是为降低在线评分成本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γ, λ, θ_c, θ_m, ρ/τ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BO 搜索结果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不是手工固定规律，不同分辨率/硬件可能需要重搜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Low/Mid/High motion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router 的离散部署设计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由文本 embedding 预测，全视频只给一个 regime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High motion 更适合 dynamic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实验/BO 结果支持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论文的 proxy 和可视化支持，但不是对所有视频的数学定理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Mask-Aware LoRA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可选训练增强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用于补偿 aggressive sparsity，不是生成 mask 的必要条件</w:t>
            </w:r>
          </w:p>
        </w:tc>
      </w:tr>
    </w:tbl>
    <w:p>
      <w:pPr>
        <w:pStyle w:val="Heading1"/>
      </w:pPr>
      <w:r>
        <w:t>12. 最后应该怎么给别人讲这篇论文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Noto Serif CJK SC"/>
                <w:b/>
              </w:rPr>
              <w:t>推荐表述：</w:t>
            </w:r>
            <w:r>
              <w:rPr>
                <w:rFonts w:ascii="Times New Roman" w:hAnsi="Times New Roman" w:eastAsia="Noto Serif CJK SC"/>
              </w:rPr>
              <w:t>DynamicRad 先利用帧间距离构造一个结构化候选 Attention 区域：越远的帧，只保留更稀疏的帧对，并把空间连接限制在更窄的窗口。然后在候选区域内部，它提供两种筛选办法：Static-ratio 不计算内容分数，按预设比例抽取连接；Dynamic-threshold 用少量 attention heads 的 pre-softmax QK 分数做阈值筛选。筛完后的 token 连接再汇总成固定 block size 的 mask，交给块稀疏 kernel 计算。不同运动场景需要的 γ、λ、ρ/τ 等参数由离线 BO 提前搜好，推理时只用 prompt embedding 的轻量 MLP 判断 Low/Mid/High motion 并查表，不需要在线重新调参。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Noto Serif CJK SC"/>
          <w:b w:val="0"/>
        </w:rPr>
        <w:t>这比“用 radial locality 做候选集，再在静态极速和动态保真之间按视频运动强度选配置”更准确，因为它明确回答了：候选集怎么构造、两种模式到底差在哪、为什么最后仍然能按 block 利用 GPU、运动路由器到底输入什么、离线 BO 到底搜什么。</w:t>
      </w:r>
    </w:p>
    <w:p>
      <w:pPr>
        <w:pStyle w:val="Heading1"/>
      </w:pPr>
      <w:r>
        <w:t>附：关键参数速查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符号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含义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Times New Roman" w:hAnsi="Times New Roman" w:eastAsia="Noto Serif CJK SC"/>
                <w:b/>
                <w:sz w:val="20"/>
              </w:rPr>
              <w:t>最直接的直觉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N_f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视频帧数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越大，全注意力越贵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N_t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每帧 token 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决定单帧空间规模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B_s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block size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GPU 稀疏 kernel 粒度，32/64/128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γ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radial decay factor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越大，远帧空间窗口更宽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λ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long-range factor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越大，远距离帧对保留得更密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ρ₁,ρ₂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Static 模式保留比例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候选区内按多少比例抽连接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τ₁,τ₂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Dynamic 模式阈值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候选区内 QK proxy 要多高才留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θ_c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column density threshold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列级 token link 聚合门槛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θ_m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mask/block threshold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block 是否激活的门槛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H_f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proxy heads 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Noto Serif CJK SC"/>
                <w:sz w:val="19"/>
              </w:rPr>
              <w:t>论文固定为 2，降低 QK 评分开销</w:t>
            </w:r>
          </w:p>
        </w:tc>
      </w:tr>
    </w:tbl>
    <w:p>
      <w:pPr>
        <w:spacing w:before="200"/>
      </w:pPr>
      <w:r>
        <w:rPr>
          <w:rFonts w:ascii="Times New Roman" w:hAnsi="Times New Roman" w:eastAsia="Noto Serif CJK SC"/>
          <w:i/>
          <w:sz w:val="19"/>
        </w:rPr>
        <w:t>依据：用户提供的 DynamicRad.pdf（方法 Sec. 3.1–3.4、Algorithm 1、Appendix A–C、Table 2–5）。本文档只按论文当前版本整理；对论文没有证明的内容，已明确标为经验/启发式。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/>
        <w:sz w:val="18"/>
      </w:rPr>
      <w:t>DynamicRad 方法讲解（重写版）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imes New Roman" w:hAnsi="Times New Roman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erif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强调">
    <w:name w:val="正文强调"/>
    <w:pPr>
      <w:spacing w:after="80"/>
    </w:pPr>
    <w:rPr>
      <w:rFonts w:ascii="Times New Roman" w:hAnsi="Times New Roman" w:eastAsia="Noto Serif CJK SC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