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INVENTION DISCLOSURE FORM (IDF)</w:t>
      </w:r>
    </w:p>
    <w:p>
      <w:pPr>
        <w:jc w:val="center"/>
      </w:pPr>
      <w:r>
        <w:rPr>
          <w:i/>
          <w:sz w:val="20"/>
        </w:rPr>
        <w:t>Strictly Confidential</w:t>
      </w:r>
    </w:p>
    <w:p>
      <w:pPr>
        <w:jc w:val="center"/>
      </w:pPr>
      <w:r>
        <w:rPr>
          <w:b/>
          <w:sz w:val="20"/>
        </w:rPr>
        <w:t xml:space="preserve">Email: </w:t>
      </w:r>
      <w:r>
        <w:rPr>
          <w:color w:val="0563C1"/>
          <w:sz w:val="20"/>
          <w:u w:val="single"/>
        </w:rPr>
        <w:t>patents@cumail.in</w:t>
      </w:r>
    </w:p>
    <w:p/>
    <w:tbl>
      <w:tblPr>
        <w:tblStyle w:val="TableGrid"/>
        <w:tblW w:type="auto" w:w="0"/>
        <w:tblLook w:firstColumn="1" w:firstRow="1" w:lastColumn="0" w:lastRow="0" w:noHBand="0" w:noVBand="1" w:val="04A0"/>
      </w:tblPr>
      <w:tblGrid>
        <w:gridCol w:w="8640"/>
      </w:tblGrid>
      <w:tr>
        <w:tc>
          <w:tcPr>
            <w:tcW w:type="dxa" w:w="8640"/>
            <w:shd w:val="clear" w:color="auto" w:fill="F2F2F2"/>
          </w:tcPr>
          <w:p>
            <w:r/>
            <w:r>
              <w:rPr>
                <w:b/>
                <w:sz w:val="20"/>
              </w:rPr>
              <w:t>INSTRUCTIONS:</w:t>
            </w:r>
          </w:p>
          <w:p>
            <w:r>
              <w:rPr>
                <w:sz w:val="20"/>
              </w:rPr>
              <w:t>1. Go to File → Download → Microsoft Word (.docx)</w:t>
            </w:r>
          </w:p>
          <w:p>
            <w:r>
              <w:rPr>
                <w:sz w:val="20"/>
              </w:rPr>
              <w:t>2. Download the IDF in your local storage</w:t>
            </w:r>
          </w:p>
          <w:p>
            <w:r>
              <w:rPr>
                <w:sz w:val="20"/>
              </w:rPr>
              <w:t>3. Explain your invention comprehensively in the form.</w:t>
            </w:r>
          </w:p>
          <w:p>
            <w:r>
              <w:rPr>
                <w:sz w:val="20"/>
              </w:rPr>
              <w:t>4. Save your IDF file with the name of the Title of your invention. eg: "A Smart Electric Kettle"</w:t>
            </w:r>
          </w:p>
          <w:p>
            <w:r>
              <w:rPr>
                <w:sz w:val="20"/>
              </w:rPr>
              <w:t>5. Upload the duly filled IDF below.</w:t>
            </w:r>
          </w:p>
        </w:tc>
      </w:tr>
    </w:tbl>
    <w:p/>
    <w:p>
      <w:pPr>
        <w:pStyle w:val="Heading2"/>
      </w:pPr>
      <w:r>
        <w:rPr>
          <w:b/>
          <w:color w:val="1F3864"/>
          <w:sz w:val="24"/>
        </w:rPr>
        <w:t>INVENTOR DETAIL:</w:t>
      </w:r>
    </w:p>
    <w:tbl>
      <w:tblPr>
        <w:tblStyle w:val="TableGrid"/>
        <w:tblW w:type="auto" w:w="0"/>
        <w:jc w:val="center"/>
        <w:tblLook w:firstColumn="1" w:firstRow="1" w:lastColumn="0" w:lastRow="0" w:noHBand="0" w:noVBand="1" w:val="04A0"/>
      </w:tblPr>
      <w:tblGrid>
        <w:gridCol w:w="4320"/>
        <w:gridCol w:w="4320"/>
      </w:tblGrid>
      <w:tr>
        <w:tc>
          <w:tcPr>
            <w:tcW w:type="dxa" w:w="2880"/>
            <w:shd w:val="clear" w:color="auto" w:fill="EDEDED"/>
          </w:tcPr>
          <w:p>
            <w:r/>
            <w:r>
              <w:rPr>
                <w:b/>
                <w:sz w:val="20"/>
              </w:rPr>
              <w:t>NAME:</w:t>
            </w:r>
          </w:p>
        </w:tc>
        <w:tc>
          <w:tcPr>
            <w:tcW w:type="dxa" w:w="6480"/>
          </w:tcPr>
          <w:p>
            <w:r/>
            <w:r>
              <w:rPr>
                <w:b w:val="0"/>
                <w:sz w:val="20"/>
              </w:rPr>
              <w:t>[To be completed by inventor]</w:t>
            </w:r>
          </w:p>
        </w:tc>
      </w:tr>
      <w:tr>
        <w:tc>
          <w:tcPr>
            <w:tcW w:type="dxa" w:w="2880"/>
            <w:shd w:val="clear" w:color="auto" w:fill="EDEDED"/>
          </w:tcPr>
          <w:p>
            <w:r/>
            <w:r>
              <w:rPr>
                <w:b/>
                <w:sz w:val="20"/>
              </w:rPr>
              <w:t>GENDER:</w:t>
            </w:r>
          </w:p>
        </w:tc>
        <w:tc>
          <w:tcPr>
            <w:tcW w:type="dxa" w:w="6480"/>
          </w:tcPr>
          <w:p>
            <w:r/>
            <w:r>
              <w:rPr>
                <w:b w:val="0"/>
                <w:sz w:val="20"/>
              </w:rPr>
              <w:t>[To be completed]</w:t>
            </w:r>
          </w:p>
        </w:tc>
      </w:tr>
      <w:tr>
        <w:tc>
          <w:tcPr>
            <w:tcW w:type="dxa" w:w="2880"/>
            <w:shd w:val="clear" w:color="auto" w:fill="EDEDED"/>
          </w:tcPr>
          <w:p>
            <w:r/>
            <w:r>
              <w:rPr>
                <w:b/>
                <w:sz w:val="20"/>
              </w:rPr>
              <w:t>EMAIL:</w:t>
            </w:r>
          </w:p>
        </w:tc>
        <w:tc>
          <w:tcPr>
            <w:tcW w:type="dxa" w:w="6480"/>
          </w:tcPr>
          <w:p>
            <w:r/>
            <w:r>
              <w:rPr>
                <w:b w:val="0"/>
                <w:sz w:val="20"/>
              </w:rPr>
              <w:t>[To be completed]</w:t>
            </w:r>
          </w:p>
        </w:tc>
      </w:tr>
      <w:tr>
        <w:tc>
          <w:tcPr>
            <w:tcW w:type="dxa" w:w="2880"/>
            <w:shd w:val="clear" w:color="auto" w:fill="EDEDED"/>
          </w:tcPr>
          <w:p>
            <w:r/>
            <w:r>
              <w:rPr>
                <w:b/>
                <w:sz w:val="20"/>
              </w:rPr>
              <w:t>MOBILE NO:</w:t>
            </w:r>
          </w:p>
        </w:tc>
        <w:tc>
          <w:tcPr>
            <w:tcW w:type="dxa" w:w="6480"/>
          </w:tcPr>
          <w:p>
            <w:r/>
            <w:r>
              <w:rPr>
                <w:b w:val="0"/>
                <w:sz w:val="20"/>
              </w:rPr>
              <w:t>[To be completed]</w:t>
            </w:r>
          </w:p>
        </w:tc>
      </w:tr>
      <w:tr>
        <w:tc>
          <w:tcPr>
            <w:tcW w:type="dxa" w:w="2880"/>
            <w:shd w:val="clear" w:color="auto" w:fill="EDEDED"/>
          </w:tcPr>
          <w:p>
            <w:r/>
            <w:r>
              <w:rPr>
                <w:b/>
                <w:sz w:val="20"/>
              </w:rPr>
              <w:t>DEPARTMENT:</w:t>
            </w:r>
          </w:p>
        </w:tc>
        <w:tc>
          <w:tcPr>
            <w:tcW w:type="dxa" w:w="6480"/>
          </w:tcPr>
          <w:p>
            <w:r/>
            <w:r>
              <w:rPr>
                <w:b w:val="0"/>
                <w:sz w:val="20"/>
              </w:rPr>
              <w:t>[To be completed — e.g., Computer Science / AI Research]</w:t>
            </w:r>
          </w:p>
        </w:tc>
      </w:tr>
      <w:tr>
        <w:tc>
          <w:tcPr>
            <w:tcW w:type="dxa" w:w="2880"/>
            <w:shd w:val="clear" w:color="auto" w:fill="EDEDED"/>
          </w:tcPr>
          <w:p>
            <w:r/>
            <w:r>
              <w:rPr>
                <w:b/>
                <w:sz w:val="20"/>
              </w:rPr>
              <w:t>DESIGNATION:</w:t>
            </w:r>
          </w:p>
        </w:tc>
        <w:tc>
          <w:tcPr>
            <w:tcW w:type="dxa" w:w="6480"/>
          </w:tcPr>
          <w:p>
            <w:r/>
            <w:r>
              <w:rPr>
                <w:b w:val="0"/>
                <w:sz w:val="20"/>
              </w:rPr>
              <w:t>[To be completed]</w:t>
            </w:r>
          </w:p>
        </w:tc>
      </w:tr>
      <w:tr>
        <w:tc>
          <w:tcPr>
            <w:tcW w:type="dxa" w:w="2880"/>
            <w:shd w:val="clear" w:color="auto" w:fill="EDEDED"/>
          </w:tcPr>
          <w:p>
            <w:r/>
            <w:r>
              <w:rPr>
                <w:b/>
                <w:sz w:val="20"/>
              </w:rPr>
              <w:t>SCANNED HAND SIGNATURE:</w:t>
            </w:r>
          </w:p>
        </w:tc>
        <w:tc>
          <w:tcPr>
            <w:tcW w:type="dxa" w:w="6480"/>
          </w:tcPr>
          <w:p>
            <w:r/>
            <w:r>
              <w:rPr>
                <w:b w:val="0"/>
                <w:sz w:val="20"/>
              </w:rPr>
              <w:t>[To be attached]</w:t>
            </w:r>
          </w:p>
        </w:tc>
      </w:tr>
    </w:tbl>
    <w:p/>
    <w:p>
      <w:pPr>
        <w:pStyle w:val="Heading2"/>
      </w:pPr>
      <w:r>
        <w:rPr>
          <w:b/>
          <w:color w:val="1F3864"/>
          <w:sz w:val="24"/>
        </w:rPr>
        <w:t>OTHER INVENTOR DETAIL:</w:t>
      </w:r>
    </w:p>
    <w:tbl>
      <w:tblPr>
        <w:tblStyle w:val="TableGrid"/>
        <w:tblW w:type="auto" w:w="0"/>
        <w:jc w:val="center"/>
        <w:tblLook w:firstColumn="1" w:firstRow="1" w:lastColumn="0" w:lastRow="0" w:noHBand="0" w:noVBand="1" w:val="04A0"/>
      </w:tblPr>
      <w:tblGrid>
        <w:gridCol w:w="4320"/>
        <w:gridCol w:w="4320"/>
      </w:tblGrid>
      <w:tr>
        <w:tc>
          <w:tcPr>
            <w:tcW w:type="dxa" w:w="2880"/>
            <w:shd w:val="clear" w:color="auto" w:fill="EDEDED"/>
          </w:tcPr>
          <w:p>
            <w:r/>
            <w:r>
              <w:rPr>
                <w:b/>
                <w:sz w:val="20"/>
              </w:rPr>
              <w:t>NAME:</w:t>
            </w:r>
          </w:p>
        </w:tc>
        <w:tc>
          <w:tcPr>
            <w:tcW w:type="dxa" w:w="6480"/>
          </w:tcPr>
          <w:p>
            <w:r/>
            <w:r>
              <w:rPr>
                <w:b w:val="0"/>
                <w:sz w:val="20"/>
              </w:rPr>
              <w:t>[To be completed by inventor]</w:t>
            </w:r>
          </w:p>
        </w:tc>
      </w:tr>
      <w:tr>
        <w:tc>
          <w:tcPr>
            <w:tcW w:type="dxa" w:w="2880"/>
            <w:shd w:val="clear" w:color="auto" w:fill="EDEDED"/>
          </w:tcPr>
          <w:p>
            <w:r/>
            <w:r>
              <w:rPr>
                <w:b/>
                <w:sz w:val="20"/>
              </w:rPr>
              <w:t>GENDER:</w:t>
            </w:r>
          </w:p>
        </w:tc>
        <w:tc>
          <w:tcPr>
            <w:tcW w:type="dxa" w:w="6480"/>
          </w:tcPr>
          <w:p>
            <w:r/>
            <w:r>
              <w:rPr>
                <w:b w:val="0"/>
                <w:sz w:val="20"/>
              </w:rPr>
              <w:t>[To be completed]</w:t>
            </w:r>
          </w:p>
        </w:tc>
      </w:tr>
      <w:tr>
        <w:tc>
          <w:tcPr>
            <w:tcW w:type="dxa" w:w="2880"/>
            <w:shd w:val="clear" w:color="auto" w:fill="EDEDED"/>
          </w:tcPr>
          <w:p>
            <w:r/>
            <w:r>
              <w:rPr>
                <w:b/>
                <w:sz w:val="20"/>
              </w:rPr>
              <w:t>EMAIL:</w:t>
            </w:r>
          </w:p>
        </w:tc>
        <w:tc>
          <w:tcPr>
            <w:tcW w:type="dxa" w:w="6480"/>
          </w:tcPr>
          <w:p>
            <w:r/>
            <w:r>
              <w:rPr>
                <w:b w:val="0"/>
                <w:sz w:val="20"/>
              </w:rPr>
              <w:t>[To be completed]</w:t>
            </w:r>
          </w:p>
        </w:tc>
      </w:tr>
      <w:tr>
        <w:tc>
          <w:tcPr>
            <w:tcW w:type="dxa" w:w="2880"/>
            <w:shd w:val="clear" w:color="auto" w:fill="EDEDED"/>
          </w:tcPr>
          <w:p>
            <w:r/>
            <w:r>
              <w:rPr>
                <w:b/>
                <w:sz w:val="20"/>
              </w:rPr>
              <w:t>MOBILE NO:</w:t>
            </w:r>
          </w:p>
        </w:tc>
        <w:tc>
          <w:tcPr>
            <w:tcW w:type="dxa" w:w="6480"/>
          </w:tcPr>
          <w:p>
            <w:r/>
            <w:r>
              <w:rPr>
                <w:b w:val="0"/>
                <w:sz w:val="20"/>
              </w:rPr>
              <w:t>[To be completed]</w:t>
            </w:r>
          </w:p>
        </w:tc>
      </w:tr>
      <w:tr>
        <w:tc>
          <w:tcPr>
            <w:tcW w:type="dxa" w:w="2880"/>
            <w:shd w:val="clear" w:color="auto" w:fill="EDEDED"/>
          </w:tcPr>
          <w:p>
            <w:r/>
            <w:r>
              <w:rPr>
                <w:b/>
                <w:sz w:val="20"/>
              </w:rPr>
              <w:t>DEPARTMENT:</w:t>
            </w:r>
          </w:p>
        </w:tc>
        <w:tc>
          <w:tcPr>
            <w:tcW w:type="dxa" w:w="6480"/>
          </w:tcPr>
          <w:p>
            <w:r/>
            <w:r>
              <w:rPr>
                <w:b w:val="0"/>
                <w:sz w:val="20"/>
              </w:rPr>
              <w:t>[To be completed — e.g., Computer Science / AI Research]</w:t>
            </w:r>
          </w:p>
        </w:tc>
      </w:tr>
      <w:tr>
        <w:tc>
          <w:tcPr>
            <w:tcW w:type="dxa" w:w="2880"/>
            <w:shd w:val="clear" w:color="auto" w:fill="EDEDED"/>
          </w:tcPr>
          <w:p>
            <w:r/>
            <w:r>
              <w:rPr>
                <w:b/>
                <w:sz w:val="20"/>
              </w:rPr>
              <w:t>DESIGNATION:</w:t>
            </w:r>
          </w:p>
        </w:tc>
        <w:tc>
          <w:tcPr>
            <w:tcW w:type="dxa" w:w="6480"/>
          </w:tcPr>
          <w:p>
            <w:r/>
            <w:r>
              <w:rPr>
                <w:b w:val="0"/>
                <w:sz w:val="20"/>
              </w:rPr>
              <w:t>[To be completed]</w:t>
            </w:r>
          </w:p>
        </w:tc>
      </w:tr>
      <w:tr>
        <w:tc>
          <w:tcPr>
            <w:tcW w:type="dxa" w:w="2880"/>
            <w:shd w:val="clear" w:color="auto" w:fill="EDEDED"/>
          </w:tcPr>
          <w:p>
            <w:r/>
            <w:r>
              <w:rPr>
                <w:b/>
                <w:sz w:val="20"/>
              </w:rPr>
              <w:t>SCANNED HAND SIGNATURE:</w:t>
            </w:r>
          </w:p>
        </w:tc>
        <w:tc>
          <w:tcPr>
            <w:tcW w:type="dxa" w:w="6480"/>
          </w:tcPr>
          <w:p>
            <w:r/>
            <w:r>
              <w:rPr>
                <w:b w:val="0"/>
                <w:sz w:val="20"/>
              </w:rPr>
              <w:t>[To be attached]</w:t>
            </w:r>
          </w:p>
        </w:tc>
      </w:tr>
    </w:tbl>
    <w:p/>
    <w:p>
      <w:r>
        <w:br w:type="page"/>
      </w:r>
    </w:p>
    <w:p>
      <w:pPr>
        <w:pStyle w:val="Heading2"/>
      </w:pPr>
      <w:r>
        <w:rPr>
          <w:b/>
          <w:color w:val="1F3864"/>
          <w:sz w:val="24"/>
        </w:rPr>
        <w:t>A) Please enlist the Key concepts and terms/Keywords/Synonyms used in the Invention?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
              <w:rPr>
                <w:b/>
                <w:color w:val="000000"/>
                <w:sz w:val="20"/>
              </w:rPr>
              <w:t>S. No</w:t>
            </w:r>
          </w:p>
        </w:tc>
        <w:tc>
          <w:tcPr>
            <w:tcW w:type="dxa" w:w="2880"/>
            <w:shd w:val="clear" w:color="auto" w:fill="D9E2F3"/>
          </w:tcPr>
          <w:p>
            <w:r/>
            <w:r>
              <w:rPr>
                <w:b/>
                <w:sz w:val="20"/>
              </w:rPr>
              <w:t>Keywords for invention which has to be searched</w:t>
            </w:r>
          </w:p>
        </w:tc>
        <w:tc>
          <w:tcPr>
            <w:tcW w:type="dxa" w:w="2880"/>
            <w:shd w:val="clear" w:color="auto" w:fill="D9E2F3"/>
          </w:tcPr>
          <w:p>
            <w:r/>
            <w:r>
              <w:rPr>
                <w:b/>
                <w:sz w:val="20"/>
              </w:rPr>
              <w:t>Synonyms</w:t>
            </w:r>
          </w:p>
        </w:tc>
      </w:tr>
      <w:tr>
        <w:tc>
          <w:tcPr>
            <w:tcW w:type="dxa" w:w="2880"/>
          </w:tcPr>
          <w:p>
            <w:pPr>
              <w:jc w:val="center"/>
            </w:pPr>
            <w:r/>
            <w:r>
              <w:rPr>
                <w:b w:val="0"/>
                <w:sz w:val="20"/>
              </w:rPr>
              <w:t>1</w:t>
            </w:r>
          </w:p>
        </w:tc>
        <w:tc>
          <w:tcPr>
            <w:tcW w:type="dxa" w:w="2880"/>
          </w:tcPr>
          <w:p>
            <w:r/>
            <w:r>
              <w:rPr>
                <w:b w:val="0"/>
                <w:sz w:val="20"/>
              </w:rPr>
              <w:t>Multi-agent artificial intelligence clinical decision support</w:t>
            </w:r>
          </w:p>
        </w:tc>
        <w:tc>
          <w:tcPr>
            <w:tcW w:type="dxa" w:w="2880"/>
          </w:tcPr>
          <w:p>
            <w:r/>
            <w:r>
              <w:rPr>
                <w:b w:val="0"/>
                <w:sz w:val="20"/>
              </w:rPr>
              <w:t>Multi-specialist AI consultation; AI multidisciplinary tumor board; agentic clinical reasoning system</w:t>
            </w:r>
          </w:p>
        </w:tc>
      </w:tr>
      <w:tr>
        <w:tc>
          <w:tcPr>
            <w:tcW w:type="dxa" w:w="2880"/>
          </w:tcPr>
          <w:p>
            <w:pPr>
              <w:jc w:val="center"/>
            </w:pPr>
            <w:r/>
            <w:r>
              <w:rPr>
                <w:b w:val="0"/>
                <w:sz w:val="20"/>
              </w:rPr>
              <w:t>2</w:t>
            </w:r>
          </w:p>
        </w:tc>
        <w:tc>
          <w:tcPr>
            <w:tcW w:type="dxa" w:w="2880"/>
          </w:tcPr>
          <w:p>
            <w:r/>
            <w:r>
              <w:rPr>
                <w:b w:val="0"/>
                <w:sz w:val="20"/>
              </w:rPr>
              <w:t>Consensus reliability signal</w:t>
            </w:r>
          </w:p>
        </w:tc>
        <w:tc>
          <w:tcPr>
            <w:tcW w:type="dxa" w:w="2880"/>
          </w:tcPr>
          <w:p>
            <w:r/>
            <w:r>
              <w:rPr>
                <w:b w:val="0"/>
                <w:sz w:val="20"/>
              </w:rPr>
              <w:t>Agreement quality metric; consensus trustworthiness score; reliability-of-agreement indicator</w:t>
            </w:r>
          </w:p>
        </w:tc>
      </w:tr>
      <w:tr>
        <w:tc>
          <w:tcPr>
            <w:tcW w:type="dxa" w:w="2880"/>
          </w:tcPr>
          <w:p>
            <w:pPr>
              <w:jc w:val="center"/>
            </w:pPr>
            <w:r/>
            <w:r>
              <w:rPr>
                <w:b w:val="0"/>
                <w:sz w:val="20"/>
              </w:rPr>
              <w:t>3</w:t>
            </w:r>
          </w:p>
        </w:tc>
        <w:tc>
          <w:tcPr>
            <w:tcW w:type="dxa" w:w="2880"/>
          </w:tcPr>
          <w:p>
            <w:r/>
            <w:r>
              <w:rPr>
                <w:b w:val="0"/>
                <w:sz w:val="20"/>
              </w:rPr>
              <w:t>Answer-level agreement vs reasoning-level agreement</w:t>
            </w:r>
          </w:p>
        </w:tc>
        <w:tc>
          <w:tcPr>
            <w:tcW w:type="dxa" w:w="2880"/>
          </w:tcPr>
          <w:p>
            <w:r/>
            <w:r>
              <w:rPr>
                <w:b w:val="0"/>
                <w:sz w:val="20"/>
              </w:rPr>
              <w:t>Outcome consensus vs rationale consensus; surface agreement vs justificatory alignment</w:t>
            </w:r>
          </w:p>
        </w:tc>
      </w:tr>
      <w:tr>
        <w:tc>
          <w:tcPr>
            <w:tcW w:type="dxa" w:w="2880"/>
          </w:tcPr>
          <w:p>
            <w:pPr>
              <w:jc w:val="center"/>
            </w:pPr>
            <w:r/>
            <w:r>
              <w:rPr>
                <w:b w:val="0"/>
                <w:sz w:val="20"/>
              </w:rPr>
              <w:t>4</w:t>
            </w:r>
          </w:p>
        </w:tc>
        <w:tc>
          <w:tcPr>
            <w:tcW w:type="dxa" w:w="2880"/>
          </w:tcPr>
          <w:p>
            <w:r/>
            <w:r>
              <w:rPr>
                <w:b w:val="0"/>
                <w:sz w:val="20"/>
              </w:rPr>
              <w:t>Agreement bias / sycophancy detection</w:t>
            </w:r>
          </w:p>
        </w:tc>
        <w:tc>
          <w:tcPr>
            <w:tcW w:type="dxa" w:w="2880"/>
          </w:tcPr>
          <w:p>
            <w:r/>
            <w:r>
              <w:rPr>
                <w:b w:val="0"/>
                <w:sz w:val="20"/>
              </w:rPr>
              <w:t>Conformity bias; social desirability bias in AI agents; peer-induced belief revision; groupthink detection</w:t>
            </w:r>
          </w:p>
        </w:tc>
      </w:tr>
      <w:tr>
        <w:tc>
          <w:tcPr>
            <w:tcW w:type="dxa" w:w="2880"/>
          </w:tcPr>
          <w:p>
            <w:pPr>
              <w:jc w:val="center"/>
            </w:pPr>
            <w:r/>
            <w:r>
              <w:rPr>
                <w:b w:val="0"/>
                <w:sz w:val="20"/>
              </w:rPr>
              <w:t>5</w:t>
            </w:r>
          </w:p>
        </w:tc>
        <w:tc>
          <w:tcPr>
            <w:tcW w:type="dxa" w:w="2880"/>
          </w:tcPr>
          <w:p>
            <w:r/>
            <w:r>
              <w:rPr>
                <w:b w:val="0"/>
                <w:sz w:val="20"/>
              </w:rPr>
              <w:t>Correlated / shared-model error detection</w:t>
            </w:r>
          </w:p>
        </w:tc>
        <w:tc>
          <w:tcPr>
            <w:tcW w:type="dxa" w:w="2880"/>
          </w:tcPr>
          <w:p>
            <w:r/>
            <w:r>
              <w:rPr>
                <w:b w:val="0"/>
                <w:sz w:val="20"/>
              </w:rPr>
              <w:t>Common-mode failure; systematic bias correlation; non-independent ensemble error; epistemic fault domain</w:t>
            </w:r>
          </w:p>
        </w:tc>
      </w:tr>
      <w:tr>
        <w:tc>
          <w:tcPr>
            <w:tcW w:type="dxa" w:w="2880"/>
          </w:tcPr>
          <w:p>
            <w:pPr>
              <w:jc w:val="center"/>
            </w:pPr>
            <w:r/>
            <w:r>
              <w:rPr>
                <w:b w:val="0"/>
                <w:sz w:val="20"/>
              </w:rPr>
              <w:t>6</w:t>
            </w:r>
          </w:p>
        </w:tc>
        <w:tc>
          <w:tcPr>
            <w:tcW w:type="dxa" w:w="2880"/>
          </w:tcPr>
          <w:p>
            <w:r/>
            <w:r>
              <w:rPr>
                <w:b w:val="0"/>
                <w:sz w:val="20"/>
              </w:rPr>
              <w:t>Minority opinion preservation / dissent report</w:t>
            </w:r>
          </w:p>
        </w:tc>
        <w:tc>
          <w:tcPr>
            <w:tcW w:type="dxa" w:w="2880"/>
          </w:tcPr>
          <w:p>
            <w:r/>
            <w:r>
              <w:rPr>
                <w:b w:val="0"/>
                <w:sz w:val="20"/>
              </w:rPr>
              <w:t>Dissenting agent output; preserved minority view; evidence-ranked dissent ledger</w:t>
            </w:r>
          </w:p>
        </w:tc>
      </w:tr>
      <w:tr>
        <w:tc>
          <w:tcPr>
            <w:tcW w:type="dxa" w:w="2880"/>
          </w:tcPr>
          <w:p>
            <w:pPr>
              <w:jc w:val="center"/>
            </w:pPr>
            <w:r/>
            <w:r>
              <w:rPr>
                <w:b w:val="0"/>
                <w:sz w:val="20"/>
              </w:rPr>
              <w:t>7</w:t>
            </w:r>
          </w:p>
        </w:tc>
        <w:tc>
          <w:tcPr>
            <w:tcW w:type="dxa" w:w="2880"/>
          </w:tcPr>
          <w:p>
            <w:r/>
            <w:r>
              <w:rPr>
                <w:b w:val="0"/>
                <w:sz w:val="20"/>
              </w:rPr>
              <w:t>Adaptive case routing engine</w:t>
            </w:r>
          </w:p>
        </w:tc>
        <w:tc>
          <w:tcPr>
            <w:tcW w:type="dxa" w:w="2880"/>
          </w:tcPr>
          <w:p>
            <w:r/>
            <w:r>
              <w:rPr>
                <w:b w:val="0"/>
                <w:sz w:val="20"/>
              </w:rPr>
              <w:t>Decision routing; disposition selector; consensus-triggered escalation</w:t>
            </w:r>
          </w:p>
        </w:tc>
      </w:tr>
      <w:tr>
        <w:tc>
          <w:tcPr>
            <w:tcW w:type="dxa" w:w="2880"/>
          </w:tcPr>
          <w:p>
            <w:pPr>
              <w:jc w:val="center"/>
            </w:pPr>
            <w:r/>
            <w:r>
              <w:rPr>
                <w:b w:val="0"/>
                <w:sz w:val="20"/>
              </w:rPr>
              <w:t>8</w:t>
            </w:r>
          </w:p>
        </w:tc>
        <w:tc>
          <w:tcPr>
            <w:tcW w:type="dxa" w:w="2880"/>
          </w:tcPr>
          <w:p>
            <w:r/>
            <w:r>
              <w:rPr>
                <w:b w:val="0"/>
                <w:sz w:val="20"/>
              </w:rPr>
              <w:t>Targeted evidence acquisition trigger</w:t>
            </w:r>
          </w:p>
        </w:tc>
        <w:tc>
          <w:tcPr>
            <w:tcW w:type="dxa" w:w="2880"/>
          </w:tcPr>
          <w:p>
            <w:r/>
            <w:r>
              <w:rPr>
                <w:b w:val="0"/>
                <w:sz w:val="20"/>
              </w:rPr>
              <w:t>Active information gathering; test/imaging/lab recommendation trigger; value-of-information query</w:t>
            </w:r>
          </w:p>
        </w:tc>
      </w:tr>
      <w:tr>
        <w:tc>
          <w:tcPr>
            <w:tcW w:type="dxa" w:w="2880"/>
          </w:tcPr>
          <w:p>
            <w:pPr>
              <w:jc w:val="center"/>
            </w:pPr>
            <w:r/>
            <w:r>
              <w:rPr>
                <w:b w:val="0"/>
                <w:sz w:val="20"/>
              </w:rPr>
              <w:t>9</w:t>
            </w:r>
          </w:p>
        </w:tc>
        <w:tc>
          <w:tcPr>
            <w:tcW w:type="dxa" w:w="2880"/>
          </w:tcPr>
          <w:p>
            <w:r/>
            <w:r>
              <w:rPr>
                <w:b w:val="0"/>
                <w:sz w:val="20"/>
              </w:rPr>
              <w:t>Per-agent evidence-linked audit record</w:t>
            </w:r>
          </w:p>
        </w:tc>
        <w:tc>
          <w:tcPr>
            <w:tcW w:type="dxa" w:w="2880"/>
          </w:tcPr>
          <w:p>
            <w:r/>
            <w:r>
              <w:rPr>
                <w:b w:val="0"/>
                <w:sz w:val="20"/>
              </w:rPr>
              <w:t>Explainable audit trail; agent-level provenance log; liability attribution ledger; hash-chained decision log</w:t>
            </w:r>
          </w:p>
        </w:tc>
      </w:tr>
    </w:tbl>
    <w:p>
      <w:r>
        <w:br w:type="page"/>
      </w:r>
    </w:p>
    <w:p>
      <w:pPr>
        <w:pStyle w:val="Heading1"/>
      </w:pPr>
      <w:r>
        <w:rPr>
          <w:b/>
          <w:color w:val="1F3864"/>
          <w:sz w:val="28"/>
        </w:rPr>
        <w:t>1. TITLE OF INVENTION (15 words max)</w:t>
      </w:r>
    </w:p>
    <w:p>
      <w:pPr>
        <w:spacing w:after="160"/>
      </w:pPr>
      <w:r>
        <w:rPr>
          <w:b/>
          <w:i w:val="0"/>
          <w:sz w:val="22"/>
        </w:rPr>
        <w:t>A Method and System for Cause-Discriminated Consensus Reliability Assessment and Adaptive Case Routing in Multi-Specialist Medical AI.</w:t>
      </w:r>
    </w:p>
    <w:p>
      <w:pPr>
        <w:pStyle w:val="Heading1"/>
      </w:pPr>
      <w:r>
        <w:rPr>
          <w:b/>
          <w:color w:val="1F3864"/>
          <w:sz w:val="28"/>
        </w:rPr>
        <w:t>2. PROBLEM STATEMENT &amp; BACKGROUND</w:t>
      </w:r>
    </w:p>
    <w:p>
      <w:pPr>
        <w:pStyle w:val="Heading2"/>
      </w:pPr>
      <w:r>
        <w:rPr>
          <w:b/>
          <w:color w:val="1F3864"/>
          <w:sz w:val="24"/>
        </w:rPr>
        <w:t>Problem Statement:</w:t>
      </w:r>
    </w:p>
    <w:p>
      <w:pPr>
        <w:spacing w:after="160"/>
      </w:pPr>
      <w:r>
        <w:rPr>
          <w:b w:val="0"/>
          <w:i w:val="0"/>
          <w:sz w:val="22"/>
        </w:rPr>
        <w:t>Hospitals and health-tech platforms are increasingly deploying teams of AI "specialist" programs (for example, a neurosurgeon-agent, an oncologist-agent, and a radiologist-agent) that jointly review a patient's case and produce a single combined opinion for the treating clinician. Today, when these programs agree with one another, the system treats that agreement as proof that the answer is correct, and it simply blends the individual opinions into one confidence-weighted final answer.</w:t>
      </w:r>
    </w:p>
    <w:p>
      <w:pPr>
        <w:spacing w:after="160"/>
      </w:pPr>
      <w:r>
        <w:rPr>
          <w:b w:val="0"/>
          <w:i w:val="0"/>
          <w:sz w:val="22"/>
        </w:rPr>
        <w:t>This is a problem because agreement between AI programs does not always mean the answer is right. Three situations are routinely mistaken for genuine, trustworthy agreement: (i) the AI programs may be agreeing with each other simply because each one is designed to be agreeable and defers to what the others already said, rather than because the medical evidence actually supports that conclusion; (ii) the AI programs may all have been built from similar underlying technology and may therefore share the same blind spot, so they all make the identical mistake together and "confirm" each other's error; and (iii) one AI specialist may have quietly identified the correct, less obvious answer, but its dissenting view gets outvoted and discarded during blending, even though it was the one that was right. In all three situations the clinician receives what looks like a confident, unanimous recommendation, when in fact that confidence is unearned.</w:t>
      </w:r>
    </w:p>
    <w:p>
      <w:pPr>
        <w:spacing w:after="160"/>
      </w:pPr>
      <w:r>
        <w:rPr>
          <w:b w:val="0"/>
          <w:i w:val="0"/>
          <w:sz w:val="22"/>
        </w:rPr>
        <w:t>This matters because the people affected are patients and the treating clinicians and hospitals who are legally and medically responsible for the final decision. A wrong but confident-looking AI recommendation in surgery, oncology, or radiology can lead to a missed diagnosis, an unnecessary procedure, or a delayed treatment. When something goes wrong, hospitals and regulators also need to know exactly which AI specialist said what, and why the team reached the conclusion it did, so that responsibility can be fairly assigned; today's blended, single-answer outputs do not preserve that information.</w:t>
      </w:r>
    </w:p>
    <w:p>
      <w:pPr>
        <w:spacing w:after="160"/>
      </w:pPr>
      <w:r>
        <w:rPr>
          <w:b w:val="0"/>
          <w:i w:val="0"/>
          <w:sz w:val="22"/>
        </w:rPr>
        <w:t>Current multi-agent medical AI products are not sufficient because they are built to produce one tidy answer as quickly as possible. They have no built-in way of telling the difference between "the specialists agree because the evidence genuinely supports it" and "the specialists agree because they are echoing each other or sharing the same flaw." They also do not have a standard, automatic way of deciding what to do next when a disagreement is detected — whether to trust the majority, show the dissenting opinion to the doctor, or simply order another scan or test to settle the question — and they do not keep a detailed, tamper-resistant record of each individual specialist's reasoning that a hospital could later use to establish liability.</w:t>
      </w:r>
    </w:p>
    <w:p>
      <w:pPr>
        <w:pStyle w:val="Heading2"/>
      </w:pPr>
      <w:r>
        <w:rPr>
          <w:b/>
          <w:color w:val="1F3864"/>
          <w:sz w:val="24"/>
        </w:rPr>
        <w:t>Existing Solutions / Prior Methods (if known):</w:t>
      </w:r>
    </w:p>
    <w:p>
      <w:pPr>
        <w:pStyle w:val="ListBullet"/>
      </w:pPr>
      <w:r>
        <w:rPr>
          <w:sz w:val="22"/>
        </w:rPr>
        <w:t>Confidence-weighted voting / consensus-matrix multi-agent medical systems (e.g., research systems combining oncologist, radiologist, nurse, and other specialist AI agents using statistical agreement measures such as Kendall's coefficient of concordance) collapse all opinions into one final recommendation and do not distinguish why the agents agree.</w:t>
      </w:r>
    </w:p>
    <w:p>
      <w:pPr>
        <w:pStyle w:val="ListBullet"/>
      </w:pPr>
      <w:r>
        <w:rPr>
          <w:sz w:val="22"/>
        </w:rPr>
        <w:t>Cross-agent "reasoning alignment" research metrics (e.g., academic proposals that compare whether agents who reach the same answer used similar reasoning) can flag that reasoning differs, but they are offline scoring tools — they do not decide what the clinical system should then do (commit, escalate, or order new evidence), and they are not tied to an audit or liability record.</w:t>
      </w:r>
    </w:p>
    <w:p>
      <w:pPr>
        <w:pStyle w:val="ListBullet"/>
      </w:pPr>
      <w:r>
        <w:rPr>
          <w:sz w:val="22"/>
        </w:rPr>
        <w:t>Non-interventional audit frameworks for medical multi-agent systems catalogue failure patterns after the fact (e.g., "minority suppression," "authority bias," agents repeating their initial view without re-checking evidence) but do not change how the live system behaves in the case under review; they are retrospective research audits, not an operating clinical safety mechanism.</w:t>
      </w:r>
    </w:p>
    <w:p>
      <w:pPr>
        <w:pStyle w:val="ListBullet"/>
      </w:pPr>
      <w:r>
        <w:rPr>
          <w:sz w:val="22"/>
        </w:rPr>
        <w:t>"Dissent-injecting" agent roles (an additional AI agent whose job is to argue against the emerging majority, to keep debate lively) improve discussion quality but do not measure whether resulting agreement is trustworthy, do not distinguish the three root causes above, and do not route the case to a specific remedial action.</w:t>
      </w:r>
    </w:p>
    <w:p>
      <w:pPr>
        <w:pStyle w:val="ListBullet"/>
      </w:pPr>
      <w:r>
        <w:rPr>
          <w:sz w:val="22"/>
        </w:rPr>
        <w:t>General adaptive-routing / "stop-or-escalate" techniques used in non-medical multi-agent AI (deciding whether to keep debating or to stop) are not designed for the medical evidence-ordering context (imaging, labs, retrieval of guidelines) and are not paired with a clinical, liability-grade audit trail.</w:t>
      </w:r>
    </w:p>
    <w:p>
      <w:pPr>
        <w:spacing w:after="160"/>
      </w:pPr>
      <w:r>
        <w:rPr>
          <w:b w:val="0"/>
          <w:i w:val="0"/>
          <w:sz w:val="22"/>
        </w:rPr>
        <w:t>None of the above solutions combine, in one system: a live measurement that tells agreement-because-evidence apart from agreement-because-bias-or-shared-error apart from suppressed-minority-truth; an automatic decision about what to do about it (commit / surface dissent / go get more evidence); and a per-agent audit record detailed enough to support clinical liability attribution. This is the gap the present invention addresses.</w:t>
      </w:r>
    </w:p>
    <w:p>
      <w:pPr>
        <w:pStyle w:val="Heading1"/>
      </w:pPr>
      <w:r>
        <w:rPr>
          <w:b/>
          <w:color w:val="1F3864"/>
          <w:sz w:val="28"/>
        </w:rPr>
        <w:t>3. OBJECTIVE OF THE INVENTION</w:t>
      </w:r>
    </w:p>
    <w:p>
      <w:pPr>
        <w:pStyle w:val="ListBullet"/>
      </w:pPr>
      <w:r>
        <w:rPr>
          <w:sz w:val="22"/>
        </w:rPr>
        <w:t>To provide a method for a multi-specialist medical AI system that measures the reliability of consensus between specialist AI agents, rather than assuming that agreement equals correctness.</w:t>
      </w:r>
    </w:p>
    <w:p>
      <w:pPr>
        <w:pStyle w:val="ListBullet"/>
      </w:pPr>
      <w:r>
        <w:rPr>
          <w:sz w:val="22"/>
        </w:rPr>
        <w:t>To distinguish, using an evidence-based test, whether apparent agreement between AI specialists is genuine (evidence-driven), caused by the agents simply agreeing with each other (agreement bias), caused by a shared/common flaw affecting multiple agents identically (shared-model error), or is masking a correct minority opinion that was outvoted (minority suppression).</w:t>
      </w:r>
    </w:p>
    <w:p>
      <w:pPr>
        <w:pStyle w:val="ListBullet"/>
      </w:pPr>
      <w:r>
        <w:rPr>
          <w:sz w:val="22"/>
        </w:rPr>
        <w:t>To automatically route each medical case, based on the measured reliability and its identified cause, to one of three defined actions: commit a single combined result; surface a preserved, evidence-ranked minority/dissent report to the clinician; or trigger acquisition of specific new evidence (a particular imaging study, laboratory test, or literature/guideline retrieval) that targets exactly the point of disagreement.</w:t>
      </w:r>
    </w:p>
    <w:p>
      <w:pPr>
        <w:pStyle w:val="ListBullet"/>
      </w:pPr>
      <w:r>
        <w:rPr>
          <w:sz w:val="22"/>
        </w:rPr>
        <w:t>To generate, for every case, a per-specialist-agent, evidence-linked audit record that is detailed and tamper-evident enough to support clinical liability attribution if the case is later reviewed.</w:t>
      </w:r>
    </w:p>
    <w:p>
      <w:pPr>
        <w:pStyle w:val="ListBullet"/>
      </w:pPr>
      <w:r>
        <w:rPr>
          <w:sz w:val="22"/>
        </w:rPr>
        <w:t>To reduce the risk of clinicians unknowingly acting on false confidence produced by AI agreement bias or shared systemic error, and to reduce the risk of a correct but minority AI opinion being silently discarded.</w:t>
      </w:r>
    </w:p>
    <w:p>
      <w:r>
        <w:br w:type="page"/>
      </w:r>
    </w:p>
    <w:p>
      <w:pPr>
        <w:pStyle w:val="Heading1"/>
      </w:pPr>
      <w:r>
        <w:rPr>
          <w:b/>
          <w:color w:val="1F3864"/>
          <w:sz w:val="28"/>
        </w:rPr>
        <w:t>4. INVENTION DETAILS</w:t>
      </w:r>
    </w:p>
    <w:p>
      <w:pPr>
        <w:pStyle w:val="Heading2"/>
      </w:pPr>
      <w:r>
        <w:rPr>
          <w:b/>
          <w:color w:val="1F3864"/>
          <w:sz w:val="24"/>
        </w:rPr>
        <w:t>Summary of the Invention:</w:t>
      </w:r>
    </w:p>
    <w:p>
      <w:pPr>
        <w:spacing w:after="160"/>
      </w:pPr>
      <w:r>
        <w:rPr>
          <w:b w:val="0"/>
          <w:i w:val="0"/>
          <w:sz w:val="22"/>
        </w:rPr>
        <w:t>The invention is a method and supporting system for a team of specialist AI programs (for example, an AI neurosurgeon, an AI oncologist, and an AI radiologist) that review the same patient case together. Instead of simply averaging or vote-counting the specialists' opinions into one final answer whenever they agree, the invention first runs a set of built-in checks that ask, in effect: "Do these specialists agree because the medical evidence genuinely points to the same conclusion, or is something else going on?" The checks can tell apart three specific "something else" situations: the specialists are simply being agreeable with each other (agreement bias); the specialists share an underlying flaw and are all making the same mistake together (shared-model error); or one specialist's differing, minority opinion is being outvoted even though its reasoning is well supported (minority suppression). Based on which situation is detected, and how confident that detection is, the system automatically chooses one of three actions: it finalizes a single result when agreement is judged genuine; it prepares and shows the clinician a clearly organized report of the dissenting opinion, ranked by the strength of its supporting evidence, when a minority view deserves attention; or it automatically requests a specific new piece of evidence — such as a particular scan, blood test, or medical-guideline lookup — that is chosen specifically to resolve the exact point where the specialists disagree or where their shared flaw is suspected. Throughout this process, the system keeps a detailed record of exactly what each specialist AI said, why it said it, what evidence it used, and how the final decision was reached, so that if something is later questioned, it is clear which part of the system was responsible for which part of the recommendation.</w:t>
      </w:r>
    </w:p>
    <w:p>
      <w:pPr>
        <w:pStyle w:val="Heading2"/>
      </w:pPr>
      <w:r>
        <w:rPr>
          <w:b/>
          <w:color w:val="1F3864"/>
          <w:sz w:val="24"/>
        </w:rPr>
        <w:t>Technical Description – How it Works (step-by-step):</w:t>
      </w:r>
    </w:p>
    <w:p>
      <w:pPr>
        <w:spacing w:after="160"/>
      </w:pPr>
      <w:r>
        <w:rPr>
          <w:b/>
          <w:i w:val="0"/>
          <w:sz w:val="22"/>
        </w:rPr>
        <w:t>Input / starting material:</w:t>
      </w:r>
    </w:p>
    <w:p>
      <w:pPr>
        <w:pStyle w:val="ListBullet"/>
      </w:pPr>
      <w:r>
        <w:rPr>
          <w:sz w:val="22"/>
        </w:rPr>
        <w:t>A patient case record comprising available clinical data (e.g., history, prior imaging, lab results, pathology, notes) supplied to a fixed set of specialist AI agents, each instantiated as a distinct reasoning module or model configuration bound to a clinical role (e.g., neurosurgeon-agent, oncologist-agent, radiologist-agent).</w:t>
      </w:r>
    </w:p>
    <w:p>
      <w:pPr>
        <w:spacing w:after="160"/>
      </w:pPr>
      <w:r>
        <w:rPr>
          <w:b/>
          <w:i w:val="0"/>
          <w:sz w:val="22"/>
        </w:rPr>
        <w:t>Key components / steps involved:</w:t>
      </w:r>
    </w:p>
    <w:p>
      <w:pPr>
        <w:pStyle w:val="ListNumber"/>
      </w:pPr>
      <w:r>
        <w:rPr>
          <w:sz w:val="22"/>
        </w:rPr>
        <w:t>Independent First-Pass Opinion Generation — Each specialist agent independently analyses the case and produces: (a) an answer (diagnosis/recommendation), (b) a structured reasoning trace citing the specific evidence items relied upon, (c) a self-declared confidence score, and (d) a self-declared "falsifier" — the specific finding or test result that, if observed, would change that agent's answer. This first pass occurs before agents see each other's outputs, establishing an unbiased baseline.</w:t>
      </w:r>
    </w:p>
    <w:p>
      <w:pPr>
        <w:pStyle w:val="ListNumber"/>
      </w:pPr>
      <w:r>
        <w:rPr>
          <w:sz w:val="22"/>
        </w:rPr>
        <w:t>Answer-Level Agreement Check — The system computes standard agreement across the independent first-pass answers (e.g., matching final diagnoses/recommendations) to identify whether there is surface-level consensus, and identifies any minority-position agent(s).</w:t>
      </w:r>
    </w:p>
    <w:p>
      <w:pPr>
        <w:pStyle w:val="ListNumber"/>
      </w:pPr>
      <w:r>
        <w:rPr>
          <w:sz w:val="22"/>
        </w:rPr>
        <w:t>Reasoning-Level Agreement Check — Independently of the answer match, the system compares the structured reasoning traces and cited evidence of the agents that agree on the answer, to determine whether they also relied on the same underlying evidence and logical steps (reasoning-level agreement) or reached the same answer via different, only loosely related, justifications (reasoning-level divergence despite answer-level agreement).</w:t>
      </w:r>
    </w:p>
    <w:p>
      <w:pPr>
        <w:pStyle w:val="ListNumber"/>
      </w:pPr>
      <w:r>
        <w:rPr>
          <w:sz w:val="22"/>
        </w:rPr>
        <w:t>Triadic Counterfactual Probe (core reliability test) — To determine the cause of any detected agreement or disagreement pattern without needing an external ground-truth label, the system re-queries each agent under three controlled conditions derived from the same case: (i) a no-peer-information condition (the agent's own first-pass, already available); (ii) an evidentially-null sham-peer condition, in which the agent is shown a fabricated peer opinion that matches the group's answer but is generated from an empty or irrelevant evidence set, i.e., contains no clinically probative content; and (iii) an evidence-bearing peer condition, in which the agent is shown the actual reasoning/evidence of the other real agents. The system measures how much each agent's stated answer, confidence, and reasoning shift between these three conditions. A large shift toward the group answer in condition (ii) — where the shown peer opinion carried no real evidence — is scored as agreement bias / conformity, because the agent moved without receiving anything to justify moving. A shift only in condition (iii), proportional to the amount of new evidence actually shown, is scored as legitimate evidence-driven revision.</w:t>
      </w:r>
    </w:p>
    <w:p>
      <w:pPr>
        <w:pStyle w:val="ListNumber"/>
      </w:pPr>
      <w:r>
        <w:rPr>
          <w:sz w:val="22"/>
        </w:rPr>
        <w:t>Correlated / Shared-Model Error Check — The system evaluates whether the agents that agree share an underlying dependency (e.g., overlapping base model lineage, overlapping training/knowledge provenance, or reliance on the same upstream data source or retrieval index, tracked via a declared "fault-domain" tag per agent). Using this, it computes an effective independent-agreement count that discounts votes coming from agents sharing a fault domain, distinguishing "three independent specialists agree" from "three specialists agree because they inherited the same blind spot." This is combined with a check for whether the group's shared evidence citations are themselves suspect (e.g., all agents citing the same single, unverified source).</w:t>
      </w:r>
    </w:p>
    <w:p>
      <w:pPr>
        <w:pStyle w:val="ListNumber"/>
      </w:pPr>
      <w:r>
        <w:rPr>
          <w:sz w:val="22"/>
        </w:rPr>
        <w:t>Minority Suppression Check — For any minority-position agent identified in Step 2, the system scores the strength of that agent's cited evidence and reasoning trace on its own merits (not relative to the majority), and separately checks whether that agent's confidence or position moved toward the majority for evidence-free reasons (per Step 4). If the minority position is evidence-supported and was not retracted for evidentially justified reasons, it is flagged as a potentially suppressed correct minority opinion rather than simply an outvoted error.</w:t>
      </w:r>
    </w:p>
    <w:p>
      <w:pPr>
        <w:pStyle w:val="ListNumber"/>
      </w:pPr>
      <w:r>
        <w:rPr>
          <w:sz w:val="22"/>
        </w:rPr>
        <w:t>Consensus-Reliability Signal Computation — The outputs of Steps 2–6 are combined into a single, structured reliability signal (not a single number) comprising: an answer-agreement score, a reasoning-agreement score, an agreement-bias score, a shared-model-error / correlated-fault score, and a minority-suppression score, each with its supporting evidence pointers.</w:t>
      </w:r>
    </w:p>
    <w:p>
      <w:pPr>
        <w:pStyle w:val="ListNumber"/>
      </w:pPr>
      <w:r>
        <w:rPr>
          <w:sz w:val="22"/>
        </w:rPr>
        <w:t>Adaptive Routing Decision — A routing function reads the reliability signal and selects exactly one of three dispositions for the case: (a) Commit — if answer-agreement and reasoning-agreement are both high and agreement-bias, shared-model-error, and minority-suppression scores are all low, the system finalizes and outputs a single confidence-weighted result as before. (b) Surface Dissent — if a minority-suppression flag is active and/or reasoning-level agreement is low despite answer-level agreement, the system does not collapse the outputs; instead it assembles a minority/dissent report that preserves the dissenting agent's answer, reasoning, and evidence, ranks it by evidence strength against the majority's evidence, and surfaces both to the clinician side-by-side for human adjudication. (c) Acquire Evidence — if the agreement-bias score or the shared-model-error score is high, or if the point of disagreement corresponds to a specific missing data item, the system identifies the precise unresolved question (using the self-declared falsifiers from Step 1 and the divergent evidence citations from Step 3) and automatically issues a targeted request for new evidence — a specific imaging study, laboratory test, or literature/guideline retrieval — chosen because it would directly confirm or refute the specific point of contention. If shared-model-error is the suspected cause, the requested evidence is preferentially sourced from outside the agents' shared fault domain (e.g., a different data modality or an independent retrieval source) so that the new evidence cannot simply reproduce the same blind spot. Once the new evidence is obtained, the case is re-submitted to Step 1 for a fresh cycle.</w:t>
      </w:r>
    </w:p>
    <w:p>
      <w:pPr>
        <w:pStyle w:val="ListNumber"/>
      </w:pPr>
      <w:r>
        <w:rPr>
          <w:sz w:val="22"/>
        </w:rPr>
        <w:t>Per-Agent Evidence-Linked Audit Record Generation — Throughout Steps 1–8, the system logs, for every specialist agent and every case: its initial answer, its reasoning trace, its cited evidence with source pointers, its confidence, its behaviour across the three counterfactual probe conditions, its assigned contribution to the final consensus-reliability signal (computed via a cooperative-game contribution measure so that each agent's marginal effect on the final decision is quantified), and the specific routing decision taken and why. Each log entry is cryptographically hash-chained to the previous entry for that case so the record cannot be silently altered after the fact, producing a complete, timestamped, evidence-linked audit trail sufficient to attribute responsibility to a specific agent, evidence gap, or system behaviour if the case outcome is later reviewed for clinical or legal purposes.</w:t>
      </w:r>
    </w:p>
    <w:p>
      <w:pPr>
        <w:spacing w:after="160"/>
      </w:pPr>
      <w:r>
        <w:rPr>
          <w:b/>
          <w:i w:val="0"/>
          <w:sz w:val="22"/>
        </w:rPr>
        <w:t>Output / final result:</w:t>
      </w:r>
    </w:p>
    <w:p>
      <w:pPr>
        <w:pStyle w:val="ListBullet"/>
      </w:pPr>
      <w:r>
        <w:rPr>
          <w:sz w:val="22"/>
        </w:rPr>
        <w:t>Either (a) a single committed recommendation, or (b) a committed recommendation accompanied by a clearly presented, evidence-ranked minority/dissent report, or (c) a specific, targeted request for new imaging/lab/retrieval evidence together with a paused case status — plus, in every case, a complete per-agent, evidence-linked, tamper-evident audit record.</w:t>
      </w:r>
    </w:p>
    <w:p>
      <w:pPr>
        <w:spacing w:after="160"/>
      </w:pPr>
      <w:r>
        <w:rPr>
          <w:b w:val="0"/>
          <w:i/>
          <w:sz w:val="22"/>
        </w:rPr>
        <w:t>Diagrams / flowcharts: A process flow diagram showing (1) independent first-pass generation by the neurosurgeon-, oncologist-, and radiologist-agents, (2) the answer-level and reasoning-level agreement checks, (3) the triadic counterfactual probe (no-peer / sham-peer / evidence-peer arms), (4) the shared-model-error and minority-suppression checks feeding into (5) the consensus-reliability signal, (6) the three-way adaptive router (Commit / Surface Dissent / Acquire Evidence), and (7) the hash-chained per-agent audit ledger, is described in Section 6 (Drawings) and can be provided as a supporting flowchart attachment.</w:t>
      </w:r>
    </w:p>
    <w:p>
      <w:r>
        <w:br w:type="page"/>
      </w:r>
    </w:p>
    <w:p>
      <w:pPr>
        <w:pStyle w:val="Heading1"/>
      </w:pPr>
      <w:r>
        <w:rPr>
          <w:b/>
          <w:color w:val="1F3864"/>
          <w:sz w:val="28"/>
        </w:rPr>
        <w:t>5. NOVEL ASPECTS OF THE INVENTION</w:t>
      </w:r>
    </w:p>
    <w:p>
      <w:pPr>
        <w:spacing w:after="160"/>
      </w:pPr>
      <w:r>
        <w:rPr>
          <w:b w:val="0"/>
          <w:i w:val="0"/>
          <w:sz w:val="22"/>
        </w:rPr>
        <w:t>The invention is new compared to existing multi-agent medical AI and multi-agent debate systems in the following specific, concrete ways:</w:t>
      </w:r>
    </w:p>
    <w:p>
      <w:pPr>
        <w:pStyle w:val="ListNumber"/>
      </w:pPr>
      <w:r>
        <w:rPr>
          <w:sz w:val="22"/>
        </w:rPr>
        <w:t>Cause-discriminated reliability signal rather than a single trust score: Existing systems either output one confidence-weighted consensus (assuming agreement equals correctness) or, at best, an offline reasoning-alignment metric. The invention computes a structured, multi-component reliability signal that separately labels the cause of observed agreement/disagreement as evidence-driven, agreement bias, shared-model error, or minority suppression, rather than a single blended number.</w:t>
      </w:r>
    </w:p>
    <w:p>
      <w:pPr>
        <w:pStyle w:val="ListNumber"/>
      </w:pPr>
      <w:r>
        <w:rPr>
          <w:sz w:val="22"/>
        </w:rPr>
        <w:t>Label-free counterfactual causal test using a fabricated evidentially-null sham peer: The invention introduces a specific three-arm probe (no-peer / evidentially-null sham-peer / evidence-bearing peer) that lets the system determine, for each case, without needing an external correct answer, whether an agent's shift toward the group was caused by evidence or by conformity. Published research in this space has explicitly noted that distinguishing harmful (conformity-driven) from beneficial (evidence-driven) opinion shifts in multi-agent AI debate is not achievable without correctness labels or self-reflection controls; the invention's evidentially-null sham-peer construction is a specific mechanism that performs this discrimination without requiring ground-truth labels, using the amount of genuine clinical content present in the shown peer opinion as the controlled variable.</w:t>
      </w:r>
    </w:p>
    <w:p>
      <w:pPr>
        <w:pStyle w:val="ListNumber"/>
      </w:pPr>
      <w:r>
        <w:rPr>
          <w:sz w:val="22"/>
        </w:rPr>
        <w:t>Fault-domain-aware discounting combined with fault-domain-avoiding remedy selection: Rather than only computing an "effective independent vote count" (a discounting calculation that exists in prior ensemble/panel-reliability research), the invention uniquely closes the loop by routing the case to acquire new evidence specifically sourced from outside the detected shared fault domain when correlated/shared-model error is suspected, so that the corrective evidence cannot reproduce the same blind spot.</w:t>
      </w:r>
    </w:p>
    <w:p>
      <w:pPr>
        <w:pStyle w:val="ListNumber"/>
      </w:pPr>
      <w:r>
        <w:rPr>
          <w:sz w:val="22"/>
        </w:rPr>
        <w:t>Three-way, cause-conditioned adaptive disposition specific to clinical evidence acquisition: Prior adaptive-routing multi-agent debate techniques decide only whether to keep debating, stop debating, or down-weight an outlier vote. The invention instead routes each case, based on the specific identified cause, to one of three clinically meaningful actions — commit, surface a preserved and evidence-ranked dissent report to the clinician, or trigger acquisition of a specific imaging study, lab test, or evidence retrieval chosen to resolve the exact contested point — and further uses each dissenting agent's own pre-declared "falsifier" statement (Step 1) as the targeting mechanism for what new evidence to request, a self-referential targeting mechanism not present in prior art.</w:t>
      </w:r>
    </w:p>
    <w:p>
      <w:pPr>
        <w:pStyle w:val="ListNumber"/>
      </w:pPr>
      <w:r>
        <w:rPr>
          <w:sz w:val="22"/>
        </w:rPr>
        <w:t>Preserved, evidence-ranked minority/dissent report as a first-class output rather than a discarded intermediate: Existing systems that preserve minority views (e.g., research demonstrators showing both consensus and minority AI opinions) do so uniformly for every case; the invention instead selectively and conditionally surfaces the minority report only when the minority-suppression check indicates the dissent is evidence-supported and not itself evidence-free conformity retraction, and ranks it by evidence strength for direct clinician comparison.</w:t>
      </w:r>
    </w:p>
    <w:p>
      <w:pPr>
        <w:pStyle w:val="ListNumber"/>
      </w:pPr>
      <w:r>
        <w:rPr>
          <w:sz w:val="22"/>
        </w:rPr>
        <w:t>Liability-grade, cause-linked, hash-chained per-agent audit trail: The invention combines, in one continuous record per case, each agent's reasoning and evidence, its measured behaviour across the counterfactual probe, a cooperative-game-based quantified contribution of that agent to the final routing decision, and a tamper-evident hash chain — directly linking the audit record to the specific cause (bias, shared error, or suppression) identified for that case, which supports clinical liability attribution in a way that generic explainability logs or retrospective research audits do not, since those are not generated live, are not tied to a specific routing action, and are not hash-chained for evidentiary integrity.</w:t>
      </w:r>
    </w:p>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sz w:val="20"/>
              </w:rPr>
              <w:t>Advantages</w:t>
            </w:r>
          </w:p>
        </w:tc>
        <w:tc>
          <w:tcPr>
            <w:tcW w:type="dxa" w:w="4320"/>
            <w:shd w:val="clear" w:color="auto" w:fill="D9E2F3"/>
          </w:tcPr>
          <w:p>
            <w:r/>
            <w:r>
              <w:rPr>
                <w:b/>
                <w:sz w:val="20"/>
              </w:rPr>
              <w:t>Yes / No — Justification</w:t>
            </w:r>
          </w:p>
        </w:tc>
      </w:tr>
      <w:tr>
        <w:tc>
          <w:tcPr>
            <w:tcW w:type="dxa" w:w="4320"/>
          </w:tcPr>
          <w:p>
            <w:r/>
            <w:r>
              <w:rPr>
                <w:b/>
                <w:sz w:val="20"/>
              </w:rPr>
              <w:t>Cost effective</w:t>
            </w:r>
          </w:p>
        </w:tc>
        <w:tc>
          <w:tcPr>
            <w:tcW w:type="dxa" w:w="4320"/>
          </w:tcPr>
          <w:p>
            <w:r/>
            <w:r>
              <w:rPr>
                <w:b w:val="0"/>
                <w:sz w:val="20"/>
              </w:rPr>
              <w:t>Yes — reduces unnecessary repeat imaging/labs by requesting only the specific evidence needed to resolve the identified point of contention, and avoids costly downstream errors from acting on false-consensus recommendations.</w:t>
            </w:r>
          </w:p>
        </w:tc>
      </w:tr>
      <w:tr>
        <w:tc>
          <w:tcPr>
            <w:tcW w:type="dxa" w:w="4320"/>
          </w:tcPr>
          <w:p>
            <w:r/>
            <w:r>
              <w:rPr>
                <w:b/>
                <w:sz w:val="20"/>
              </w:rPr>
              <w:t>Improved efficiency</w:t>
            </w:r>
          </w:p>
        </w:tc>
        <w:tc>
          <w:tcPr>
            <w:tcW w:type="dxa" w:w="4320"/>
          </w:tcPr>
          <w:p>
            <w:r/>
            <w:r>
              <w:rPr>
                <w:b w:val="0"/>
                <w:sz w:val="20"/>
              </w:rPr>
              <w:t>Yes — automatically resolves genuine consensus cases quickly (Commit path) while concentrating clinician review time only on cases with a real, evidence-supported dissent.</w:t>
            </w:r>
          </w:p>
        </w:tc>
      </w:tr>
      <w:tr>
        <w:tc>
          <w:tcPr>
            <w:tcW w:type="dxa" w:w="4320"/>
          </w:tcPr>
          <w:p>
            <w:r/>
            <w:r>
              <w:rPr>
                <w:b/>
                <w:sz w:val="20"/>
              </w:rPr>
              <w:t>Eco-friendly</w:t>
            </w:r>
          </w:p>
        </w:tc>
        <w:tc>
          <w:tcPr>
            <w:tcW w:type="dxa" w:w="4320"/>
          </w:tcPr>
          <w:p>
            <w:r/>
            <w:r>
              <w:rPr>
                <w:b w:val="0"/>
                <w:sz w:val="20"/>
              </w:rPr>
              <w:t>No — not primarily applicable to this invention.</w:t>
            </w:r>
          </w:p>
        </w:tc>
      </w:tr>
      <w:tr>
        <w:tc>
          <w:tcPr>
            <w:tcW w:type="dxa" w:w="4320"/>
          </w:tcPr>
          <w:p>
            <w:r/>
            <w:r>
              <w:rPr>
                <w:b/>
                <w:sz w:val="20"/>
              </w:rPr>
              <w:t>Higher accuracy</w:t>
            </w:r>
          </w:p>
        </w:tc>
        <w:tc>
          <w:tcPr>
            <w:tcW w:type="dxa" w:w="4320"/>
          </w:tcPr>
          <w:p>
            <w:r/>
            <w:r>
              <w:rPr>
                <w:b w:val="0"/>
                <w:sz w:val="20"/>
              </w:rPr>
              <w:t>Yes — prevents false-consensus errors caused by agreement bias or shared-model error from being silently committed, and prevents correct minority opinions from being discarded.</w:t>
            </w:r>
          </w:p>
        </w:tc>
      </w:tr>
      <w:tr>
        <w:tc>
          <w:tcPr>
            <w:tcW w:type="dxa" w:w="4320"/>
          </w:tcPr>
          <w:p>
            <w:r/>
            <w:r>
              <w:rPr>
                <w:b/>
                <w:sz w:val="20"/>
              </w:rPr>
              <w:t>User-friendly</w:t>
            </w:r>
          </w:p>
        </w:tc>
        <w:tc>
          <w:tcPr>
            <w:tcW w:type="dxa" w:w="4320"/>
          </w:tcPr>
          <w:p>
            <w:r/>
            <w:r>
              <w:rPr>
                <w:b w:val="0"/>
                <w:sz w:val="20"/>
              </w:rPr>
              <w:t>Yes — clinicians receive either a simple committed answer or a clearly organized, evidence-ranked dissent comparison, rather than an opaque blended score.</w:t>
            </w:r>
          </w:p>
        </w:tc>
      </w:tr>
    </w:tbl>
    <w:p/>
    <w:p>
      <w:pPr>
        <w:pStyle w:val="Heading2"/>
      </w:pPr>
      <w:r>
        <w:rPr>
          <w:b/>
          <w:color w:val="1F3864"/>
          <w:sz w:val="24"/>
        </w:rPr>
        <w:t>Advantages:</w:t>
      </w:r>
    </w:p>
    <w:p>
      <w:pPr>
        <w:pStyle w:val="ListBullet"/>
      </w:pPr>
      <w:r>
        <w:rPr>
          <w:sz w:val="22"/>
        </w:rPr>
        <w:t>Reduces the risk of clinicians acting on unearned confidence produced by AI agreement bias or shared systemic model error, by explicitly detecting and labelling these situations rather than silently blending them into a single confident-looking result.</w:t>
      </w:r>
    </w:p>
    <w:p>
      <w:pPr>
        <w:pStyle w:val="ListBullet"/>
      </w:pPr>
      <w:r>
        <w:rPr>
          <w:sz w:val="22"/>
        </w:rPr>
        <w:t>Prevents a correct minority specialist opinion from being discarded, by detecting evidence-supported dissent and actively surfacing it to the clinician rather than letting majority vote override it.</w:t>
      </w:r>
    </w:p>
    <w:p>
      <w:pPr>
        <w:pStyle w:val="ListBullet"/>
      </w:pPr>
      <w:r>
        <w:rPr>
          <w:sz w:val="22"/>
        </w:rPr>
        <w:t>Avoids unnecessary or unfocused additional testing, by targeting exactly the specific imaging, lab test, or evidence retrieval needed to resolve the identified point of contention, using each dissenting agent's own pre-declared falsifier as the target.</w:t>
      </w:r>
    </w:p>
    <w:p>
      <w:pPr>
        <w:pStyle w:val="ListBullet"/>
      </w:pPr>
      <w:r>
        <w:rPr>
          <w:sz w:val="22"/>
        </w:rPr>
        <w:t>Improves accountability and legal defensibility for hospitals and clinicians, by producing a tamper-evident, per-agent, evidence-linked record that shows exactly what each AI specialist said, why, and how the final routing decision was reached.</w:t>
      </w:r>
    </w:p>
    <w:p>
      <w:pPr>
        <w:pStyle w:val="ListBullet"/>
      </w:pPr>
      <w:r>
        <w:rPr>
          <w:sz w:val="22"/>
        </w:rPr>
        <w:t>Scales to any number and combination of medical specialist AI agents and clinical case types, because the reliability signal and routing logic are computed generically from agents' answers, reasoning traces, evidence citations, and declared fault-domain metadata.</w:t>
      </w:r>
    </w:p>
    <w:p>
      <w:r>
        <w:br w:type="page"/>
      </w:r>
    </w:p>
    <w:p>
      <w:pPr>
        <w:pStyle w:val="Heading1"/>
      </w:pPr>
      <w:r>
        <w:rPr>
          <w:b/>
          <w:color w:val="1F3864"/>
          <w:sz w:val="28"/>
        </w:rPr>
        <w:t>6. DRAWINGS OR SUPPORT MATERIAL</w:t>
      </w:r>
    </w:p>
    <w:p>
      <w:pPr>
        <w:spacing w:after="160"/>
      </w:pPr>
      <w:r>
        <w:rPr>
          <w:b w:val="0"/>
          <w:i w:val="0"/>
          <w:sz w:val="22"/>
        </w:rPr>
        <w:t>A process-flow diagram is recommended as supporting material, depicting: (1) parallel independent first-pass reasoning by the neurosurgeon-, oncologist-, and radiologist-agents; (2) the answer-level and reasoning-level agreement comparison module; (3) the triadic counterfactual probe module with its three arms (no-peer / evidentially-null sham-peer / evidence-bearing peer); (4) the correlated/shared-model-error detection module referencing per-agent fault-domain tags; (5) the minority-suppression detection module; (6) the consensus-reliability signal aggregator; (7) the three-way adaptive router (Commit / Surface Dissent / Acquire Evidence) with the evidence-acquisition module linking to imaging/lab/retrieval systems; and (8) the hash-chained, per-agent, evidence-linked audit ledger.</w:t>
      </w:r>
    </w:p>
    <w:p>
      <w:pPr>
        <w:spacing w:after="160"/>
      </w:pPr>
      <w:r>
        <w:rPr>
          <w:b w:val="0"/>
          <w:i/>
          <w:sz w:val="22"/>
        </w:rPr>
        <w:t>[Diagram/flowchart to be attached separately by the inventor.]</w:t>
      </w:r>
    </w:p>
    <w:p>
      <w:pPr>
        <w:pStyle w:val="Heading1"/>
      </w:pPr>
      <w:r>
        <w:rPr>
          <w:b/>
          <w:color w:val="1F3864"/>
          <w:sz w:val="28"/>
        </w:rPr>
        <w:t>7. ABSTRACT (150 words)</w:t>
      </w:r>
    </w:p>
    <w:p>
      <w:pPr>
        <w:spacing w:after="160"/>
      </w:pPr>
      <w:r>
        <w:rPr>
          <w:b w:val="0"/>
          <w:i w:val="0"/>
          <w:sz w:val="22"/>
        </w:rPr>
        <w:t>A method for a multi-specialist medical artificial-intelligence system, in which specialist agents (e.g., neurosurgeon-, oncologist-, radiologist-agents) independently analyse a case and then undergo a label-free triadic counterfactual probe — comparing each agent's response under no-peer, evidentially-null sham-peer, and evidence-bearing peer conditions — to compute a cause-discriminated consensus-reliability signal that separates genuine evidence-driven agreement from agreement bias, correlated shared-model error, and suppression of a correct minority opinion. Based on this signal, the system adaptively routes the case to one of three dispositions: committing a single confidence-weighted result; surfacing a preserved, evidence-ranked minority/dissent report to the clinician; or triggering targeted acquisition of specific new imaging, laboratory, or retrieval evidence chosen to resolve the identified point of contention, using each dissenting agent's self-declared falsifier as the acquisition target. A hash-chained, per-agent, evidence-linked audit record supporting clinical liability attribution is generated throughout.</w:t>
      </w:r>
    </w:p>
    <w:p/>
    <w:p>
      <w:pPr>
        <w:jc w:val="center"/>
      </w:pPr>
      <w:r>
        <w:rPr>
          <w:i/>
          <w:sz w:val="18"/>
        </w:rPr>
        <w:t>Strictly Confidential — Invention Disclosure Form (IDF) — © 2026.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 xml:space="preserve">Strictly Confidential  |  Invention Disclosure Form (IDF)  |  Page </w:t>
    </w:r>
    <w:r>
      <w:fldSimple w:instr="PAGE"/>
    </w:r>
    <w:r>
      <w:rPr>
        <w:i/>
        <w:sz w:val="16"/>
      </w:rPr>
      <w:t xml:space="preserve">  |  © 2026. All rights reserved.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