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36"/>
          <w:szCs w:val="36"/>
        </w:rPr>
        <w:t xml:space="preserve">HR Analytics: Predicting Job Change of Data Scientists</w:t>
      </w:r>
    </w:p>
    <w:p>
      <w:pPr>
        <w:spacing w:after="320"/>
      </w:pPr>
      <w:r>
        <w:rPr>
          <w:i/>
          <w:iCs/>
          <w:color w:val="555555"/>
          <w:sz w:val="24"/>
          <w:szCs w:val="24"/>
        </w:rPr>
        <w:t xml:space="preserve">Project Report</w:t>
      </w:r>
    </w:p>
    <w:p>
      <w:pPr>
        <w:pStyle w:val="Heading1"/>
        <w:spacing w:after="140" w:before="280"/>
      </w:pPr>
      <w:r>
        <w:t xml:space="preserve">1. Problem Statement</w:t>
      </w:r>
    </w:p>
    <w:p>
      <w:pPr>
        <w:spacing w:after="160"/>
        <w:jc w:val="both"/>
      </w:pPr>
      <w:r>
        <w:t xml:space="preserve">A company that is active in Big Data and Data Science offers training courses to candidates, some of whom go on to look for a new job afterward rather than working for the company. Every candidate who leaves after training represents a sunk cost in time and resources, so the company wants to identify, as early as possible, which trainees are likely to be looking for a job change versus which are likely to stay.</w:t>
      </w:r>
    </w:p>
    <w:p>
      <w:pPr>
        <w:spacing w:after="160"/>
        <w:jc w:val="both"/>
      </w:pPr>
      <w:r>
        <w:t xml:space="preserve">The objective of this project is to build a binary classification model that predicts the probability that a given candidate is looking for a new job, using only the demographic, educational, and experience information collected at enrollment. This is framed as a supervised learning problem with a labeled target (target = 1 for job seekers, target = 0 otherwise), and the practical goal is to maximize the model's ability to correctly flag likely job-changers (recall on the positive class) while keeping overall predictive performance (ROC-AUC) high, so the company can prioritize retention efforts and training investment more efficiently.</w:t>
      </w:r>
    </w:p>
    <w:p>
      <w:pPr>
        <w:pStyle w:val="Heading1"/>
        <w:spacing w:after="140" w:before="280"/>
      </w:pPr>
      <w:r>
        <w:t xml:space="preserve">2. Dataset Description</w:t>
      </w:r>
    </w:p>
    <w:p>
      <w:pPr>
        <w:spacing w:after="160"/>
        <w:jc w:val="both"/>
      </w:pPr>
      <w:r>
        <w:t xml:space="preserve">The dataset is the publicly available “HR Analytics: Job Change of Data Scientists” dataset, provided as two files: aug_train.csv (19,158 rows, 14 columns, including the target) and aug_test.csv (2,129 rows, 13 columns, no target). Each row represents one candidate, described by 12 features: enrollee city and its development index, gender, relevant work experience, university enrollment status, education level, major discipline, years of experience, company size, company type, time since last job change, and total training hours completed.</w:t>
      </w:r>
    </w:p>
    <w:p>
      <w:pPr>
        <w:spacing w:after="160"/>
        <w:jc w:val="both"/>
      </w:pPr>
      <w:r>
        <w:t xml:space="preserve">The target class is imbalanced: roughly 25% of candidates in the training set are labeled as looking for a new job (target = 1). Missing data is substantial and concentrated in a handful of columns, and critically, missingness itself was found to be informative rather than random — rows with missing company_size/company_type had a job-change rate of roughly 0.40, compared to roughly 0.18 for rows with that information present. For this reason, missing categorical values were imputed with an explicit “Missing” category rather than dropped or silently filled, so the model could learn from the missingness pattern directly.</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tblGrid>
      <w:tr>
        <w:trPr>
          <w:tblHeader/>
        </w:trPr>
        <w:tc>
          <w:tcPr>
            <w:tcW w:type="dxa" w:w="3200"/>
            <w:shd w:fill="1F4E79" w:val="clear"/>
            <w:vAlign w:val="center"/>
          </w:tcPr>
          <w:p>
            <w:pPr>
              <w:jc w:val="center"/>
            </w:pPr>
            <w:r>
              <w:rPr>
                <w:b/>
                <w:bCs/>
                <w:color w:val="FFFFFF"/>
                <w:sz w:val="20"/>
                <w:szCs w:val="20"/>
              </w:rPr>
              <w:t xml:space="preserve">Feature</w:t>
            </w:r>
          </w:p>
        </w:tc>
        <w:tc>
          <w:tcPr>
            <w:tcW w:type="dxa" w:w="2000"/>
            <w:shd w:fill="1F4E79" w:val="clear"/>
            <w:vAlign w:val="center"/>
          </w:tcPr>
          <w:p>
            <w:pPr>
              <w:jc w:val="center"/>
            </w:pPr>
            <w:r>
              <w:rPr>
                <w:b/>
                <w:bCs/>
                <w:color w:val="FFFFFF"/>
                <w:sz w:val="20"/>
                <w:szCs w:val="20"/>
              </w:rPr>
              <w:t xml:space="preserve">Missing %</w:t>
            </w:r>
          </w:p>
        </w:tc>
      </w:tr>
      <w:tr>
        <w:tc>
          <w:tcPr>
            <w:tcW w:type="dxa" w:w="3200"/>
            <w:vAlign w:val="center"/>
          </w:tcPr>
          <w:p>
            <w:pPr>
              <w:jc w:val="center"/>
            </w:pPr>
            <w:r>
              <w:rPr>
                <w:b w:val="false"/>
                <w:bCs w:val="false"/>
                <w:color w:val="000000"/>
                <w:sz w:val="20"/>
                <w:szCs w:val="20"/>
              </w:rPr>
              <w:t xml:space="preserve">company_type</w:t>
            </w:r>
          </w:p>
        </w:tc>
        <w:tc>
          <w:tcPr>
            <w:tcW w:type="dxa" w:w="2000"/>
            <w:vAlign w:val="center"/>
          </w:tcPr>
          <w:p>
            <w:pPr>
              <w:jc w:val="center"/>
            </w:pPr>
            <w:r>
              <w:rPr>
                <w:b w:val="false"/>
                <w:bCs w:val="false"/>
                <w:color w:val="000000"/>
                <w:sz w:val="20"/>
                <w:szCs w:val="20"/>
              </w:rPr>
              <w:t xml:space="preserve">32.05%</w:t>
            </w:r>
          </w:p>
        </w:tc>
      </w:tr>
      <w:tr>
        <w:tc>
          <w:tcPr>
            <w:tcW w:type="dxa" w:w="3200"/>
            <w:shd w:fill="DCE6F1" w:val="clear"/>
            <w:vAlign w:val="center"/>
          </w:tcPr>
          <w:p>
            <w:pPr>
              <w:jc w:val="center"/>
            </w:pPr>
            <w:r>
              <w:rPr>
                <w:b w:val="false"/>
                <w:bCs w:val="false"/>
                <w:color w:val="000000"/>
                <w:sz w:val="20"/>
                <w:szCs w:val="20"/>
              </w:rPr>
              <w:t xml:space="preserve">company_size</w:t>
            </w:r>
          </w:p>
        </w:tc>
        <w:tc>
          <w:tcPr>
            <w:tcW w:type="dxa" w:w="2000"/>
            <w:shd w:fill="DCE6F1" w:val="clear"/>
            <w:vAlign w:val="center"/>
          </w:tcPr>
          <w:p>
            <w:pPr>
              <w:jc w:val="center"/>
            </w:pPr>
            <w:r>
              <w:rPr>
                <w:b w:val="false"/>
                <w:bCs w:val="false"/>
                <w:color w:val="000000"/>
                <w:sz w:val="20"/>
                <w:szCs w:val="20"/>
              </w:rPr>
              <w:t xml:space="preserve">30.99%</w:t>
            </w:r>
          </w:p>
        </w:tc>
      </w:tr>
      <w:tr>
        <w:tc>
          <w:tcPr>
            <w:tcW w:type="dxa" w:w="3200"/>
            <w:vAlign w:val="center"/>
          </w:tcPr>
          <w:p>
            <w:pPr>
              <w:jc w:val="center"/>
            </w:pPr>
            <w:r>
              <w:rPr>
                <w:b w:val="false"/>
                <w:bCs w:val="false"/>
                <w:color w:val="000000"/>
                <w:sz w:val="20"/>
                <w:szCs w:val="20"/>
              </w:rPr>
              <w:t xml:space="preserve">gender</w:t>
            </w:r>
          </w:p>
        </w:tc>
        <w:tc>
          <w:tcPr>
            <w:tcW w:type="dxa" w:w="2000"/>
            <w:vAlign w:val="center"/>
          </w:tcPr>
          <w:p>
            <w:pPr>
              <w:jc w:val="center"/>
            </w:pPr>
            <w:r>
              <w:rPr>
                <w:b w:val="false"/>
                <w:bCs w:val="false"/>
                <w:color w:val="000000"/>
                <w:sz w:val="20"/>
                <w:szCs w:val="20"/>
              </w:rPr>
              <w:t xml:space="preserve">23.53%</w:t>
            </w:r>
          </w:p>
        </w:tc>
      </w:tr>
      <w:tr>
        <w:tc>
          <w:tcPr>
            <w:tcW w:type="dxa" w:w="3200"/>
            <w:shd w:fill="DCE6F1" w:val="clear"/>
            <w:vAlign w:val="center"/>
          </w:tcPr>
          <w:p>
            <w:pPr>
              <w:jc w:val="center"/>
            </w:pPr>
            <w:r>
              <w:rPr>
                <w:b w:val="false"/>
                <w:bCs w:val="false"/>
                <w:color w:val="000000"/>
                <w:sz w:val="20"/>
                <w:szCs w:val="20"/>
              </w:rPr>
              <w:t xml:space="preserve">major_discipline</w:t>
            </w:r>
          </w:p>
        </w:tc>
        <w:tc>
          <w:tcPr>
            <w:tcW w:type="dxa" w:w="2000"/>
            <w:shd w:fill="DCE6F1" w:val="clear"/>
            <w:vAlign w:val="center"/>
          </w:tcPr>
          <w:p>
            <w:pPr>
              <w:jc w:val="center"/>
            </w:pPr>
            <w:r>
              <w:rPr>
                <w:b w:val="false"/>
                <w:bCs w:val="false"/>
                <w:color w:val="000000"/>
                <w:sz w:val="20"/>
                <w:szCs w:val="20"/>
              </w:rPr>
              <w:t xml:space="preserve">14.68%</w:t>
            </w:r>
          </w:p>
        </w:tc>
      </w:tr>
      <w:tr>
        <w:tc>
          <w:tcPr>
            <w:tcW w:type="dxa" w:w="3200"/>
            <w:vAlign w:val="center"/>
          </w:tcPr>
          <w:p>
            <w:pPr>
              <w:jc w:val="center"/>
            </w:pPr>
            <w:r>
              <w:rPr>
                <w:b w:val="false"/>
                <w:bCs w:val="false"/>
                <w:color w:val="000000"/>
                <w:sz w:val="20"/>
                <w:szCs w:val="20"/>
              </w:rPr>
              <w:t xml:space="preserve">education_level</w:t>
            </w:r>
          </w:p>
        </w:tc>
        <w:tc>
          <w:tcPr>
            <w:tcW w:type="dxa" w:w="2000"/>
            <w:vAlign w:val="center"/>
          </w:tcPr>
          <w:p>
            <w:pPr>
              <w:jc w:val="center"/>
            </w:pPr>
            <w:r>
              <w:rPr>
                <w:b w:val="false"/>
                <w:bCs w:val="false"/>
                <w:color w:val="000000"/>
                <w:sz w:val="20"/>
                <w:szCs w:val="20"/>
              </w:rPr>
              <w:t xml:space="preserve">2.40%</w:t>
            </w:r>
          </w:p>
        </w:tc>
      </w:tr>
      <w:tr>
        <w:tc>
          <w:tcPr>
            <w:tcW w:type="dxa" w:w="3200"/>
            <w:shd w:fill="DCE6F1" w:val="clear"/>
            <w:vAlign w:val="center"/>
          </w:tcPr>
          <w:p>
            <w:pPr>
              <w:jc w:val="center"/>
            </w:pPr>
            <w:r>
              <w:rPr>
                <w:b w:val="false"/>
                <w:bCs w:val="false"/>
                <w:color w:val="000000"/>
                <w:sz w:val="20"/>
                <w:szCs w:val="20"/>
              </w:rPr>
              <w:t xml:space="preserve">last_new_job</w:t>
            </w:r>
          </w:p>
        </w:tc>
        <w:tc>
          <w:tcPr>
            <w:tcW w:type="dxa" w:w="2000"/>
            <w:shd w:fill="DCE6F1" w:val="clear"/>
            <w:vAlign w:val="center"/>
          </w:tcPr>
          <w:p>
            <w:pPr>
              <w:jc w:val="center"/>
            </w:pPr>
            <w:r>
              <w:rPr>
                <w:b w:val="false"/>
                <w:bCs w:val="false"/>
                <w:color w:val="000000"/>
                <w:sz w:val="20"/>
                <w:szCs w:val="20"/>
              </w:rPr>
              <w:t xml:space="preserve">2.21%</w:t>
            </w:r>
          </w:p>
        </w:tc>
      </w:tr>
      <w:tr>
        <w:tc>
          <w:tcPr>
            <w:tcW w:type="dxa" w:w="3200"/>
            <w:vAlign w:val="center"/>
          </w:tcPr>
          <w:p>
            <w:pPr>
              <w:jc w:val="center"/>
            </w:pPr>
            <w:r>
              <w:rPr>
                <w:b w:val="false"/>
                <w:bCs w:val="false"/>
                <w:color w:val="000000"/>
                <w:sz w:val="20"/>
                <w:szCs w:val="20"/>
              </w:rPr>
              <w:t xml:space="preserve">enrolled_university</w:t>
            </w:r>
          </w:p>
        </w:tc>
        <w:tc>
          <w:tcPr>
            <w:tcW w:type="dxa" w:w="2000"/>
            <w:vAlign w:val="center"/>
          </w:tcPr>
          <w:p>
            <w:pPr>
              <w:jc w:val="center"/>
            </w:pPr>
            <w:r>
              <w:rPr>
                <w:b w:val="false"/>
                <w:bCs w:val="false"/>
                <w:color w:val="000000"/>
                <w:sz w:val="20"/>
                <w:szCs w:val="20"/>
              </w:rPr>
              <w:t xml:space="preserve">2.01%</w:t>
            </w:r>
          </w:p>
        </w:tc>
      </w:tr>
      <w:tr>
        <w:tc>
          <w:tcPr>
            <w:tcW w:type="dxa" w:w="3200"/>
            <w:shd w:fill="DCE6F1" w:val="clear"/>
            <w:vAlign w:val="center"/>
          </w:tcPr>
          <w:p>
            <w:pPr>
              <w:jc w:val="center"/>
            </w:pPr>
            <w:r>
              <w:rPr>
                <w:b w:val="false"/>
                <w:bCs w:val="false"/>
                <w:color w:val="000000"/>
                <w:sz w:val="20"/>
                <w:szCs w:val="20"/>
              </w:rPr>
              <w:t xml:space="preserve">experience</w:t>
            </w:r>
          </w:p>
        </w:tc>
        <w:tc>
          <w:tcPr>
            <w:tcW w:type="dxa" w:w="2000"/>
            <w:shd w:fill="DCE6F1" w:val="clear"/>
            <w:vAlign w:val="center"/>
          </w:tcPr>
          <w:p>
            <w:pPr>
              <w:jc w:val="center"/>
            </w:pPr>
            <w:r>
              <w:rPr>
                <w:b w:val="false"/>
                <w:bCs w:val="false"/>
                <w:color w:val="000000"/>
                <w:sz w:val="20"/>
                <w:szCs w:val="20"/>
              </w:rPr>
              <w:t xml:space="preserve">0.34%</w:t>
            </w:r>
          </w:p>
        </w:tc>
      </w:tr>
    </w:tbl>
    <w:p>
      <w:pPr>
        <w:spacing w:after="200"/>
      </w:pPr>
    </w:p>
    <w:p>
      <w:pPr>
        <w:spacing w:after="160"/>
        <w:jc w:val="both"/>
      </w:pPr>
      <w:r>
        <w:t xml:space="preserve">A separate held-out test set (aug_test.csv) has no target column by design, matching a standard train/test competition setup; true labels for this set were later obtained from a companion answer-key dataset for final, out-of-sample evaluation.</w:t>
      </w:r>
    </w:p>
    <w:p>
      <w:pPr>
        <w:pStyle w:val="Heading1"/>
        <w:spacing w:after="140" w:before="280"/>
      </w:pPr>
      <w:r>
        <w:t xml:space="preserve">3. Methodology</w:t>
      </w:r>
    </w:p>
    <w:p>
      <w:pPr>
        <w:spacing w:after="160"/>
        <w:jc w:val="both"/>
      </w:pPr>
      <w:r>
        <w:t xml:space="preserve">Data was split 80/20 into training and validation sets, stratified on the target to preserve class balance. A single scikit-learn ColumnTransformer preprocessing pipeline was fit exclusively on the training split (to avoid data leakage) and then applied unchanged to the validation and test splits. This pipeline handled each feature group differently based on the exploratory analysis:</w:t>
      </w:r>
    </w:p>
    <w:p>
      <w:pPr>
        <w:pStyle w:val="ListParagraph"/>
        <w:numPr>
          <w:ilvl w:val="0"/>
          <w:numId w:val="1"/>
        </w:numPr>
        <w:spacing w:after="80"/>
      </w:pPr>
      <w:r>
        <w:t xml:space="preserve">training_hours: log-transformed to correct right skew, then median-imputed and scaled.</w:t>
      </w:r>
    </w:p>
    <w:p>
      <w:pPr>
        <w:pStyle w:val="ListParagraph"/>
        <w:numPr>
          <w:ilvl w:val="0"/>
          <w:numId w:val="1"/>
        </w:numPr>
        <w:spacing w:after="80"/>
      </w:pPr>
      <w:r>
        <w:t xml:space="preserve">city_development_index: median-imputed and scaled.</w:t>
      </w:r>
    </w:p>
    <w:p>
      <w:pPr>
        <w:pStyle w:val="ListParagraph"/>
        <w:numPr>
          <w:ilvl w:val="0"/>
          <w:numId w:val="1"/>
        </w:numPr>
        <w:spacing w:after="80"/>
      </w:pPr>
      <w:r>
        <w:t xml:space="preserve">relevent_experience: one-hot encoded as a binary flag.</w:t>
      </w:r>
    </w:p>
    <w:p>
      <w:pPr>
        <w:pStyle w:val="ListParagraph"/>
        <w:numPr>
          <w:ilvl w:val="0"/>
          <w:numId w:val="1"/>
        </w:numPr>
        <w:spacing w:after="80"/>
      </w:pPr>
      <w:r>
        <w:t xml:space="preserve">gender, major_discipline, company_type, enrolled_university: missing values filled with an explicit “Missing” category, then one-hot encoded.</w:t>
      </w:r>
    </w:p>
    <w:p>
      <w:pPr>
        <w:pStyle w:val="ListParagraph"/>
        <w:numPr>
          <w:ilvl w:val="0"/>
          <w:numId w:val="1"/>
        </w:numPr>
        <w:spacing w:after="80"/>
      </w:pPr>
      <w:r>
        <w:t xml:space="preserve">education_level, experience, company_size, last_new_job: ordinal-encoded using an explicitly defined low-to-high category order.</w:t>
      </w:r>
    </w:p>
    <w:p>
      <w:pPr>
        <w:pStyle w:val="ListParagraph"/>
        <w:numPr>
          <w:ilvl w:val="0"/>
          <w:numId w:val="1"/>
        </w:numPr>
        <w:spacing w:after="80"/>
      </w:pPr>
      <w:r>
        <w:t xml:space="preserve">city: frequency-encoded (replaced by its relative frequency in the training data) rather than one-hot encoded, due to high cardinality.</w:t>
      </w:r>
    </w:p>
    <w:p>
      <w:pPr>
        <w:spacing w:after="160"/>
        <w:jc w:val="both"/>
      </w:pPr>
      <w:r>
        <w:t xml:space="preserve">Five classification models were trained on the identical preprocessed feature set and compared on equal footing: Logistic Regression (baseline linear model), Random Forest, XGBoost, LightGBM, and CatBoost (gradient-boosted tree ensembles). Class imbalance was addressed via class weighting (scale_pos_weight / class_weights) rather than resampling. Each model was evaluated first on the validation split, and then, separately, on the true test set using the answer-key labels — giving both an internal (validation) and external (test) measure of generalization.</w:t>
      </w:r>
    </w:p>
    <w:p>
      <w:pPr>
        <w:pStyle w:val="Heading1"/>
        <w:spacing w:after="140" w:before="280"/>
      </w:pPr>
      <w:r>
        <w:t xml:space="preserve">4. Results</w:t>
      </w:r>
    </w:p>
    <w:p>
      <w:pPr>
        <w:spacing w:after="160"/>
        <w:jc w:val="both"/>
      </w:pPr>
      <w:r>
        <w:t xml:space="preserve">All five models were scored on Accuracy, Precision, Recall, F1, and ROC-AUC, on both the validation split and the real test set: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1900"/>
      </w:tblGrid>
      <w:tr>
        <w:trPr>
          <w:tblHeader/>
        </w:trPr>
        <w:tc>
          <w:tcPr>
            <w:tcW w:type="dxa" w:w="2600"/>
            <w:shd w:fill="1F4E79" w:val="clear"/>
            <w:vAlign w:val="center"/>
          </w:tcPr>
          <w:p>
            <w:pPr>
              <w:jc w:val="center"/>
            </w:pPr>
            <w:r>
              <w:rPr>
                <w:b/>
                <w:bCs/>
                <w:color w:val="FFFFFF"/>
                <w:sz w:val="20"/>
                <w:szCs w:val="20"/>
              </w:rPr>
              <w:t xml:space="preserve">Model</w:t>
            </w:r>
          </w:p>
        </w:tc>
        <w:tc>
          <w:tcPr>
            <w:tcW w:type="dxa" w:w="1900"/>
            <w:shd w:fill="1F4E79" w:val="clear"/>
            <w:vAlign w:val="center"/>
          </w:tcPr>
          <w:p>
            <w:pPr>
              <w:jc w:val="center"/>
            </w:pPr>
            <w:r>
              <w:rPr>
                <w:b/>
                <w:bCs/>
                <w:color w:val="FFFFFF"/>
                <w:sz w:val="20"/>
                <w:szCs w:val="20"/>
              </w:rPr>
              <w:t xml:space="preserve">Val Acc.</w:t>
            </w:r>
          </w:p>
        </w:tc>
        <w:tc>
          <w:tcPr>
            <w:tcW w:type="dxa" w:w="1900"/>
            <w:shd w:fill="1F4E79" w:val="clear"/>
            <w:vAlign w:val="center"/>
          </w:tcPr>
          <w:p>
            <w:pPr>
              <w:jc w:val="center"/>
            </w:pPr>
            <w:r>
              <w:rPr>
                <w:b/>
                <w:bCs/>
                <w:color w:val="FFFFFF"/>
                <w:sz w:val="20"/>
                <w:szCs w:val="20"/>
              </w:rPr>
              <w:t xml:space="preserve">Val ROC-AUC</w:t>
            </w:r>
          </w:p>
        </w:tc>
        <w:tc>
          <w:tcPr>
            <w:tcW w:type="dxa" w:w="1900"/>
            <w:shd w:fill="1F4E79" w:val="clear"/>
            <w:vAlign w:val="center"/>
          </w:tcPr>
          <w:p>
            <w:pPr>
              <w:jc w:val="center"/>
            </w:pPr>
            <w:r>
              <w:rPr>
                <w:b/>
                <w:bCs/>
                <w:color w:val="FFFFFF"/>
                <w:sz w:val="20"/>
                <w:szCs w:val="20"/>
              </w:rPr>
              <w:t xml:space="preserve">Test Acc.</w:t>
            </w:r>
          </w:p>
        </w:tc>
        <w:tc>
          <w:tcPr>
            <w:tcW w:type="dxa" w:w="1900"/>
            <w:shd w:fill="1F4E79" w:val="clear"/>
            <w:vAlign w:val="center"/>
          </w:tcPr>
          <w:p>
            <w:pPr>
              <w:jc w:val="center"/>
            </w:pPr>
            <w:r>
              <w:rPr>
                <w:b/>
                <w:bCs/>
                <w:color w:val="FFFFFF"/>
                <w:sz w:val="20"/>
                <w:szCs w:val="20"/>
              </w:rPr>
              <w:t xml:space="preserve">Test ROC-AUC</w:t>
            </w:r>
          </w:p>
        </w:tc>
      </w:tr>
      <w:tr>
        <w:tc>
          <w:tcPr>
            <w:tcW w:type="dxa" w:w="2600"/>
            <w:vAlign w:val="center"/>
          </w:tcPr>
          <w:p>
            <w:pPr>
              <w:jc w:val="center"/>
            </w:pPr>
            <w:r>
              <w:rPr>
                <w:b w:val="false"/>
                <w:bCs w:val="false"/>
                <w:color w:val="000000"/>
                <w:sz w:val="20"/>
                <w:szCs w:val="20"/>
              </w:rPr>
              <w:t xml:space="preserve">Logistic Regression</w:t>
            </w:r>
          </w:p>
        </w:tc>
        <w:tc>
          <w:tcPr>
            <w:tcW w:type="dxa" w:w="1900"/>
            <w:vAlign w:val="center"/>
          </w:tcPr>
          <w:p>
            <w:pPr>
              <w:jc w:val="center"/>
            </w:pPr>
            <w:r>
              <w:rPr>
                <w:b w:val="false"/>
                <w:bCs w:val="false"/>
                <w:color w:val="000000"/>
                <w:sz w:val="20"/>
                <w:szCs w:val="20"/>
              </w:rPr>
              <w:t xml:space="preserve">0.780</w:t>
            </w:r>
          </w:p>
        </w:tc>
        <w:tc>
          <w:tcPr>
            <w:tcW w:type="dxa" w:w="1900"/>
            <w:vAlign w:val="center"/>
          </w:tcPr>
          <w:p>
            <w:pPr>
              <w:jc w:val="center"/>
            </w:pPr>
            <w:r>
              <w:rPr>
                <w:b w:val="false"/>
                <w:bCs w:val="false"/>
                <w:color w:val="000000"/>
                <w:sz w:val="20"/>
                <w:szCs w:val="20"/>
              </w:rPr>
              <w:t xml:space="preserve">0.802</w:t>
            </w:r>
          </w:p>
        </w:tc>
        <w:tc>
          <w:tcPr>
            <w:tcW w:type="dxa" w:w="1900"/>
            <w:vAlign w:val="center"/>
          </w:tcPr>
          <w:p>
            <w:pPr>
              <w:jc w:val="center"/>
            </w:pPr>
            <w:r>
              <w:rPr>
                <w:b w:val="false"/>
                <w:bCs w:val="false"/>
                <w:color w:val="000000"/>
                <w:sz w:val="20"/>
                <w:szCs w:val="20"/>
              </w:rPr>
              <w:t xml:space="preserve">0.764</w:t>
            </w:r>
          </w:p>
        </w:tc>
        <w:tc>
          <w:tcPr>
            <w:tcW w:type="dxa" w:w="1900"/>
            <w:vAlign w:val="center"/>
          </w:tcPr>
          <w:p>
            <w:pPr>
              <w:jc w:val="center"/>
            </w:pPr>
            <w:r>
              <w:rPr>
                <w:b w:val="false"/>
                <w:bCs w:val="false"/>
                <w:color w:val="000000"/>
                <w:sz w:val="20"/>
                <w:szCs w:val="20"/>
              </w:rPr>
              <w:t xml:space="preserve">0.780</w:t>
            </w:r>
          </w:p>
        </w:tc>
      </w:tr>
      <w:tr>
        <w:tc>
          <w:tcPr>
            <w:tcW w:type="dxa" w:w="2600"/>
            <w:shd w:fill="DCE6F1" w:val="clear"/>
            <w:vAlign w:val="center"/>
          </w:tcPr>
          <w:p>
            <w:pPr>
              <w:jc w:val="center"/>
            </w:pPr>
            <w:r>
              <w:rPr>
                <w:b w:val="false"/>
                <w:bCs w:val="false"/>
                <w:color w:val="000000"/>
                <w:sz w:val="20"/>
                <w:szCs w:val="20"/>
              </w:rPr>
              <w:t xml:space="preserve">Random Forest</w:t>
            </w:r>
          </w:p>
        </w:tc>
        <w:tc>
          <w:tcPr>
            <w:tcW w:type="dxa" w:w="1900"/>
            <w:shd w:fill="DCE6F1" w:val="clear"/>
            <w:vAlign w:val="center"/>
          </w:tcPr>
          <w:p>
            <w:pPr>
              <w:jc w:val="center"/>
            </w:pPr>
            <w:r>
              <w:rPr>
                <w:b w:val="false"/>
                <w:bCs w:val="false"/>
                <w:color w:val="000000"/>
                <w:sz w:val="20"/>
                <w:szCs w:val="20"/>
              </w:rPr>
              <w:t xml:space="preserve">0.795</w:t>
            </w:r>
          </w:p>
        </w:tc>
        <w:tc>
          <w:tcPr>
            <w:tcW w:type="dxa" w:w="1900"/>
            <w:shd w:fill="DCE6F1" w:val="clear"/>
            <w:vAlign w:val="center"/>
          </w:tcPr>
          <w:p>
            <w:pPr>
              <w:jc w:val="center"/>
            </w:pPr>
            <w:r>
              <w:rPr>
                <w:b w:val="false"/>
                <w:bCs w:val="false"/>
                <w:color w:val="000000"/>
                <w:sz w:val="20"/>
                <w:szCs w:val="20"/>
              </w:rPr>
              <w:t xml:space="preserve">0.811</w:t>
            </w:r>
          </w:p>
        </w:tc>
        <w:tc>
          <w:tcPr>
            <w:tcW w:type="dxa" w:w="1900"/>
            <w:shd w:fill="DCE6F1" w:val="clear"/>
            <w:vAlign w:val="center"/>
          </w:tcPr>
          <w:p>
            <w:pPr>
              <w:jc w:val="center"/>
            </w:pPr>
            <w:r>
              <w:rPr>
                <w:b w:val="false"/>
                <w:bCs w:val="false"/>
                <w:color w:val="000000"/>
                <w:sz w:val="20"/>
                <w:szCs w:val="20"/>
              </w:rPr>
              <w:t xml:space="preserve">0.791</w:t>
            </w:r>
          </w:p>
        </w:tc>
        <w:tc>
          <w:tcPr>
            <w:tcW w:type="dxa" w:w="1900"/>
            <w:shd w:fill="DCE6F1" w:val="clear"/>
            <w:vAlign w:val="center"/>
          </w:tcPr>
          <w:p>
            <w:pPr>
              <w:jc w:val="center"/>
            </w:pPr>
            <w:r>
              <w:rPr>
                <w:b w:val="false"/>
                <w:bCs w:val="false"/>
                <w:color w:val="000000"/>
                <w:sz w:val="20"/>
                <w:szCs w:val="20"/>
              </w:rPr>
              <w:t xml:space="preserve">0.796</w:t>
            </w:r>
          </w:p>
        </w:tc>
      </w:tr>
      <w:tr>
        <w:tc>
          <w:tcPr>
            <w:tcW w:type="dxa" w:w="2600"/>
            <w:vAlign w:val="center"/>
          </w:tcPr>
          <w:p>
            <w:pPr>
              <w:jc w:val="center"/>
            </w:pPr>
            <w:r>
              <w:rPr>
                <w:b w:val="false"/>
                <w:bCs w:val="false"/>
                <w:color w:val="000000"/>
                <w:sz w:val="20"/>
                <w:szCs w:val="20"/>
              </w:rPr>
              <w:t xml:space="preserve">XGBoost</w:t>
            </w:r>
          </w:p>
        </w:tc>
        <w:tc>
          <w:tcPr>
            <w:tcW w:type="dxa" w:w="1900"/>
            <w:vAlign w:val="center"/>
          </w:tcPr>
          <w:p>
            <w:pPr>
              <w:jc w:val="center"/>
            </w:pPr>
            <w:r>
              <w:rPr>
                <w:b w:val="false"/>
                <w:bCs w:val="false"/>
                <w:color w:val="000000"/>
                <w:sz w:val="20"/>
                <w:szCs w:val="20"/>
              </w:rPr>
              <w:t xml:space="preserve">0.790</w:t>
            </w:r>
          </w:p>
        </w:tc>
        <w:tc>
          <w:tcPr>
            <w:tcW w:type="dxa" w:w="1900"/>
            <w:vAlign w:val="center"/>
          </w:tcPr>
          <w:p>
            <w:pPr>
              <w:jc w:val="center"/>
            </w:pPr>
            <w:r>
              <w:rPr>
                <w:b w:val="false"/>
                <w:bCs w:val="false"/>
                <w:color w:val="000000"/>
                <w:sz w:val="20"/>
                <w:szCs w:val="20"/>
              </w:rPr>
              <w:t xml:space="preserve">0.819</w:t>
            </w:r>
          </w:p>
        </w:tc>
        <w:tc>
          <w:tcPr>
            <w:tcW w:type="dxa" w:w="1900"/>
            <w:vAlign w:val="center"/>
          </w:tcPr>
          <w:p>
            <w:pPr>
              <w:jc w:val="center"/>
            </w:pPr>
            <w:r>
              <w:rPr>
                <w:b w:val="false"/>
                <w:bCs w:val="false"/>
                <w:color w:val="000000"/>
                <w:sz w:val="20"/>
                <w:szCs w:val="20"/>
              </w:rPr>
              <w:t xml:space="preserve">0.788</w:t>
            </w:r>
          </w:p>
        </w:tc>
        <w:tc>
          <w:tcPr>
            <w:tcW w:type="dxa" w:w="1900"/>
            <w:vAlign w:val="center"/>
          </w:tcPr>
          <w:p>
            <w:pPr>
              <w:jc w:val="center"/>
            </w:pPr>
            <w:r>
              <w:rPr>
                <w:b w:val="false"/>
                <w:bCs w:val="false"/>
                <w:color w:val="000000"/>
                <w:sz w:val="20"/>
                <w:szCs w:val="20"/>
              </w:rPr>
              <w:t xml:space="preserve">0.799</w:t>
            </w:r>
          </w:p>
        </w:tc>
      </w:tr>
      <w:tr>
        <w:tc>
          <w:tcPr>
            <w:tcW w:type="dxa" w:w="2600"/>
            <w:shd w:fill="DCE6F1" w:val="clear"/>
            <w:vAlign w:val="center"/>
          </w:tcPr>
          <w:p>
            <w:pPr>
              <w:jc w:val="center"/>
            </w:pPr>
            <w:r>
              <w:rPr>
                <w:b w:val="false"/>
                <w:bCs w:val="false"/>
                <w:color w:val="000000"/>
                <w:sz w:val="20"/>
                <w:szCs w:val="20"/>
              </w:rPr>
              <w:t xml:space="preserve">LightGBM</w:t>
            </w:r>
          </w:p>
        </w:tc>
        <w:tc>
          <w:tcPr>
            <w:tcW w:type="dxa" w:w="1900"/>
            <w:shd w:fill="DCE6F1" w:val="clear"/>
            <w:vAlign w:val="center"/>
          </w:tcPr>
          <w:p>
            <w:pPr>
              <w:jc w:val="center"/>
            </w:pPr>
            <w:r>
              <w:rPr>
                <w:b w:val="false"/>
                <w:bCs w:val="false"/>
                <w:color w:val="000000"/>
                <w:sz w:val="20"/>
                <w:szCs w:val="20"/>
              </w:rPr>
              <w:t xml:space="preserve">0.791</w:t>
            </w:r>
          </w:p>
        </w:tc>
        <w:tc>
          <w:tcPr>
            <w:tcW w:type="dxa" w:w="1900"/>
            <w:shd w:fill="DCE6F1" w:val="clear"/>
            <w:vAlign w:val="center"/>
          </w:tcPr>
          <w:p>
            <w:pPr>
              <w:jc w:val="center"/>
            </w:pPr>
            <w:r>
              <w:rPr>
                <w:b w:val="false"/>
                <w:bCs w:val="false"/>
                <w:color w:val="000000"/>
                <w:sz w:val="20"/>
                <w:szCs w:val="20"/>
              </w:rPr>
              <w:t xml:space="preserve">0.823</w:t>
            </w:r>
          </w:p>
        </w:tc>
        <w:tc>
          <w:tcPr>
            <w:tcW w:type="dxa" w:w="1900"/>
            <w:shd w:fill="DCE6F1" w:val="clear"/>
            <w:vAlign w:val="center"/>
          </w:tcPr>
          <w:p>
            <w:pPr>
              <w:jc w:val="center"/>
            </w:pPr>
            <w:r>
              <w:rPr>
                <w:b w:val="false"/>
                <w:bCs w:val="false"/>
                <w:color w:val="000000"/>
                <w:sz w:val="20"/>
                <w:szCs w:val="20"/>
              </w:rPr>
              <w:t xml:space="preserve">0.788</w:t>
            </w:r>
          </w:p>
        </w:tc>
        <w:tc>
          <w:tcPr>
            <w:tcW w:type="dxa" w:w="1900"/>
            <w:shd w:fill="DCE6F1" w:val="clear"/>
            <w:vAlign w:val="center"/>
          </w:tcPr>
          <w:p>
            <w:pPr>
              <w:jc w:val="center"/>
            </w:pPr>
            <w:r>
              <w:rPr>
                <w:b w:val="false"/>
                <w:bCs w:val="false"/>
                <w:color w:val="000000"/>
                <w:sz w:val="20"/>
                <w:szCs w:val="20"/>
              </w:rPr>
              <w:t xml:space="preserve">0.796</w:t>
            </w:r>
          </w:p>
        </w:tc>
      </w:tr>
      <w:tr>
        <w:tc>
          <w:tcPr>
            <w:tcW w:type="dxa" w:w="2600"/>
            <w:vAlign w:val="center"/>
          </w:tcPr>
          <w:p>
            <w:pPr>
              <w:jc w:val="center"/>
            </w:pPr>
            <w:r>
              <w:rPr>
                <w:b w:val="false"/>
                <w:bCs w:val="false"/>
                <w:color w:val="000000"/>
                <w:sz w:val="20"/>
                <w:szCs w:val="20"/>
              </w:rPr>
              <w:t xml:space="preserve">CatBoost</w:t>
            </w:r>
          </w:p>
        </w:tc>
        <w:tc>
          <w:tcPr>
            <w:tcW w:type="dxa" w:w="1900"/>
            <w:vAlign w:val="center"/>
          </w:tcPr>
          <w:p>
            <w:pPr>
              <w:jc w:val="center"/>
            </w:pPr>
            <w:r>
              <w:rPr>
                <w:b w:val="false"/>
                <w:bCs w:val="false"/>
                <w:color w:val="000000"/>
                <w:sz w:val="20"/>
                <w:szCs w:val="20"/>
              </w:rPr>
              <w:t xml:space="preserve">0.785</w:t>
            </w:r>
          </w:p>
        </w:tc>
        <w:tc>
          <w:tcPr>
            <w:tcW w:type="dxa" w:w="1900"/>
            <w:vAlign w:val="center"/>
          </w:tcPr>
          <w:p>
            <w:pPr>
              <w:jc w:val="center"/>
            </w:pPr>
            <w:r>
              <w:rPr>
                <w:b w:val="false"/>
                <w:bCs w:val="false"/>
                <w:color w:val="000000"/>
                <w:sz w:val="20"/>
                <w:szCs w:val="20"/>
              </w:rPr>
              <w:t xml:space="preserve">0.821</w:t>
            </w:r>
          </w:p>
        </w:tc>
        <w:tc>
          <w:tcPr>
            <w:tcW w:type="dxa" w:w="1900"/>
            <w:vAlign w:val="center"/>
          </w:tcPr>
          <w:p>
            <w:pPr>
              <w:jc w:val="center"/>
            </w:pPr>
            <w:r>
              <w:rPr>
                <w:b w:val="false"/>
                <w:bCs w:val="false"/>
                <w:color w:val="000000"/>
                <w:sz w:val="20"/>
                <w:szCs w:val="20"/>
              </w:rPr>
              <w:t xml:space="preserve">0.784</w:t>
            </w:r>
          </w:p>
        </w:tc>
        <w:tc>
          <w:tcPr>
            <w:tcW w:type="dxa" w:w="1900"/>
            <w:vAlign w:val="center"/>
          </w:tcPr>
          <w:p>
            <w:pPr>
              <w:jc w:val="center"/>
            </w:pPr>
            <w:r>
              <w:rPr>
                <w:b w:val="false"/>
                <w:bCs w:val="false"/>
                <w:color w:val="000000"/>
                <w:sz w:val="20"/>
                <w:szCs w:val="20"/>
              </w:rPr>
              <w:t xml:space="preserve">0.801</w:t>
            </w:r>
          </w:p>
        </w:tc>
      </w:tr>
    </w:tbl>
    <w:p>
      <w:pPr>
        <w:spacing w:after="200"/>
      </w:pPr>
    </w:p>
    <w:p>
      <w:pPr>
        <w:spacing w:after="160"/>
        <w:jc w:val="both"/>
      </w:pPr>
      <w:r>
        <w:t xml:space="preserve">CatBoost achieved the highest test ROC-AUC (0.801), narrowly ahead of XGBoost (0.799), with all five models clustering in a fairly tight 0.78–0.80 range on the real test set. The gap between validation and test ROC-AUC was modest and consistent across models (roughly 0.015–0.027), consistent with ordinary sampling variation rather than overfitting; LightGBM showed the largest such gap (0.823 → 0.796).</w:t>
      </w:r>
    </w:p>
    <w:p>
      <w:pPr>
        <w:spacing w:after="160"/>
        <w:jc w:val="both"/>
      </w:pPr>
      <w:r>
        <w:t xml:space="preserve">The most notable difference between models was recall on the positive class. Logistic Regression achieved only 0.33 recall on both validation and test — meaning it fails to identify roughly two-thirds of candidates who actually go on to change jobs — while every tree-based ensemble achieved 0.67–0.78 recall, at some cost to precision. Feature importance rankings from the tree-based models consistently placed city_development_index, company_size, and experience among the top predictors, aligning with the missingness pattern identified during exploratory analysis.</w:t>
      </w:r>
    </w:p>
    <w:p>
      <w:pPr>
        <w:pStyle w:val="Heading1"/>
        <w:spacing w:after="140" w:before="280"/>
      </w:pPr>
      <w:r>
        <w:t xml:space="preserve">5. Conclusions</w:t>
      </w:r>
    </w:p>
    <w:p>
      <w:pPr>
        <w:spacing w:after="160"/>
        <w:jc w:val="both"/>
      </w:pPr>
      <w:r>
        <w:t xml:space="preserve">Tree-based ensemble methods (Random Forest, XGBoost, LightGBM, CatBoost) clearly outperform Logistic Regression for this task, primarily by capturing substantially more of the true job-changers (higher recall) without a large sacrifice in overall accuracy or ROC-AUC. CatBoost is recommended as the strongest candidate for deployment, with XGBoost as a close second; Logistic Regression, despite a respectable ROC-AUC, is not recommended given its weak recall, which would cause the company to overlook a large share of likely job-changers in practice.</w:t>
      </w:r>
    </w:p>
    <w:p>
      <w:pPr>
        <w:spacing w:after="160"/>
        <w:jc w:val="both"/>
      </w:pPr>
      <w:r>
        <w:t xml:space="preserve">This project has some limitations worth addressing in future work: hyperparameter tuning was not performed for any of the boosted models (all used the same fixed configuration), the classification threshold was left at the default 0.5 rather than tuned to the company's actual cost trade-off between false positives and false negatives, and feature importance was assessed using each model's built-in metric rather than a more rigorous, model-agnostic method such as SHAP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2026-09-07T23:59:00.426Z</dcterms:created>
  <dcterms:modified xsi:type="dcterms:W3CDTF">2026-09-07T23:59:00.437Z</dcterms:modified>
</cp:coreProperties>
</file>

<file path=docProps/custom.xml><?xml version="1.0" encoding="utf-8"?>
<Properties xmlns="http://schemas.openxmlformats.org/officeDocument/2006/custom-properties" xmlns:vt="http://schemas.openxmlformats.org/officeDocument/2006/docPropsVTypes"/>
</file>