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Calibri" w:cs="Calibri" w:eastAsia="Calibri" w:hAnsi="Calibri"/>
          <w:b/>
          <w:bCs/>
          <w:color w:val="0F172A"/>
          <w:sz w:val="32"/>
          <w:szCs w:val="32"/>
        </w:rPr>
        <w:t xml:space="preserve">📘 المرجع الشامل والتوثيق المرجعي لمنظومة MeDo ERP السحابية (BZMT)</w:t>
      </w:r>
    </w:p>
    <w:p>
      <w:pPr>
        <w:bidi/>
        <w:spacing w:after="200"/>
        <w:jc w:val="center"/>
      </w:pPr>
      <w:r>
        <w:rPr>
          <w:rFonts w:ascii="Calibri" w:cs="Calibri" w:eastAsia="Calibri" w:hAnsi="Calibri"/>
          <w:b/>
          <w:bCs/>
          <w:color w:val="2563EB"/>
          <w:sz w:val="22"/>
          <w:szCs w:val="22"/>
        </w:rPr>
        <w:t xml:space="preserve">ميدو تك للحلول البرمجية والمصرفية — Enterprise Edition v4.5</w:t>
      </w:r>
    </w:p>
    <w:p>
      <w:pPr>
        <w:bidi/>
        <w:spacing w:after="120" w:line="320"/>
        <w:jc w:val="right"/>
      </w:pPr>
      <w:r>
        <w:rPr>
          <w:rFonts w:ascii="Calibri" w:cs="Calibri" w:eastAsia="Calibri" w:hAnsi="Calibri"/>
          <w:b/>
          <w:bCs/>
          <w:color w:val="1E3A8A"/>
          <w:sz w:val="22"/>
          <w:szCs w:val="22"/>
        </w:rPr>
        <w:t xml:space="preserve">إلى: الأستاذ / بدر عايض محمد — المؤسس والمدير العام لنظام MeDo ERP (ميدو تك للحلول البرمجية والمصرفية)</w:t>
      </w:r>
    </w:p>
    <w:p>
      <w:pPr>
        <w:bidi/>
        <w:spacing w:after="240" w:line="320"/>
        <w:jc w:val="right"/>
      </w:pPr>
      <w:r>
        <w:rPr>
          <w:rFonts w:ascii="Calibri" w:cs="Calibri" w:eastAsia="Calibri" w:hAnsi="Calibri"/>
          <w:b w:val="false"/>
          <w:bCs w:val="false"/>
          <w:color w:val="475569"/>
          <w:sz w:val="20"/>
          <w:szCs w:val="20"/>
        </w:rPr>
        <w:t xml:space="preserve">التاريخ: 24 سبتمبر 2026 | البريد الإلكتروني: zyadbdr925@gmail.com | رقم التواصل: +967 773 586 047 | الإصدار: v4.5 Enterprise</w:t>
      </w:r>
    </w:p>
    <w:p>
      <w:pPr>
        <w:pBdr>
          <w:bottom w:val="single" w:color="2563EB" w:sz="6"/>
        </w:pBdr>
        <w:spacing w:after="240"/>
      </w:pPr>
    </w:p>
    <w:p>
      <w:pPr>
        <w:pStyle w:val="Heading1"/>
        <w:bidi/>
        <w:spacing w:after="150" w:before="300"/>
        <w:jc w:val="right"/>
      </w:pPr>
      <w:r>
        <w:rPr>
          <w:rFonts w:ascii="Calibri" w:cs="Calibri" w:eastAsia="Calibri" w:hAnsi="Calibri"/>
          <w:b/>
          <w:bCs/>
          <w:color w:val="1E3A8A"/>
          <w:sz w:val="28"/>
          <w:szCs w:val="28"/>
        </w:rPr>
        <w:t xml:space="preserve">1. الفهرس والنظرة العامة على المرجع الشامل</w:t>
      </w:r>
    </w:p>
    <w:p>
      <w:pPr>
        <w:bidi/>
        <w:spacing w:after="120" w:line="320"/>
        <w:jc w:val="right"/>
      </w:pPr>
      <w:r>
        <w:rPr>
          <w:rFonts w:ascii="Calibri" w:cs="Calibri" w:eastAsia="Calibri" w:hAnsi="Calibri"/>
          <w:b w:val="false"/>
          <w:bCs w:val="false"/>
          <w:color w:val="1E293B"/>
          <w:sz w:val="22"/>
          <w:szCs w:val="22"/>
        </w:rPr>
        <w:t xml:space="preserve">هذا المستند هو المرجع الشامل والتوثيق المرجعي الكامل لمنظومة MeDo ERP السحابية المؤسسية. يحتوي المستند على الهيكلية التقنية الدقيقة للمشروع، وشجرة الملفات الكاملة باللغة العربية، والمكونات البرمجية، والخدمات وقواعد البيانات، ومتطلبات النظام، والحلول الأمنية والمحاسبية المعتمدة وفق معايير IFRS والامتثال الضريبي والمصرفي.</w:t>
      </w:r>
    </w:p>
    <w:p>
      <w:pPr>
        <w:pStyle w:val="Heading1"/>
        <w:bidi/>
        <w:spacing w:after="150" w:before="300"/>
        <w:jc w:val="right"/>
      </w:pPr>
      <w:r>
        <w:rPr>
          <w:rFonts w:ascii="Calibri" w:cs="Calibri" w:eastAsia="Calibri" w:hAnsi="Calibri"/>
          <w:b/>
          <w:bCs/>
          <w:color w:val="1E3A8A"/>
          <w:sz w:val="28"/>
          <w:szCs w:val="28"/>
        </w:rPr>
        <w:t xml:space="preserve">2. شجرة الملفات الكاملة وهيكلية المشروع (Project Architecture Tree)</w:t>
      </w:r>
    </w:p>
    <w:p>
      <w:pPr>
        <w:bidi/>
        <w:spacing w:after="120" w:line="320"/>
        <w:jc w:val="right"/>
      </w:pPr>
      <w:r>
        <w:rPr>
          <w:rFonts w:ascii="Calibri" w:cs="Calibri" w:eastAsia="Calibri" w:hAnsi="Calibri"/>
          <w:b w:val="false"/>
          <w:bCs w:val="false"/>
          <w:color w:val="1E293B"/>
          <w:sz w:val="22"/>
          <w:szCs w:val="22"/>
        </w:rPr>
        <w:t xml:space="preserve">جدول الحزم والملفات الرئيسية في الجذر (Root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5%"/>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w:t>
            </w:r>
          </w:p>
        </w:tc>
        <w:tc>
          <w:tcPr>
            <w:tcW w:type="pct" w:w="25%"/>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اسم الملف (إنجليزي)</w:t>
            </w:r>
          </w:p>
        </w:tc>
        <w:tc>
          <w:tcPr>
            <w:tcW w:type="pct" w:w="25%"/>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الاسم بالعربية</w:t>
            </w:r>
          </w:p>
        </w:tc>
        <w:tc>
          <w:tcPr>
            <w:tcW w:type="pct" w:w="30%"/>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الوصف والوظيفة</w:t>
            </w:r>
          </w:p>
        </w:tc>
        <w:tc>
          <w:tcPr>
            <w:tcW w:type="pct" w:w="15%"/>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المسار</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1</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index.html</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صفحة البداية الرئيسية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مدخل التطبيق وهيكل DOM والخطوط المعتمدة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2</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package.json</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ملف الحزم والاعتمادات</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إدارة حزم Node والمكتبات وأوامر التشغيل والبناء</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3</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server.ts</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خادم Express الرئيسي</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الواجهات الخلفية، الذكاء الاصطناعي، قاعدة البيانات، والبريد</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4</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vite.config.ts</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إعدادات البناء Vite</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ضبط المترجم والخوادم والمكونات الإضافية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5</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tailwind.config.js</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إعدادات التصميم Tailwind</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تحديد الألوان والأنماط والتخطيط تجاوبي الأبعاد</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6</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tsconfig.json</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إعدادات تايب سكريبت</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قواعد فحص الأنواع الصارمة والترجمة البرمجية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7</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firestore.rules</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قواعد أمان الفايربيس</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ضبط صلاحيات الوصول والحماية لبيانات الفايربيس</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w:t>
            </w:r>
          </w:p>
        </w:tc>
      </w:tr>
    </w:tbl>
    <w:p>
      <w:pPr>
        <w:pStyle w:val="Heading2"/>
        <w:bidi/>
        <w:spacing w:after="100" w:before="200"/>
        <w:jc w:val="right"/>
      </w:pPr>
      <w:r>
        <w:rPr>
          <w:rFonts w:ascii="Calibri" w:cs="Calibri" w:eastAsia="Calibri" w:hAnsi="Calibri"/>
          <w:b/>
          <w:bCs/>
          <w:color w:val="2563EB"/>
          <w:sz w:val="24"/>
          <w:szCs w:val="24"/>
        </w:rPr>
        <w:t xml:space="preserve">2.1 مجلد src/components (المكونات الرئيسية للواجهة)</w:t>
      </w:r>
    </w:p>
    <w:p>
      <w:pPr>
        <w:bidi/>
        <w:spacing w:after="120" w:line="320"/>
        <w:jc w:val="right"/>
      </w:pPr>
      <w:r>
        <w:rPr>
          <w:rFonts w:ascii="Calibri" w:cs="Calibri" w:eastAsia="Calibri" w:hAnsi="Calibri"/>
          <w:b w:val="false"/>
          <w:bCs w:val="false"/>
          <w:color w:val="1E293B"/>
          <w:sz w:val="22"/>
          <w:szCs w:val="22"/>
        </w:rPr>
        <w:t xml:space="preserve">يحتوي مجلد الواجهات على أكثر من 100 مكون تفاعلي يغطي كافة الوحدات المحاسبية والإدارية: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w:t>
            </w:r>
          </w:p>
        </w:tc>
        <w:tc>
          <w:tcPr>
            <w:tcW w:type="pct" w:w="30%"/>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المكون (Component)</w:t>
            </w:r>
          </w:p>
        </w:tc>
        <w:tc>
          <w:tcPr>
            <w:tcW w:type="pct" w:w="30%"/>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الاسم الوظيفي بالعربية</w:t>
            </w:r>
          </w:p>
        </w:tc>
        <w:tc>
          <w:tcPr>
            <w:tcW w:type="pct" w:w="35%"/>
            <w:tcBorders>
              <w:top w:val="single" w:color="CBD5E1" w:sz="1"/>
              <w:left w:val="single" w:color="CBD5E1" w:sz="1"/>
              <w:bottom w:val="single" w:color="CBD5E1" w:sz="1"/>
              <w:right w:val="single" w:color="CBD5E1" w:sz="1"/>
            </w:tcBorders>
            <w:shd w:fill="1E3A8A" w:color="auto" w:val="clear"/>
          </w:tcPr>
          <w:p>
            <w:pPr>
              <w:bidi/>
              <w:jc w:val="right"/>
            </w:pPr>
            <w:r>
              <w:rPr>
                <w:rFonts w:ascii="Calibri" w:cs="Calibri" w:eastAsia="Calibri" w:hAnsi="Calibri"/>
                <w:b/>
                <w:bCs/>
                <w:color w:val="FFFFFF"/>
                <w:sz w:val="22"/>
                <w:szCs w:val="22"/>
              </w:rPr>
              <w:t xml:space="preserve">الوظيفة والمسؤولية التقنية</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1</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App.tsx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التطبيق الرئيسي ومزود السياق</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إدارة التنقل والـ Tabs والحالة العامة للنظام والراوتر</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2</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MainLayout.tsx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الهيكل والتخطيط العام</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ترتيب الشريط العلوي والقائمة الجانبية والشاشة المركزية</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3</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Header.tsx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الترويسة والشريط العلوي</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مؤشرات السحابة، تغيير الفرع، البحث الذكي، وإشعارات الأمان</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4</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Sidebar.tsx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القائمة الجانبية الرئيسية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التنقل المباشر بين جميع الأقسام التشغيلية والموديلات</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5</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Dashboard.tsx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لوحة التحكم المركزية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المؤشرات المالية، المبيعات، التدفقات النقدية والرسوم البيانية</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6</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ChartOfAccountsView.tsx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دليل الحسابات الشجري</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إدارة 6 مستويات من دليل الحسابات المعتمد وفق IFRS</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7</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JournalEntriesView.tsx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قيود اليومية المحاسبية</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إنشاء القيود المزدوجة المتوازنة، الترحيل، وطباعة السندات</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8</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SalesAndReturnsView.tsx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شاشة المبيعات والمردودات</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إصدار الفواتير الضريبية، الفاتورة الإلكترونية ZATCA، والمردودات</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9</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PurchasesAndReturnsView.tsx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المشتريات ومردوداتها</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تسجيل فواتير المشتريات والاعتمادات والمردودات</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10</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InventoryView.tsx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إدارة المخزون والأصناف</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جرد المخزون، الحركات المخزنية، التحويل بين المستودعات وتقييم FIFO</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11</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MohasibDataMigrationWizard.tsx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معالج ترحيل المحاسب المحترف</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قراءة واستيراد ملفات .DMP و Excel والترحيل المباشر</w:t>
            </w:r>
          </w:p>
        </w:tc>
      </w:tr>
      <w:tr>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12</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ZatcaVatReturnGenerator.tsx</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مولد الإقرار الزكوي والضريبي</w:t>
            </w:r>
          </w:p>
        </w:tc>
        <w:tc>
          <w:tcPr>
            <w:tcW w:type="pct" w:w="25%"/>
            <w:tcBorders>
              <w:top w:val="single" w:color="CBD5E1" w:sz="1"/>
              <w:left w:val="single" w:color="CBD5E1" w:sz="1"/>
              <w:bottom w:val="single" w:color="CBD5E1" w:sz="1"/>
              <w:right w:val="single" w:color="CBD5E1" w:sz="1"/>
            </w:tcBorders>
            <w:shd w:fill="F8FAFC" w:color="auto" w:val="clear"/>
          </w:tcPr>
          <w:p>
            <w:pPr>
              <w:bidi/>
              <w:jc w:val="right"/>
            </w:pPr>
            <w:r>
              <w:rPr>
                <w:rFonts w:ascii="Calibri" w:cs="Calibri" w:eastAsia="Calibri" w:hAnsi="Calibri"/>
                <w:b w:val="false"/>
                <w:bCs w:val="false"/>
                <w:color w:val="0F172A"/>
                <w:sz w:val="20"/>
                <w:szCs w:val="20"/>
              </w:rPr>
              <w:t xml:space="preserve">احتساب الضريبة المضافة ZATCA والتقرير الزكوي السنوي</w:t>
            </w:r>
          </w:p>
        </w:tc>
      </w:tr>
    </w:tbl>
    <w:p>
      <w:pPr>
        <w:pStyle w:val="Heading1"/>
        <w:bidi/>
        <w:spacing w:after="150" w:before="300"/>
        <w:jc w:val="right"/>
      </w:pPr>
      <w:r>
        <w:rPr>
          <w:rFonts w:ascii="Calibri" w:cs="Calibri" w:eastAsia="Calibri" w:hAnsi="Calibri"/>
          <w:b/>
          <w:bCs/>
          <w:color w:val="1E3A8A"/>
          <w:sz w:val="28"/>
          <w:szCs w:val="28"/>
        </w:rPr>
        <w:t xml:space="preserve">3. التقنيات والمكتبات والمكونات البرمجية المستخدمة (Tech Stack)</w:t>
      </w:r>
    </w:p>
    <w:p>
      <w:pPr>
        <w:bidi/>
        <w:spacing w:after="120" w:line="320"/>
        <w:jc w:val="right"/>
      </w:pPr>
      <w:r>
        <w:rPr>
          <w:rFonts w:ascii="Calibri" w:cs="Calibri" w:eastAsia="Calibri" w:hAnsi="Calibri"/>
          <w:b w:val="false"/>
          <w:bCs w:val="false"/>
          <w:color w:val="1E293B"/>
          <w:sz w:val="22"/>
          <w:szCs w:val="22"/>
        </w:rPr>
        <w:t xml:space="preserve">تتضمن المنظومة أفضل التقنيات الحديثة لضمان السرعة الفائقة، الأمان السيادي، والاعتمادية العالية:</w:t>
      </w:r>
    </w:p>
    <w:p>
      <w:pPr>
        <w:bidi/>
        <w:spacing w:after="120" w:line="320"/>
        <w:jc w:val="right"/>
      </w:pPr>
      <w:r>
        <w:rPr>
          <w:rFonts w:ascii="Calibri" w:cs="Calibri" w:eastAsia="Calibri" w:hAnsi="Calibri"/>
          <w:b w:val="false"/>
          <w:bCs w:val="false"/>
          <w:color w:val="1E293B"/>
          <w:sz w:val="22"/>
          <w:szCs w:val="22"/>
        </w:rPr>
        <w:t xml:space="preserve">• الواجهة الأمامية: React 19, Vite 6, TypeScript 5.8, Tailwind CSS v4, Motion (Framer Motion).</w:t>
      </w:r>
    </w:p>
    <w:p>
      <w:pPr>
        <w:bidi/>
        <w:spacing w:after="120" w:line="320"/>
        <w:jc w:val="right"/>
      </w:pPr>
      <w:r>
        <w:rPr>
          <w:rFonts w:ascii="Calibri" w:cs="Calibri" w:eastAsia="Calibri" w:hAnsi="Calibri"/>
          <w:b w:val="false"/>
          <w:bCs w:val="false"/>
          <w:color w:val="1E293B"/>
          <w:sz w:val="22"/>
          <w:szCs w:val="22"/>
        </w:rPr>
        <w:t xml:space="preserve">• خادم الخلفية والأنظمة: Node.js Express Server, tsx Runtime Engine.</w:t>
      </w:r>
    </w:p>
    <w:p>
      <w:pPr>
        <w:bidi/>
        <w:spacing w:after="120" w:line="320"/>
        <w:jc w:val="right"/>
      </w:pPr>
      <w:r>
        <w:rPr>
          <w:rFonts w:ascii="Calibri" w:cs="Calibri" w:eastAsia="Calibri" w:hAnsi="Calibri"/>
          <w:b w:val="false"/>
          <w:bCs w:val="false"/>
          <w:color w:val="1E293B"/>
          <w:sz w:val="22"/>
          <w:szCs w:val="22"/>
        </w:rPr>
        <w:t xml:space="preserve">• قواعد البيانات المزدوجة: PostgreSQL Cloud SQL مع Drizzle ORM للبيانات الهيكلية المحاسبية، و Firebase Firestore للحالات المزامنة سحابياً.</w:t>
      </w:r>
    </w:p>
    <w:p>
      <w:pPr>
        <w:bidi/>
        <w:spacing w:after="120" w:line="320"/>
        <w:jc w:val="right"/>
      </w:pPr>
      <w:r>
        <w:rPr>
          <w:rFonts w:ascii="Calibri" w:cs="Calibri" w:eastAsia="Calibri" w:hAnsi="Calibri"/>
          <w:b w:val="false"/>
          <w:bCs w:val="false"/>
          <w:color w:val="1E293B"/>
          <w:sz w:val="22"/>
          <w:szCs w:val="22"/>
        </w:rPr>
        <w:t xml:space="preserve">• الذكاء الاصطناعي: Google GenAI SDK (@google/genai) بنماذج Gemini 3.7 Flash و Gemini 3.6 Flash للتحليل المالي والمستشار الذكي وقراءة الفواتير والقيود الصوتية.</w:t>
      </w:r>
    </w:p>
    <w:p>
      <w:pPr>
        <w:bidi/>
        <w:spacing w:after="120" w:line="320"/>
        <w:jc w:val="right"/>
      </w:pPr>
      <w:r>
        <w:rPr>
          <w:rFonts w:ascii="Calibri" w:cs="Calibri" w:eastAsia="Calibri" w:hAnsi="Calibri"/>
          <w:b w:val="false"/>
          <w:bCs w:val="false"/>
          <w:color w:val="1E293B"/>
          <w:sz w:val="22"/>
          <w:szCs w:val="22"/>
        </w:rPr>
        <w:t xml:space="preserve">• الأمان وبصمات الأصابع: WebAuthn (@simplewebauthn) للبصمة الحيوية وبصمة الوجه، ونظام WAF مع مشفر الحسابات السيادية.</w:t>
      </w:r>
    </w:p>
    <w:p>
      <w:pPr>
        <w:bidi/>
        <w:spacing w:after="120" w:line="320"/>
        <w:jc w:val="right"/>
      </w:pPr>
      <w:r>
        <w:rPr>
          <w:rFonts w:ascii="Calibri" w:cs="Calibri" w:eastAsia="Calibri" w:hAnsi="Calibri"/>
          <w:b w:val="false"/>
          <w:bCs w:val="false"/>
          <w:color w:val="1E293B"/>
          <w:sz w:val="22"/>
          <w:szCs w:val="22"/>
        </w:rPr>
        <w:t xml:space="preserve">• التقارير والتصدير: HTML2PDF.js, PDFKit, XLSX لمستندات إكسل، و DOCX للتوثيق المرجعي.</w:t>
      </w:r>
    </w:p>
    <w:p>
      <w:pPr>
        <w:pStyle w:val="Heading1"/>
        <w:bidi/>
        <w:spacing w:after="150" w:before="300"/>
        <w:jc w:val="right"/>
      </w:pPr>
      <w:r>
        <w:rPr>
          <w:rFonts w:ascii="Calibri" w:cs="Calibri" w:eastAsia="Calibri" w:hAnsi="Calibri"/>
          <w:b/>
          <w:bCs/>
          <w:color w:val="1E3A8A"/>
          <w:sz w:val="28"/>
          <w:szCs w:val="28"/>
        </w:rPr>
        <w:t xml:space="preserve">4. جميع متطلبات وتجهيزات تشغيل النظام (System Requirements)</w:t>
      </w:r>
    </w:p>
    <w:p>
      <w:pPr>
        <w:bidi/>
        <w:spacing w:after="120" w:line="320"/>
        <w:jc w:val="right"/>
      </w:pPr>
      <w:r>
        <w:rPr>
          <w:rFonts w:ascii="Calibri" w:cs="Calibri" w:eastAsia="Calibri" w:hAnsi="Calibri"/>
          <w:b w:val="false"/>
          <w:bCs w:val="false"/>
          <w:color w:val="1E293B"/>
          <w:sz w:val="22"/>
          <w:szCs w:val="22"/>
        </w:rPr>
        <w:t xml:space="preserve">تضمن متطلبات التشغيل الأداء الأمثل للأنظمة ذات الاستخدام المؤسسي كثيف البيانات:</w:t>
      </w:r>
    </w:p>
    <w:p>
      <w:pPr>
        <w:bidi/>
        <w:spacing w:after="120" w:line="320"/>
        <w:jc w:val="right"/>
      </w:pPr>
      <w:r>
        <w:rPr>
          <w:rFonts w:ascii="Calibri" w:cs="Calibri" w:eastAsia="Calibri" w:hAnsi="Calibri"/>
          <w:b w:val="false"/>
          <w:bCs w:val="false"/>
          <w:color w:val="1E293B"/>
          <w:sz w:val="22"/>
          <w:szCs w:val="22"/>
        </w:rPr>
        <w:t xml:space="preserve">1. الخادم السحابي (Cloud Server): وحدة معالجة 2 vCPU فأعلى، ذاكرة 4GB RAM، بيئة Node.js 20+، مع دعم المنفذ 3000 أو الوكيل العكسي Nginx/Cloudflare.</w:t>
      </w:r>
    </w:p>
    <w:p>
      <w:pPr>
        <w:bidi/>
        <w:spacing w:after="120" w:line="320"/>
        <w:jc w:val="right"/>
      </w:pPr>
      <w:r>
        <w:rPr>
          <w:rFonts w:ascii="Calibri" w:cs="Calibri" w:eastAsia="Calibri" w:hAnsi="Calibri"/>
          <w:b w:val="false"/>
          <w:bCs w:val="false"/>
          <w:color w:val="1E293B"/>
          <w:sz w:val="22"/>
          <w:szCs w:val="22"/>
        </w:rPr>
        <w:t xml:space="preserve">2. قاعدة البيانات (Database): خادم PostgreSQL 15+ أو Cloud SQL مع دعم التشفير وحفظ النسخ الاحتياطية التلقائية.</w:t>
      </w:r>
    </w:p>
    <w:p>
      <w:pPr>
        <w:bidi/>
        <w:spacing w:after="120" w:line="320"/>
        <w:jc w:val="right"/>
      </w:pPr>
      <w:r>
        <w:rPr>
          <w:rFonts w:ascii="Calibri" w:cs="Calibri" w:eastAsia="Calibri" w:hAnsi="Calibri"/>
          <w:b w:val="false"/>
          <w:bCs w:val="false"/>
          <w:color w:val="1E293B"/>
          <w:sz w:val="22"/>
          <w:szCs w:val="22"/>
        </w:rPr>
        <w:t xml:space="preserve">3. الشبكة والأمان: بروتوكول HTTPS المشفر، شهادة SSL/TLS، دعم WebSocket للمزامنة اللحظية.</w:t>
      </w:r>
    </w:p>
    <w:p>
      <w:pPr>
        <w:bidi/>
        <w:spacing w:after="120" w:line="320"/>
        <w:jc w:val="right"/>
      </w:pPr>
      <w:r>
        <w:rPr>
          <w:rFonts w:ascii="Calibri" w:cs="Calibri" w:eastAsia="Calibri" w:hAnsi="Calibri"/>
          <w:b w:val="false"/>
          <w:bCs w:val="false"/>
          <w:color w:val="1E293B"/>
          <w:sz w:val="22"/>
          <w:szCs w:val="22"/>
        </w:rPr>
        <w:t xml:space="preserve">4. متطلبات العميل والمتصفح: متصفحات Chrome, Edge, Safari الحديثة مع دعم PWA والطباعة المباشرة لجميع أحجام الأوراق (A4, Thermal Receipt).</w:t>
      </w:r>
    </w:p>
    <w:p>
      <w:pPr>
        <w:pStyle w:val="Heading1"/>
        <w:bidi/>
        <w:spacing w:after="150" w:before="300"/>
        <w:jc w:val="right"/>
      </w:pPr>
      <w:r>
        <w:rPr>
          <w:rFonts w:ascii="Calibri" w:cs="Calibri" w:eastAsia="Calibri" w:hAnsi="Calibri"/>
          <w:b/>
          <w:bCs/>
          <w:color w:val="1E3A8A"/>
          <w:sz w:val="28"/>
          <w:szCs w:val="28"/>
        </w:rPr>
        <w:t xml:space="preserve">5. الدليل التشغيلي للوحدات والوظائف الأساسية في MeDo ERP</w:t>
      </w:r>
    </w:p>
    <w:p>
      <w:pPr>
        <w:bidi/>
        <w:spacing w:after="120" w:line="320"/>
        <w:jc w:val="right"/>
      </w:pPr>
      <w:r>
        <w:rPr>
          <w:rFonts w:ascii="Calibri" w:cs="Calibri" w:eastAsia="Calibri" w:hAnsi="Calibri"/>
          <w:b w:val="false"/>
          <w:bCs w:val="false"/>
          <w:color w:val="1E293B"/>
          <w:sz w:val="22"/>
          <w:szCs w:val="22"/>
        </w:rPr>
        <w:t xml:space="preserve">1. دليل الحسابات (Chart of Accounts): هيكل شجري مرن يطابق معايير المحاسبة الدولية IFRS، يدعم الحسابات الرئيسية والفرعية حتى 6 مستويات، وتعدد العملات (الريال اليمني صنعاء/عدن، الريال السعودي، الدولار الأمريكي).</w:t>
      </w:r>
    </w:p>
    <w:p>
      <w:pPr>
        <w:bidi/>
        <w:spacing w:after="120" w:line="320"/>
        <w:jc w:val="right"/>
      </w:pPr>
      <w:r>
        <w:rPr>
          <w:rFonts w:ascii="Calibri" w:cs="Calibri" w:eastAsia="Calibri" w:hAnsi="Calibri"/>
          <w:b w:val="false"/>
          <w:bCs w:val="false"/>
          <w:color w:val="1E293B"/>
          <w:sz w:val="22"/>
          <w:szCs w:val="22"/>
        </w:rPr>
        <w:t xml:space="preserve">2. قيود اليومية (Journal Entries): قيود مزدوجة آلية ويدوية متوازنة تماماً (Total Debit = Total Credit) مع التحقق الفوري والربط بمراكز التكلفة والعملات المزدوجة.</w:t>
      </w:r>
    </w:p>
    <w:p>
      <w:pPr>
        <w:bidi/>
        <w:spacing w:after="120" w:line="320"/>
        <w:jc w:val="right"/>
      </w:pPr>
      <w:r>
        <w:rPr>
          <w:rFonts w:ascii="Calibri" w:cs="Calibri" w:eastAsia="Calibri" w:hAnsi="Calibri"/>
          <w:b w:val="false"/>
          <w:bCs w:val="false"/>
          <w:color w:val="1E293B"/>
          <w:sz w:val="22"/>
          <w:szCs w:val="22"/>
        </w:rPr>
        <w:t xml:space="preserve">3. المبيعات والمشتريات: نظام فواتير متطور يدعم مرحلة ZATCA Phase 2 والرمز المشفر QR، وحسابات الخصومات والضرائب، وإشعارات الدفع والمردودات.</w:t>
      </w:r>
    </w:p>
    <w:p>
      <w:pPr>
        <w:bidi/>
        <w:spacing w:after="120" w:line="320"/>
        <w:jc w:val="right"/>
      </w:pPr>
      <w:r>
        <w:rPr>
          <w:rFonts w:ascii="Calibri" w:cs="Calibri" w:eastAsia="Calibri" w:hAnsi="Calibri"/>
          <w:b w:val="false"/>
          <w:bCs w:val="false"/>
          <w:color w:val="1E293B"/>
          <w:sz w:val="22"/>
          <w:szCs w:val="22"/>
        </w:rPr>
        <w:t xml:space="preserve">4. ترحيل البيانات المتقدم: معالج ترحيل مخصص لاستيراد بيانات نظام المحاسب المحترف (.DMP) مع المعاينة الفورية للأصناف والعملاء والقيود قبل الاعتماد.</w:t>
      </w:r>
    </w:p>
    <w:p>
      <w:pPr>
        <w:bidi/>
        <w:spacing w:after="120" w:line="320"/>
        <w:jc w:val="right"/>
      </w:pPr>
      <w:r>
        <w:rPr>
          <w:rFonts w:ascii="Calibri" w:cs="Calibri" w:eastAsia="Calibri" w:hAnsi="Calibri"/>
          <w:b w:val="false"/>
          <w:bCs w:val="false"/>
          <w:color w:val="1E293B"/>
          <w:sz w:val="22"/>
          <w:szCs w:val="22"/>
        </w:rPr>
        <w:t xml:space="preserve">5. الذكاء الاصطناعي والبحث الصوتي: محرك MeDo AI لتحويل الأوامر الصوتية باللغة العربية إلى قيود محاسبية أو تقارير تحليلية مع توصيات التدقيق الخارجي.</w:t>
      </w:r>
    </w:p>
    <w:p>
      <w:pPr>
        <w:pStyle w:val="Heading1"/>
        <w:bidi/>
        <w:spacing w:after="150" w:before="300"/>
        <w:jc w:val="right"/>
      </w:pPr>
      <w:r>
        <w:rPr>
          <w:rFonts w:ascii="Calibri" w:cs="Calibri" w:eastAsia="Calibri" w:hAnsi="Calibri"/>
          <w:b/>
          <w:bCs/>
          <w:color w:val="1E3A8A"/>
          <w:sz w:val="28"/>
          <w:szCs w:val="28"/>
        </w:rPr>
        <w:t xml:space="preserve">6. الحوكمة والأمان وإخلاء المسؤولية القانونية</w:t>
      </w:r>
    </w:p>
    <w:p>
      <w:pPr>
        <w:bidi/>
        <w:spacing w:after="120" w:line="320"/>
        <w:jc w:val="right"/>
      </w:pPr>
      <w:r>
        <w:rPr>
          <w:rFonts w:ascii="Calibri" w:cs="Calibri" w:eastAsia="Calibri" w:hAnsi="Calibri"/>
          <w:b w:val="false"/>
          <w:bCs w:val="false"/>
          <w:color w:val="1E293B"/>
          <w:sz w:val="22"/>
          <w:szCs w:val="22"/>
        </w:rPr>
        <w:t xml:space="preserve">• سجلات التدقيق السيادية (Immutable Audit Trail): توثيق كامل لكافة العمليات وحركات الدخول والتعديلات برقم معتمد وبصمة IP/Device Fingerprint.</w:t>
      </w:r>
    </w:p>
    <w:p>
      <w:pPr>
        <w:bidi/>
        <w:spacing w:after="120" w:line="320"/>
        <w:jc w:val="right"/>
      </w:pPr>
      <w:r>
        <w:rPr>
          <w:rFonts w:ascii="Calibri" w:cs="Calibri" w:eastAsia="Calibri" w:hAnsi="Calibri"/>
          <w:b w:val="false"/>
          <w:bCs w:val="false"/>
          <w:color w:val="1E293B"/>
          <w:sz w:val="22"/>
          <w:szCs w:val="22"/>
        </w:rPr>
        <w:t xml:space="preserve">• حماية الخصوصية وعزل البيانات: تطبيق معايير DPA و GDPR في فصل بيانات المؤسسات والتشفير الكامل أثناء النقل والتخزين.</w:t>
      </w:r>
    </w:p>
    <w:p>
      <w:pPr>
        <w:bidi/>
        <w:spacing w:after="120" w:line="320"/>
        <w:jc w:val="right"/>
      </w:pPr>
      <w:r>
        <w:rPr>
          <w:rFonts w:ascii="Calibri" w:cs="Calibri" w:eastAsia="Calibri" w:hAnsi="Calibri"/>
          <w:b w:val="false"/>
          <w:bCs w:val="false"/>
          <w:color w:val="1E293B"/>
          <w:sz w:val="22"/>
          <w:szCs w:val="22"/>
        </w:rPr>
        <w:t xml:space="preserve">• إخلاء المسؤولية القانونية (Legal Disclaimer): تم تطوير منظومة MeDo ERP لتوافق أفضل المعايير المحاسبية والمصرفية. تبقى مسؤلية مراجعة المدخلات والاعتمادات النهائية على المحاسب والمدير المالي المعتمد للمنشأة وفق الأنظمة المحلية المتبعة.</w:t>
      </w:r>
    </w:p>
    <w:p>
      <w:pPr>
        <w:bidi/>
        <w:spacing w:before="300"/>
        <w:jc w:val="center"/>
      </w:pPr>
      <w:r>
        <w:rPr>
          <w:rFonts w:ascii="Calibri" w:cs="Calibri" w:eastAsia="Calibri" w:hAnsi="Calibri"/>
          <w:b/>
          <w:bCs/>
          <w:color w:val="64748B"/>
          <w:sz w:val="18"/>
          <w:szCs w:val="18"/>
        </w:rPr>
        <w:t xml:space="preserve">تم إعداد هذا المرجع التوثيقي الشامل بواسطة فريق تطوير MeDo ERP (BZMT) ليكون المرجع التقني والتنفيذي المعتمد. جميع الحقوق محفوظة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2026-09-24T14:44:11.303Z</dcterms:created>
  <dcterms:modified xsi:type="dcterms:W3CDTF">2026-09-24T14:44:11.303Z</dcterms:modified>
</cp:coreProperties>
</file>

<file path=docProps/custom.xml><?xml version="1.0" encoding="utf-8"?>
<Properties xmlns="http://schemas.openxmlformats.org/officeDocument/2006/custom-properties" xmlns:vt="http://schemas.openxmlformats.org/officeDocument/2006/docPropsVTypes"/>
</file>