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4D7FA">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32"/>
          <w:szCs w:val="32"/>
          <w:lang w:val="en-US" w:eastAsia="zh-CN"/>
        </w:rPr>
      </w:pPr>
      <w:bookmarkStart w:id="0" w:name="_GoBack"/>
      <w:bookmarkEnd w:id="0"/>
      <w:r>
        <w:rPr>
          <w:rFonts w:hint="eastAsia" w:ascii="Times New Roman" w:hAnsi="Times New Roman" w:cs="Times New Roman" w:eastAsiaTheme="minorEastAsia"/>
          <w:b/>
          <w:bCs/>
          <w:kern w:val="2"/>
          <w:sz w:val="32"/>
          <w:szCs w:val="32"/>
          <w:lang w:val="en-US" w:eastAsia="zh-CN"/>
        </w:rPr>
        <w:t>Questions 1</w:t>
      </w:r>
    </w:p>
    <w:p w14:paraId="6AF094E0">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8"/>
          <w:szCs w:val="28"/>
          <w:lang w:val="en-US" w:eastAsia="zh-CN"/>
        </w:rPr>
      </w:pPr>
    </w:p>
    <w:p w14:paraId="5F155F98">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 xml:space="preserve">1. </w:t>
      </w:r>
      <w:r>
        <w:rPr>
          <w:rFonts w:hint="default" w:ascii="Times New Roman" w:hAnsi="Times New Roman" w:cs="Times New Roman" w:eastAsiaTheme="minorEastAsia"/>
          <w:b/>
          <w:bCs/>
          <w:kern w:val="2"/>
          <w:sz w:val="28"/>
          <w:szCs w:val="28"/>
          <w:lang w:val="en-US" w:eastAsia="zh-CN"/>
        </w:rPr>
        <w:t>Introduction</w:t>
      </w:r>
    </w:p>
    <w:p w14:paraId="13735B62">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8"/>
          <w:szCs w:val="28"/>
          <w:lang w:val="en-US" w:eastAsia="zh-CN"/>
        </w:rPr>
      </w:pPr>
    </w:p>
    <w:p w14:paraId="3E3AF547">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This is a case about the interpretation and application of article 79 CISG and articles 6.2.2 and 6.2.3 UNIDROIT Principles following an unexpected change in the price of goods in a long-term supply contract. In 2021, Domat entered into a 15-year contract for supplying the coal to Cobble, which included a price adjustment clause of 6% per annum. However, coal prices increase by 80% in 2024 as it becomes apparent that the world’s coal reserves are considerably smaller than previously assumed. So Domat wants to claim that it is unreasonable to continue supply coal to Cobble, and Domat said he has the right to withdraw the contract or re-negotiations of the contract with a view to adjusting the price variation clause. Cobble refused Domat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s requirements. This essay argues that Domat cannot claim exemption under Article 79 CISG or Articles 6.2.2 and 6.2.3 of the UNIDROIT Principles after refusing to supply at the contract price.</w:t>
      </w:r>
    </w:p>
    <w:p w14:paraId="7D0F0D4C">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66A51D13">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2. Relevant Articles</w:t>
      </w:r>
    </w:p>
    <w:p w14:paraId="243ECFA4">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8"/>
          <w:szCs w:val="28"/>
          <w:lang w:val="en-US" w:eastAsia="zh-CN"/>
        </w:rPr>
      </w:pPr>
    </w:p>
    <w:p w14:paraId="004D56DB">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4"/>
          <w:szCs w:val="24"/>
          <w:lang w:val="en-US" w:eastAsia="zh-CN"/>
        </w:rPr>
      </w:pPr>
      <w:r>
        <w:rPr>
          <w:rFonts w:hint="eastAsia" w:ascii="Times New Roman" w:hAnsi="Times New Roman" w:cs="Times New Roman" w:eastAsiaTheme="minorEastAsia"/>
          <w:b/>
          <w:bCs/>
          <w:kern w:val="2"/>
          <w:sz w:val="24"/>
          <w:szCs w:val="24"/>
          <w:lang w:val="en-US" w:eastAsia="zh-CN"/>
        </w:rPr>
        <w:t>2.1. Article 79 of the CISG</w:t>
      </w:r>
    </w:p>
    <w:p w14:paraId="24E2A7B4">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21538BB9">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According to article 79(1) of CISG,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A party is not liable for a failure to perform any of its obligations if he proves that the failure was due to an impediment beyond his control and that he could not reasonably be expected to have taken the impediment into account at the time of the conclusion of the contract or to have avoided or overcome it or its consequences.</w:t>
      </w:r>
      <w:r>
        <w:rPr>
          <w:rFonts w:hint="default" w:ascii="Times New Roman" w:hAnsi="Times New Roman" w:cs="Times New Roman" w:eastAsiaTheme="minorEastAsia"/>
          <w:kern w:val="2"/>
          <w:sz w:val="24"/>
          <w:szCs w:val="24"/>
          <w:lang w:val="en-US" w:eastAsia="zh-CN"/>
        </w:rPr>
        <w:t>”</w:t>
      </w:r>
      <w:r>
        <w:rPr>
          <w:rStyle w:val="15"/>
          <w:rFonts w:hint="default" w:ascii="Times New Roman" w:hAnsi="Times New Roman" w:cs="Times New Roman" w:eastAsiaTheme="minorEastAsia"/>
          <w:kern w:val="2"/>
          <w:sz w:val="24"/>
          <w:szCs w:val="24"/>
          <w:lang w:val="en-US" w:eastAsia="zh-CN"/>
        </w:rPr>
        <w:footnoteReference w:id="0"/>
      </w:r>
      <w:r>
        <w:rPr>
          <w:rFonts w:hint="eastAsia" w:ascii="Times New Roman" w:hAnsi="Times New Roman" w:cs="Times New Roman" w:eastAsiaTheme="minorEastAsia"/>
          <w:kern w:val="2"/>
          <w:sz w:val="24"/>
          <w:szCs w:val="24"/>
          <w:lang w:val="en-US" w:eastAsia="zh-CN"/>
        </w:rPr>
        <w:t xml:space="preserve"> This article is designed to provide the parties</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right about exemption from liability for damages if the event is unforeseen, unavoidable or impossible to overcome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impediments</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It balances the interests of the parties while maintaining the stability of the contract. </w:t>
      </w:r>
      <w:r>
        <w:rPr>
          <w:rStyle w:val="15"/>
          <w:rFonts w:hint="eastAsia" w:ascii="Times New Roman" w:hAnsi="Times New Roman" w:cs="Times New Roman" w:eastAsiaTheme="minorEastAsia"/>
          <w:kern w:val="2"/>
          <w:sz w:val="24"/>
          <w:szCs w:val="24"/>
          <w:lang w:val="en-US" w:eastAsia="zh-CN"/>
        </w:rPr>
        <w:footnoteReference w:id="1"/>
      </w:r>
      <w:r>
        <w:rPr>
          <w:rFonts w:hint="eastAsia" w:ascii="Times New Roman" w:hAnsi="Times New Roman" w:cs="Times New Roman" w:eastAsiaTheme="minorEastAsia"/>
          <w:kern w:val="2"/>
          <w:sz w:val="24"/>
          <w:szCs w:val="24"/>
          <w:lang w:val="en-US" w:eastAsia="zh-CN"/>
        </w:rPr>
        <w:t xml:space="preserve"> </w:t>
      </w:r>
    </w:p>
    <w:p w14:paraId="6BD794E0">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249F0FC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If a party</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s contract governed by the CISG wants to invoke the exemption afforded by Art 79(1), they must show that (1) due to an impediment that was (2) beyond its control; (3) that it could not reasonably be expected to have taken into account at the time of conclusion of the contract; and (4) that it cannot reasonably be expected to have avoided or overcome.</w:t>
      </w:r>
      <w:r>
        <w:rPr>
          <w:rStyle w:val="15"/>
          <w:rFonts w:hint="eastAsia" w:ascii="Times New Roman" w:hAnsi="Times New Roman" w:cs="Times New Roman" w:eastAsiaTheme="minorEastAsia"/>
          <w:kern w:val="2"/>
          <w:sz w:val="24"/>
          <w:szCs w:val="24"/>
          <w:lang w:val="en-US" w:eastAsia="zh-CN"/>
        </w:rPr>
        <w:footnoteReference w:id="2"/>
      </w:r>
      <w:r>
        <w:rPr>
          <w:rFonts w:hint="eastAsia" w:ascii="Times New Roman" w:hAnsi="Times New Roman" w:cs="Times New Roman" w:eastAsiaTheme="minorEastAsia"/>
          <w:kern w:val="2"/>
          <w:sz w:val="24"/>
          <w:szCs w:val="24"/>
          <w:lang w:val="en-US" w:eastAsia="zh-CN"/>
        </w:rPr>
        <w:t xml:space="preserve"> The following essay will explain the above requirements step by step.</w:t>
      </w:r>
    </w:p>
    <w:p w14:paraId="65BDD19D">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67941694">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 Firstly, what is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The term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in article 79 of the CISG is a risk beyond control or a totally unexpected event, such as force majeure, financial impossibility or overburdening,</w:t>
      </w:r>
      <w:r>
        <w:rPr>
          <w:rStyle w:val="15"/>
          <w:rFonts w:hint="eastAsia" w:ascii="Times New Roman" w:hAnsi="Times New Roman" w:cs="Times New Roman" w:eastAsiaTheme="minorEastAsia"/>
          <w:kern w:val="2"/>
          <w:sz w:val="24"/>
          <w:szCs w:val="24"/>
          <w:lang w:val="en-US" w:eastAsia="zh-CN"/>
        </w:rPr>
        <w:footnoteReference w:id="3"/>
      </w:r>
      <w:r>
        <w:rPr>
          <w:rFonts w:hint="eastAsia" w:ascii="Times New Roman" w:hAnsi="Times New Roman" w:cs="Times New Roman" w:eastAsiaTheme="minorEastAsia"/>
          <w:kern w:val="2"/>
          <w:sz w:val="24"/>
          <w:szCs w:val="24"/>
          <w:lang w:val="en-US" w:eastAsia="zh-CN"/>
        </w:rPr>
        <w:t xml:space="preserve"> just like earthquake(natural disasters), wars or terrorist acts, etc.</w:t>
      </w:r>
      <w:r>
        <w:rPr>
          <w:rStyle w:val="15"/>
          <w:rFonts w:hint="eastAsia" w:ascii="Times New Roman" w:hAnsi="Times New Roman" w:cs="Times New Roman" w:eastAsiaTheme="minorEastAsia"/>
          <w:kern w:val="2"/>
          <w:sz w:val="24"/>
          <w:szCs w:val="24"/>
          <w:lang w:val="en-US" w:eastAsia="zh-CN"/>
        </w:rPr>
        <w:footnoteReference w:id="4"/>
      </w:r>
      <w:r>
        <w:rPr>
          <w:rFonts w:hint="eastAsia" w:ascii="Times New Roman" w:hAnsi="Times New Roman" w:cs="Times New Roman" w:eastAsiaTheme="minorEastAsia"/>
          <w:kern w:val="2"/>
          <w:sz w:val="24"/>
          <w:szCs w:val="24"/>
          <w:lang w:val="en-US" w:eastAsia="zh-CN"/>
        </w:rPr>
        <w:t xml:space="preserve"> And then, the connection between the failure to perform and the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is a direct causal relationship. And the the burden of proving the elements of an exemption falls to the party who claims the exemption.</w:t>
      </w:r>
      <w:r>
        <w:rPr>
          <w:rStyle w:val="15"/>
          <w:rFonts w:hint="eastAsia" w:ascii="Times New Roman" w:hAnsi="Times New Roman" w:cs="Times New Roman" w:eastAsiaTheme="minorEastAsia"/>
          <w:kern w:val="2"/>
          <w:sz w:val="24"/>
          <w:szCs w:val="24"/>
          <w:lang w:val="en-US" w:eastAsia="zh-CN"/>
        </w:rPr>
        <w:footnoteReference w:id="5"/>
      </w:r>
      <w:r>
        <w:rPr>
          <w:rFonts w:hint="eastAsia" w:ascii="Times New Roman" w:hAnsi="Times New Roman" w:cs="Times New Roman" w:eastAsiaTheme="minorEastAsia"/>
          <w:kern w:val="2"/>
          <w:sz w:val="24"/>
          <w:szCs w:val="24"/>
          <w:lang w:val="en-US" w:eastAsia="zh-CN"/>
        </w:rPr>
        <w:t xml:space="preserve"> The second requirement under article 79 CISG is beyond the control for the parties. According to Professor Schwenzer, it excludes impediments that are within the party</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s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external</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circumstances</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or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circumstances of the external sphere</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which also encompasses the object of the obligation.</w:t>
      </w:r>
      <w:r>
        <w:rPr>
          <w:rStyle w:val="15"/>
          <w:rFonts w:hint="eastAsia" w:ascii="Times New Roman" w:hAnsi="Times New Roman" w:cs="Times New Roman" w:eastAsiaTheme="minorEastAsia"/>
          <w:kern w:val="2"/>
          <w:sz w:val="24"/>
          <w:szCs w:val="24"/>
          <w:lang w:val="en-US" w:eastAsia="zh-CN"/>
        </w:rPr>
        <w:footnoteReference w:id="6"/>
      </w:r>
      <w:r>
        <w:rPr>
          <w:rFonts w:hint="eastAsia" w:ascii="Times New Roman" w:hAnsi="Times New Roman" w:cs="Times New Roman" w:eastAsiaTheme="minorEastAsia"/>
          <w:kern w:val="2"/>
          <w:sz w:val="24"/>
          <w:szCs w:val="24"/>
          <w:lang w:val="en-US" w:eastAsia="zh-CN"/>
        </w:rPr>
        <w:t xml:space="preserve"> However, this is too abstract to understand, so this paper will give an examples, a labor strike by one of the parties may be considered to be within the control of the parties, while a national strike is not.</w:t>
      </w:r>
      <w:r>
        <w:rPr>
          <w:rStyle w:val="15"/>
          <w:rFonts w:hint="eastAsia" w:ascii="Times New Roman" w:hAnsi="Times New Roman" w:cs="Times New Roman" w:eastAsiaTheme="minorEastAsia"/>
          <w:kern w:val="2"/>
          <w:sz w:val="24"/>
          <w:szCs w:val="24"/>
          <w:lang w:val="en-US" w:eastAsia="zh-CN"/>
        </w:rPr>
        <w:footnoteReference w:id="7"/>
      </w:r>
      <w:r>
        <w:rPr>
          <w:rFonts w:hint="eastAsia" w:ascii="Times New Roman" w:hAnsi="Times New Roman" w:cs="Times New Roman" w:eastAsiaTheme="minorEastAsia"/>
          <w:kern w:val="2"/>
          <w:sz w:val="24"/>
          <w:szCs w:val="24"/>
          <w:lang w:val="en-US" w:eastAsia="zh-CN"/>
        </w:rPr>
        <w:t xml:space="preserve"> Then, parties need to prove that they could not reasonably foresee the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In particular, there are three main aspects about how to determine whether or not something is foreseeable. (1) historical data and risk analyses, which may be regarded as foreseeable if an event occurs regularly and is traced in history. For example, long-term instability in the Middle East was foreseeable.</w:t>
      </w:r>
      <w:r>
        <w:rPr>
          <w:rStyle w:val="15"/>
          <w:rFonts w:hint="eastAsia" w:ascii="Times New Roman" w:hAnsi="Times New Roman" w:cs="Times New Roman" w:eastAsiaTheme="minorEastAsia"/>
          <w:kern w:val="2"/>
          <w:sz w:val="24"/>
          <w:szCs w:val="24"/>
          <w:lang w:val="en-US" w:eastAsia="zh-CN"/>
        </w:rPr>
        <w:footnoteReference w:id="8"/>
      </w:r>
      <w:r>
        <w:rPr>
          <w:rFonts w:hint="eastAsia" w:ascii="Times New Roman" w:hAnsi="Times New Roman" w:cs="Times New Roman" w:eastAsiaTheme="minorEastAsia"/>
          <w:kern w:val="2"/>
          <w:sz w:val="24"/>
          <w:szCs w:val="24"/>
          <w:lang w:val="en-US" w:eastAsia="zh-CN"/>
        </w:rPr>
        <w:t xml:space="preserve"> (2) the explicit terms of the contract, which may reflect the parties' ability to foresee particular risks if the contract contains a price adjustment clause</w:t>
      </w:r>
      <w:r>
        <w:rPr>
          <w:rStyle w:val="15"/>
          <w:rFonts w:hint="eastAsia" w:ascii="Times New Roman" w:hAnsi="Times New Roman" w:cs="Times New Roman" w:eastAsiaTheme="minorEastAsia"/>
          <w:kern w:val="2"/>
          <w:sz w:val="24"/>
          <w:szCs w:val="24"/>
          <w:lang w:val="en-US" w:eastAsia="zh-CN"/>
        </w:rPr>
        <w:footnoteReference w:id="9"/>
      </w:r>
      <w:r>
        <w:rPr>
          <w:rFonts w:hint="eastAsia" w:ascii="Times New Roman" w:hAnsi="Times New Roman" w:cs="Times New Roman" w:eastAsiaTheme="minorEastAsia"/>
          <w:kern w:val="2"/>
          <w:sz w:val="24"/>
          <w:szCs w:val="24"/>
          <w:lang w:val="en-US" w:eastAsia="zh-CN"/>
        </w:rPr>
        <w:t xml:space="preserve"> or an explicit force majeure clause.</w:t>
      </w:r>
      <w:r>
        <w:rPr>
          <w:rStyle w:val="15"/>
          <w:rFonts w:hint="eastAsia" w:ascii="Times New Roman" w:hAnsi="Times New Roman" w:cs="Times New Roman" w:eastAsiaTheme="minorEastAsia"/>
          <w:kern w:val="2"/>
          <w:sz w:val="24"/>
          <w:szCs w:val="24"/>
          <w:lang w:val="en-US" w:eastAsia="zh-CN"/>
        </w:rPr>
        <w:footnoteReference w:id="10"/>
      </w:r>
      <w:r>
        <w:rPr>
          <w:rFonts w:hint="eastAsia" w:ascii="Times New Roman" w:hAnsi="Times New Roman" w:cs="Times New Roman" w:eastAsiaTheme="minorEastAsia"/>
          <w:kern w:val="2"/>
          <w:sz w:val="24"/>
          <w:szCs w:val="24"/>
          <w:lang w:val="en-US" w:eastAsia="zh-CN"/>
        </w:rPr>
        <w:t xml:space="preserve"> (3) the character of the industry and the level of expertise, for example, professional companies may be required to have a higher degree of foreseeability of the particular risks of their industry.</w:t>
      </w:r>
      <w:r>
        <w:rPr>
          <w:rStyle w:val="15"/>
          <w:rFonts w:hint="eastAsia" w:ascii="Times New Roman" w:hAnsi="Times New Roman" w:cs="Times New Roman" w:eastAsiaTheme="minorEastAsia"/>
          <w:kern w:val="2"/>
          <w:sz w:val="24"/>
          <w:szCs w:val="24"/>
          <w:lang w:val="en-US" w:eastAsia="zh-CN"/>
        </w:rPr>
        <w:footnoteReference w:id="11"/>
      </w:r>
    </w:p>
    <w:p w14:paraId="711611FE">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23BAFA95">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 Moreover, the parties need to prove that the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and its consequences could not have been reasonably avoided and overcome. This means that the cost of taking remedies should not be higher than the loss itself when the obstacle is experienced.</w:t>
      </w:r>
      <w:r>
        <w:rPr>
          <w:rStyle w:val="15"/>
          <w:rFonts w:hint="eastAsia" w:ascii="Times New Roman" w:hAnsi="Times New Roman" w:cs="Times New Roman" w:eastAsiaTheme="minorEastAsia"/>
          <w:kern w:val="2"/>
          <w:sz w:val="24"/>
          <w:szCs w:val="24"/>
          <w:lang w:val="en-US" w:eastAsia="zh-CN"/>
        </w:rPr>
        <w:footnoteReference w:id="12"/>
      </w:r>
      <w:r>
        <w:rPr>
          <w:rFonts w:hint="eastAsia" w:ascii="Times New Roman" w:hAnsi="Times New Roman" w:cs="Times New Roman" w:eastAsiaTheme="minorEastAsia"/>
          <w:kern w:val="2"/>
          <w:sz w:val="24"/>
          <w:szCs w:val="24"/>
          <w:lang w:val="en-US" w:eastAsia="zh-CN"/>
        </w:rPr>
        <w:t xml:space="preserve"> In a German case, for example, the seller claim that it could not deliver the goods because of the increase in the price of tomatoes on the market due to a natural disaster, which was rejected by the court. Because it found that the seller could continue to perform the contract by obtaining tomatoes through other sources. This demonstrates that parties need to take steps to overcome the effects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and that the existence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is not a reason to avoid the performance of their obligations.</w:t>
      </w:r>
      <w:r>
        <w:rPr>
          <w:rStyle w:val="15"/>
          <w:rFonts w:hint="eastAsia" w:ascii="Times New Roman" w:hAnsi="Times New Roman" w:cs="Times New Roman" w:eastAsiaTheme="minorEastAsia"/>
          <w:kern w:val="2"/>
          <w:sz w:val="24"/>
          <w:szCs w:val="24"/>
          <w:lang w:val="en-US" w:eastAsia="zh-CN"/>
        </w:rPr>
        <w:footnoteReference w:id="13"/>
      </w:r>
      <w:r>
        <w:rPr>
          <w:rFonts w:hint="eastAsia" w:ascii="Times New Roman" w:hAnsi="Times New Roman" w:cs="Times New Roman" w:eastAsiaTheme="minorEastAsia"/>
          <w:kern w:val="2"/>
          <w:sz w:val="24"/>
          <w:szCs w:val="24"/>
          <w:lang w:val="en-US" w:eastAsia="zh-CN"/>
        </w:rPr>
        <w:t xml:space="preserve"> All of the above conditions must be fulfilled.</w:t>
      </w:r>
    </w:p>
    <w:p w14:paraId="71E6DB5B">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14DEC9CA">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 xml:space="preserve">A party can be exempted from liability of damages for non-performance of its obligations if it </w:t>
      </w:r>
      <w:r>
        <w:rPr>
          <w:rFonts w:hint="eastAsia" w:ascii="Times New Roman" w:hAnsi="Times New Roman" w:cs="Times New Roman" w:eastAsiaTheme="minorEastAsia"/>
          <w:kern w:val="2"/>
          <w:sz w:val="24"/>
          <w:szCs w:val="24"/>
          <w:lang w:val="en-US" w:eastAsia="zh-CN"/>
        </w:rPr>
        <w:t>can comply</w:t>
      </w:r>
      <w:r>
        <w:rPr>
          <w:rFonts w:hint="default" w:ascii="Times New Roman" w:hAnsi="Times New Roman" w:cs="Times New Roman" w:eastAsiaTheme="minorEastAsia"/>
          <w:kern w:val="2"/>
          <w:sz w:val="24"/>
          <w:szCs w:val="24"/>
          <w:lang w:val="en-US" w:eastAsia="zh-CN"/>
        </w:rPr>
        <w:t xml:space="preserve"> the requirements of article 79 CISG. However, Article 79(5) says that the exemption from liability only excludes the right of the party who has experienced the damage to claim damages and does not exclude any other right of the parties under the CISG.</w:t>
      </w:r>
      <w:r>
        <w:rPr>
          <w:rStyle w:val="15"/>
          <w:rFonts w:hint="default" w:ascii="Times New Roman" w:hAnsi="Times New Roman" w:cs="Times New Roman" w:eastAsiaTheme="minorEastAsia"/>
          <w:kern w:val="2"/>
          <w:sz w:val="24"/>
          <w:szCs w:val="24"/>
          <w:lang w:val="en-US" w:eastAsia="zh-CN"/>
        </w:rPr>
        <w:footnoteReference w:id="14"/>
      </w:r>
      <w:r>
        <w:rPr>
          <w:rFonts w:hint="default" w:ascii="Times New Roman" w:hAnsi="Times New Roman" w:cs="Times New Roman" w:eastAsiaTheme="minorEastAsia"/>
          <w:kern w:val="2"/>
          <w:sz w:val="24"/>
          <w:szCs w:val="24"/>
          <w:lang w:val="en-US" w:eastAsia="zh-CN"/>
        </w:rPr>
        <w:t xml:space="preserve"> Moreover, it does not prevent the other party from invoking other rights, such as the right to avoid the contract, to reduce the price,</w:t>
      </w:r>
      <w:r>
        <w:rPr>
          <w:rStyle w:val="15"/>
          <w:rFonts w:hint="default" w:ascii="Times New Roman" w:hAnsi="Times New Roman" w:cs="Times New Roman" w:eastAsiaTheme="minorEastAsia"/>
          <w:kern w:val="2"/>
          <w:sz w:val="24"/>
          <w:szCs w:val="24"/>
          <w:lang w:val="en-US" w:eastAsia="zh-CN"/>
        </w:rPr>
        <w:footnoteReference w:id="15"/>
      </w:r>
      <w:r>
        <w:rPr>
          <w:rFonts w:hint="eastAsia" w:ascii="Times New Roman" w:hAnsi="Times New Roman" w:cs="Times New Roman" w:eastAsiaTheme="minorEastAsia"/>
          <w:kern w:val="2"/>
          <w:sz w:val="24"/>
          <w:szCs w:val="24"/>
          <w:lang w:val="en-US" w:eastAsia="zh-CN"/>
        </w:rPr>
        <w:t xml:space="preserve"> </w:t>
      </w:r>
      <w:r>
        <w:rPr>
          <w:rFonts w:hint="default" w:ascii="Times New Roman" w:hAnsi="Times New Roman" w:cs="Times New Roman" w:eastAsiaTheme="minorEastAsia"/>
          <w:kern w:val="2"/>
          <w:sz w:val="24"/>
          <w:szCs w:val="24"/>
          <w:lang w:val="en-US" w:eastAsia="zh-CN"/>
        </w:rPr>
        <w:t>and so on. It is important to notice that the exemption applies only for the period of time during which the ‘impediment’ exists. Once the ‘impediment’ disappears, the parties are required to continue to fulfil their obligations.</w:t>
      </w:r>
      <w:r>
        <w:rPr>
          <w:rStyle w:val="15"/>
          <w:rFonts w:hint="default" w:ascii="Times New Roman" w:hAnsi="Times New Roman" w:cs="Times New Roman" w:eastAsiaTheme="minorEastAsia"/>
          <w:kern w:val="2"/>
          <w:sz w:val="24"/>
          <w:szCs w:val="24"/>
          <w:lang w:val="en-US" w:eastAsia="zh-CN"/>
        </w:rPr>
        <w:footnoteReference w:id="16"/>
      </w:r>
      <w:r>
        <w:rPr>
          <w:rFonts w:hint="eastAsia" w:ascii="Times New Roman" w:hAnsi="Times New Roman" w:cs="Times New Roman" w:eastAsiaTheme="minorEastAsia"/>
          <w:kern w:val="2"/>
          <w:sz w:val="24"/>
          <w:szCs w:val="24"/>
          <w:lang w:val="en-US" w:eastAsia="zh-CN"/>
        </w:rPr>
        <w:t xml:space="preserve"> </w:t>
      </w:r>
      <w:r>
        <w:rPr>
          <w:rFonts w:hint="default" w:ascii="Times New Roman" w:hAnsi="Times New Roman" w:cs="Times New Roman" w:eastAsiaTheme="minorEastAsia"/>
          <w:kern w:val="2"/>
          <w:sz w:val="24"/>
          <w:szCs w:val="24"/>
          <w:lang w:val="en-US" w:eastAsia="zh-CN"/>
        </w:rPr>
        <w:t>If the parties do not comply with the requirements of article 79 CISG, they are liable for breach of contract.</w:t>
      </w:r>
    </w:p>
    <w:p w14:paraId="529B2398">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051EB0EA">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4"/>
          <w:szCs w:val="24"/>
          <w:lang w:val="en-US" w:eastAsia="zh-CN"/>
        </w:rPr>
      </w:pPr>
      <w:r>
        <w:rPr>
          <w:rFonts w:hint="eastAsia" w:ascii="Times New Roman" w:hAnsi="Times New Roman" w:cs="Times New Roman" w:eastAsiaTheme="minorEastAsia"/>
          <w:b/>
          <w:bCs/>
          <w:kern w:val="2"/>
          <w:sz w:val="24"/>
          <w:szCs w:val="24"/>
          <w:lang w:val="en-US" w:eastAsia="zh-CN"/>
        </w:rPr>
        <w:t>2.2. Articles 6.2.2 and 6.2.3 of the UNIDROIT Principles</w:t>
      </w:r>
    </w:p>
    <w:p w14:paraId="59A6BB44">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4"/>
          <w:szCs w:val="24"/>
          <w:lang w:val="en-US" w:eastAsia="zh-CN"/>
        </w:rPr>
      </w:pPr>
    </w:p>
    <w:p w14:paraId="4DE78935">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After analyzing the conditions in Article 79 of CISG, it is necessary to briefly compare it with the method adopted by UNIDROIT Principles, which deals with this situation through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hardship</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concepts.</w:t>
      </w:r>
    </w:p>
    <w:p w14:paraId="68DC0312">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1E807B7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Article 6.2.2 of the UNIDROIT Principles defines hardship as an event that occurs after the conclusion of the contract and fundamentally changes the contractual balance. Four conditions must be fulfilled: (1) the event occurs or becomes known after the contract is concluded, (2) it could not reasonably be foreseen, (3) it is not within the control of the disadvantaged party, and (4) the disadvantaged party is not at risk. ‘Hardship’ does not require that performance be impossible, but only that it be too difficult or too expensive, or that the value of the other party's consideration has decreased significantly.</w:t>
      </w:r>
      <w:r>
        <w:rPr>
          <w:rStyle w:val="15"/>
          <w:rFonts w:hint="eastAsia" w:ascii="Times New Roman" w:hAnsi="Times New Roman" w:cs="Times New Roman" w:eastAsiaTheme="minorEastAsia"/>
          <w:kern w:val="2"/>
          <w:sz w:val="24"/>
          <w:szCs w:val="24"/>
          <w:lang w:val="en-US" w:eastAsia="zh-CN"/>
        </w:rPr>
        <w:footnoteReference w:id="17"/>
      </w:r>
      <w:r>
        <w:rPr>
          <w:rFonts w:hint="eastAsia" w:ascii="Times New Roman" w:hAnsi="Times New Roman" w:cs="Times New Roman" w:eastAsiaTheme="minorEastAsia"/>
          <w:kern w:val="2"/>
          <w:sz w:val="24"/>
          <w:szCs w:val="24"/>
          <w:lang w:val="en-US" w:eastAsia="zh-CN"/>
        </w:rPr>
        <w:t xml:space="preserve"> </w:t>
      </w:r>
    </w:p>
    <w:p w14:paraId="302E4556">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3965A421">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Article 6.2.3 provides for remedies for hardship. A</w:t>
      </w:r>
      <w:r>
        <w:rPr>
          <w:rFonts w:hint="eastAsia" w:ascii="Times New Roman" w:hAnsi="Times New Roman" w:cs="Times New Roman" w:eastAsiaTheme="minorEastAsia"/>
          <w:kern w:val="2"/>
          <w:sz w:val="24"/>
          <w:szCs w:val="24"/>
          <w:lang w:val="en-US" w:eastAsia="zh-CN"/>
        </w:rPr>
        <w:t xml:space="preserve"> </w:t>
      </w:r>
      <w:r>
        <w:rPr>
          <w:rFonts w:hint="default" w:ascii="Times New Roman" w:hAnsi="Times New Roman" w:cs="Times New Roman" w:eastAsiaTheme="minorEastAsia"/>
          <w:kern w:val="2"/>
          <w:sz w:val="24"/>
          <w:szCs w:val="24"/>
          <w:lang w:val="en-US" w:eastAsia="zh-CN"/>
        </w:rPr>
        <w:t>disadvantaged party may request renegotiation, but this does not suspend its obligation to perform. If renegotiation fails, a court or tribunal may terminate the contract or adjust it to put things back in balance.</w:t>
      </w:r>
      <w:r>
        <w:rPr>
          <w:rStyle w:val="15"/>
          <w:rFonts w:hint="default" w:ascii="Times New Roman" w:hAnsi="Times New Roman" w:cs="Times New Roman" w:eastAsiaTheme="minorEastAsia"/>
          <w:kern w:val="2"/>
          <w:sz w:val="24"/>
          <w:szCs w:val="24"/>
          <w:lang w:val="en-US" w:eastAsia="zh-CN"/>
        </w:rPr>
        <w:footnoteReference w:id="18"/>
      </w:r>
    </w:p>
    <w:p w14:paraId="2DD77894">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7FD1FDE4">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3. Application</w:t>
      </w:r>
    </w:p>
    <w:p w14:paraId="06D8C4FC">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p>
    <w:p w14:paraId="401FBC4E">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In the present case, Domat was faced with an 80% increase in the price of coal after signing a 15-year supply contract with Cobble, a circumstance that made it difficult to satisfy all four of the requirements of CISG 79 mentioned earlier at the same time.</w:t>
      </w:r>
    </w:p>
    <w:p w14:paraId="26972899">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520C898A">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Firstly, Domat cannot prove that the impediment was unforeseeable. Although market price fluctuations are beyond Domat's control, the 6% price variation clause indicates that Domat partially anticipated the price changes, just not accurately rather than unforeseeably, and the contract between the parties was a long-term contract, so that dramatic changes in the price of the goods were foreseeable.</w:t>
      </w:r>
      <w:r>
        <w:rPr>
          <w:rStyle w:val="15"/>
          <w:rFonts w:hint="eastAsia" w:ascii="Times New Roman" w:hAnsi="Times New Roman" w:cs="Times New Roman" w:eastAsiaTheme="minorEastAsia"/>
          <w:kern w:val="2"/>
          <w:sz w:val="24"/>
          <w:szCs w:val="24"/>
          <w:lang w:val="en-US" w:eastAsia="zh-CN"/>
        </w:rPr>
        <w:footnoteReference w:id="19"/>
      </w:r>
      <w:r>
        <w:rPr>
          <w:rFonts w:hint="eastAsia" w:ascii="Times New Roman" w:hAnsi="Times New Roman" w:cs="Times New Roman" w:eastAsiaTheme="minorEastAsia"/>
          <w:kern w:val="2"/>
          <w:sz w:val="24"/>
          <w:szCs w:val="24"/>
          <w:lang w:val="en-US" w:eastAsia="zh-CN"/>
        </w:rPr>
        <w:t xml:space="preserve"> Furthermore, the fact that Domat was able to call in experts to predict coal price movements at the time of contract formation is an indication of Domat's professionalism and makes it even more difficult to prove that it could not have predicted the impediment.</w:t>
      </w:r>
    </w:p>
    <w:p w14:paraId="0F0FABAC">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432F9A3A">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Secondly, Domat cannot prove that the impediment was unavoidable and overcome. The previously mentioned tomato case</w:t>
      </w:r>
      <w:r>
        <w:rPr>
          <w:rStyle w:val="15"/>
          <w:rFonts w:hint="eastAsia" w:ascii="Times New Roman" w:hAnsi="Times New Roman" w:cs="Times New Roman" w:eastAsiaTheme="minorEastAsia"/>
          <w:kern w:val="2"/>
          <w:sz w:val="24"/>
          <w:szCs w:val="24"/>
          <w:lang w:val="en-US" w:eastAsia="zh-CN"/>
        </w:rPr>
        <w:footnoteReference w:id="20"/>
      </w:r>
      <w:r>
        <w:rPr>
          <w:rFonts w:hint="eastAsia" w:ascii="Times New Roman" w:hAnsi="Times New Roman" w:cs="Times New Roman" w:eastAsiaTheme="minorEastAsia"/>
          <w:kern w:val="2"/>
          <w:sz w:val="24"/>
          <w:szCs w:val="24"/>
          <w:lang w:val="en-US" w:eastAsia="zh-CN"/>
        </w:rPr>
        <w:t xml:space="preserve"> shows that a mere increase in the cost of performing a contract or a decrease in the value of a commodity is usually not enough to make a case to exempt from liability. This is because the court held that the parties should bear the risks arising from market fluctuations and other cost elements.</w:t>
      </w:r>
      <w:r>
        <w:rPr>
          <w:rStyle w:val="15"/>
          <w:rFonts w:hint="eastAsia" w:ascii="Times New Roman" w:hAnsi="Times New Roman" w:cs="Times New Roman" w:eastAsiaTheme="minorEastAsia"/>
          <w:kern w:val="2"/>
          <w:sz w:val="24"/>
          <w:szCs w:val="24"/>
          <w:lang w:val="en-US" w:eastAsia="zh-CN"/>
        </w:rPr>
        <w:footnoteReference w:id="21"/>
      </w:r>
      <w:r>
        <w:rPr>
          <w:rFonts w:hint="eastAsia" w:ascii="Times New Roman" w:hAnsi="Times New Roman" w:cs="Times New Roman" w:eastAsiaTheme="minorEastAsia"/>
          <w:kern w:val="2"/>
          <w:sz w:val="24"/>
          <w:szCs w:val="24"/>
          <w:lang w:val="en-US" w:eastAsia="zh-CN"/>
        </w:rPr>
        <w:t xml:space="preserve"> Thus, while it is true that the 80% increase in coal prices was significant, this economic hardship is usually not sufficient to constitute a ‘impediment’， which is a business risk to be undertaken. Next, Domat has not provided evidence that it was unable to purchase coal from other sources, and has not shown that the performance of the contract was objectively impossible. Consequently, Domat cannot invoke article 79 of the CISG to avoid liability for breach of contract.</w:t>
      </w:r>
    </w:p>
    <w:p w14:paraId="379F6C03">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5B14758B">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Although, strictly speaking, Domat cannot be exempted within the framework of the CISG, there is a case that attempts to ‘inject’ the notion of hardship into the CISG by invoking the principle of UNIDROIT, which gives the court the right to adjust the contract in such circumstances. This is the famous Belgian case of Scafom. </w:t>
      </w:r>
    </w:p>
    <w:p w14:paraId="3345F805">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706C04E7">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This case is definitely incorrect. (a) Misinterpretation of CISG’s scope. It misunderstands the meaning of the CISG, since neither the text nor the drafting history of article 79 of the CISG reflects the concept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hardship</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(b) Improper application of Art 7 (2). The Belgian Court incorrectly used Article 7(2) of the CISG to impose on the CISG the remedy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contractual adaptation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which does not exist in the Convention, and the Belgian Court used the hardship clause of the UNIDROIT Principles as a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general principle of the Convention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Actually this is transposing a rule from outside the Convention that the Convention does not support. (c) Disruption of CISG’s unity. The way in which CISG had been interpreted in this judgement had introduced a mix of domestic law and the UNIDROIT Principles, weakening the CISG's unity and undermining its interpreted consistently across different jurisdictions. (d) Wrong priority of UNIDROIT Principles. The UNIDROIT Principles were soft law, which had a lower priority of application than CISG in this case, and also confused the concepts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internal principles under the Convention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and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general principles of international trade law</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So, Domat cannot invoke article 79 of the CISG to avoid liability for breach of contract.</w:t>
      </w:r>
      <w:r>
        <w:rPr>
          <w:rStyle w:val="15"/>
          <w:rFonts w:hint="eastAsia" w:ascii="Times New Roman" w:hAnsi="Times New Roman" w:cs="Times New Roman" w:eastAsiaTheme="minorEastAsia"/>
          <w:kern w:val="2"/>
          <w:sz w:val="24"/>
          <w:szCs w:val="24"/>
          <w:lang w:val="en-US" w:eastAsia="zh-CN"/>
        </w:rPr>
        <w:footnoteReference w:id="22"/>
      </w:r>
    </w:p>
    <w:p w14:paraId="1AECC297">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4B44284B">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Even assuming that the UNIDROIT principle could theoretically be applied in the present case, Domat would have had difficulties in fulfilling the strict conditions set out in the Hardship Clause. Although the foreseeability standards in CISG and UNIDROIT are slightly different in wording, their main ideas are almost the same. Both require that the parties could not have reasonably foreseen the difficulties in performing the contract at the time it was made. Additionally, the foreseeability standard in the UNIDROIT Principles might be more</w:t>
      </w:r>
      <w:r>
        <w:rPr>
          <w:rFonts w:hint="eastAsia" w:ascii="Times New Roman" w:hAnsi="Times New Roman" w:cs="Times New Roman" w:eastAsiaTheme="minorEastAsia"/>
          <w:kern w:val="2"/>
          <w:sz w:val="24"/>
          <w:szCs w:val="24"/>
          <w:lang w:val="en-US" w:eastAsia="zh-CN"/>
        </w:rPr>
        <w:t xml:space="preserve"> emphasise</w:t>
      </w:r>
      <w:r>
        <w:rPr>
          <w:rFonts w:hint="default" w:ascii="Times New Roman" w:hAnsi="Times New Roman" w:cs="Times New Roman" w:eastAsiaTheme="minorEastAsia"/>
          <w:kern w:val="2"/>
          <w:sz w:val="24"/>
          <w:szCs w:val="24"/>
          <w:lang w:val="en-US" w:eastAsia="zh-CN"/>
        </w:rPr>
        <w:t xml:space="preserve"> the impact of the parties' expertise and experience.</w:t>
      </w:r>
      <w:r>
        <w:rPr>
          <w:rStyle w:val="15"/>
          <w:rFonts w:hint="default" w:ascii="Times New Roman" w:hAnsi="Times New Roman" w:cs="Times New Roman" w:eastAsiaTheme="minorEastAsia"/>
          <w:kern w:val="2"/>
          <w:sz w:val="24"/>
          <w:szCs w:val="24"/>
          <w:lang w:val="en-US" w:eastAsia="zh-CN"/>
        </w:rPr>
        <w:footnoteReference w:id="23"/>
      </w:r>
      <w:r>
        <w:rPr>
          <w:rFonts w:hint="eastAsia" w:ascii="Times New Roman" w:hAnsi="Times New Roman" w:cs="Times New Roman" w:eastAsiaTheme="minorEastAsia"/>
          <w:kern w:val="2"/>
          <w:sz w:val="24"/>
          <w:szCs w:val="24"/>
          <w:lang w:val="en-US" w:eastAsia="zh-CN"/>
        </w:rPr>
        <w:t xml:space="preserve"> So,</w:t>
      </w:r>
      <w:r>
        <w:rPr>
          <w:rFonts w:hint="default" w:ascii="Times New Roman" w:hAnsi="Times New Roman" w:cs="Times New Roman" w:eastAsiaTheme="minorEastAsia"/>
          <w:kern w:val="2"/>
          <w:sz w:val="24"/>
          <w:szCs w:val="24"/>
          <w:lang w:val="en-US" w:eastAsia="zh-CN"/>
        </w:rPr>
        <w:t xml:space="preserve"> it has already been shown that it had knowledge of the price risk and did not fulfil the ‘unforeseeability’ requirement. </w:t>
      </w:r>
    </w:p>
    <w:p w14:paraId="7D0A3BA6">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4ABE9D60">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4. Conclusion</w:t>
      </w:r>
    </w:p>
    <w:p w14:paraId="0FE9AB09">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p>
    <w:p w14:paraId="3A330377">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 xml:space="preserve">In sum, Domat </w:t>
      </w:r>
      <w:r>
        <w:rPr>
          <w:rFonts w:hint="eastAsia" w:ascii="Times New Roman" w:hAnsi="Times New Roman" w:cs="Times New Roman" w:eastAsiaTheme="minorEastAsia"/>
          <w:kern w:val="2"/>
          <w:sz w:val="24"/>
          <w:szCs w:val="24"/>
          <w:lang w:val="en-US" w:eastAsia="zh-CN"/>
        </w:rPr>
        <w:t>cannot</w:t>
      </w:r>
      <w:r>
        <w:rPr>
          <w:rFonts w:hint="default" w:ascii="Times New Roman" w:hAnsi="Times New Roman" w:cs="Times New Roman" w:eastAsiaTheme="minorEastAsia"/>
          <w:kern w:val="2"/>
          <w:sz w:val="24"/>
          <w:szCs w:val="24"/>
          <w:lang w:val="en-US" w:eastAsia="zh-CN"/>
        </w:rPr>
        <w:t xml:space="preserve"> exempt from liability under section 79 of the CISG for failure to deliver coal at the contract price. Although the 80</w:t>
      </w:r>
      <w:r>
        <w:rPr>
          <w:rFonts w:hint="eastAsia" w:ascii="Times New Roman" w:hAnsi="Times New Roman" w:cs="Times New Roman" w:eastAsiaTheme="minorEastAsia"/>
          <w:kern w:val="2"/>
          <w:sz w:val="24"/>
          <w:szCs w:val="24"/>
          <w:lang w:val="en-US" w:eastAsia="zh-CN"/>
        </w:rPr>
        <w:t>%</w:t>
      </w:r>
      <w:r>
        <w:rPr>
          <w:rFonts w:hint="default" w:ascii="Times New Roman" w:hAnsi="Times New Roman" w:cs="Times New Roman" w:eastAsiaTheme="minorEastAsia"/>
          <w:kern w:val="2"/>
          <w:sz w:val="24"/>
          <w:szCs w:val="24"/>
          <w:lang w:val="en-US" w:eastAsia="zh-CN"/>
        </w:rPr>
        <w:t xml:space="preserve"> price increase was dramatic, it did not turn into an unforeseeable, unavoidable and impossible to overcome “impediment”. The risk of market fluctuations is inherent in long-term contracts, as </w:t>
      </w:r>
      <w:r>
        <w:rPr>
          <w:rFonts w:hint="eastAsia" w:ascii="Times New Roman" w:hAnsi="Times New Roman" w:cs="Times New Roman" w:eastAsiaTheme="minorEastAsia"/>
          <w:kern w:val="2"/>
          <w:sz w:val="24"/>
          <w:szCs w:val="24"/>
          <w:lang w:val="en-US" w:eastAsia="zh-CN"/>
        </w:rPr>
        <w:t>proved</w:t>
      </w:r>
      <w:r>
        <w:rPr>
          <w:rFonts w:hint="default" w:ascii="Times New Roman" w:hAnsi="Times New Roman" w:cs="Times New Roman" w:eastAsiaTheme="minorEastAsia"/>
          <w:kern w:val="2"/>
          <w:sz w:val="24"/>
          <w:szCs w:val="24"/>
          <w:lang w:val="en-US" w:eastAsia="zh-CN"/>
        </w:rPr>
        <w:t xml:space="preserve"> by the 6</w:t>
      </w:r>
      <w:r>
        <w:rPr>
          <w:rFonts w:hint="eastAsia" w:ascii="Times New Roman" w:hAnsi="Times New Roman" w:cs="Times New Roman" w:eastAsiaTheme="minorEastAsia"/>
          <w:kern w:val="2"/>
          <w:sz w:val="24"/>
          <w:szCs w:val="24"/>
          <w:lang w:val="en-US" w:eastAsia="zh-CN"/>
        </w:rPr>
        <w:t>%</w:t>
      </w:r>
      <w:r>
        <w:rPr>
          <w:rFonts w:hint="default" w:ascii="Times New Roman" w:hAnsi="Times New Roman" w:cs="Times New Roman" w:eastAsiaTheme="minorEastAsia"/>
          <w:kern w:val="2"/>
          <w:sz w:val="24"/>
          <w:szCs w:val="24"/>
          <w:lang w:val="en-US" w:eastAsia="zh-CN"/>
        </w:rPr>
        <w:t xml:space="preserve"> annual price adjustment clause and the expertise acquired by Domat. Thus, the situation here was a normal commercial risk and not an </w:t>
      </w:r>
      <w:r>
        <w:rPr>
          <w:rFonts w:hint="eastAsia" w:ascii="Times New Roman" w:hAnsi="Times New Roman" w:cs="Times New Roman" w:eastAsiaTheme="minorEastAsia"/>
          <w:kern w:val="2"/>
          <w:sz w:val="24"/>
          <w:szCs w:val="24"/>
          <w:lang w:val="en-US" w:eastAsia="zh-CN"/>
        </w:rPr>
        <w:t>impediment</w:t>
      </w:r>
      <w:r>
        <w:rPr>
          <w:rFonts w:hint="default" w:ascii="Times New Roman" w:hAnsi="Times New Roman" w:cs="Times New Roman" w:eastAsiaTheme="minorEastAsia"/>
          <w:kern w:val="2"/>
          <w:sz w:val="24"/>
          <w:szCs w:val="24"/>
          <w:lang w:val="en-US" w:eastAsia="zh-CN"/>
        </w:rPr>
        <w:t xml:space="preserve"> under the CISG.</w:t>
      </w:r>
    </w:p>
    <w:p w14:paraId="11FA3545">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 xml:space="preserve">As for the UNIDROIT Principles, their hardship clause is neither chosen by the parties nor does it </w:t>
      </w:r>
      <w:r>
        <w:rPr>
          <w:rFonts w:hint="eastAsia" w:ascii="Times New Roman" w:hAnsi="Times New Roman" w:cs="Times New Roman" w:eastAsiaTheme="minorEastAsia"/>
          <w:kern w:val="2"/>
          <w:sz w:val="24"/>
          <w:szCs w:val="24"/>
          <w:lang w:val="en-US" w:eastAsia="zh-CN"/>
        </w:rPr>
        <w:t>has</w:t>
      </w:r>
      <w:r>
        <w:rPr>
          <w:rFonts w:hint="default" w:ascii="Times New Roman" w:hAnsi="Times New Roman" w:cs="Times New Roman" w:eastAsiaTheme="minorEastAsia"/>
          <w:kern w:val="2"/>
          <w:sz w:val="24"/>
          <w:szCs w:val="24"/>
          <w:lang w:val="en-US" w:eastAsia="zh-CN"/>
        </w:rPr>
        <w:t xml:space="preserve"> priority over the CISG. The attempt to ‘inject’ the hardship principle into the CISG in the Belgian Scafom case was a misinterpretation of the Convention and a violation of article 7(2) CISG, destroying its unity. Since the risk of market fluctuations is not entirely unforeseeable, even hypothetically, Domat would have had difficulties in </w:t>
      </w:r>
      <w:r>
        <w:rPr>
          <w:rFonts w:hint="eastAsia" w:ascii="Times New Roman" w:hAnsi="Times New Roman" w:cs="Times New Roman" w:eastAsiaTheme="minorEastAsia"/>
          <w:kern w:val="2"/>
          <w:sz w:val="24"/>
          <w:szCs w:val="24"/>
          <w:lang w:val="en-US" w:eastAsia="zh-CN"/>
        </w:rPr>
        <w:t>fulfill</w:t>
      </w:r>
      <w:r>
        <w:rPr>
          <w:rFonts w:hint="default" w:ascii="Times New Roman" w:hAnsi="Times New Roman" w:cs="Times New Roman" w:eastAsiaTheme="minorEastAsia"/>
          <w:kern w:val="2"/>
          <w:sz w:val="24"/>
          <w:szCs w:val="24"/>
          <w:lang w:val="en-US" w:eastAsia="zh-CN"/>
        </w:rPr>
        <w:t xml:space="preserve"> the “hardship” requirement.</w:t>
      </w:r>
    </w:p>
    <w:p w14:paraId="0DCA789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7B47A793">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b/>
          <w:bCs/>
          <w:kern w:val="2"/>
          <w:sz w:val="28"/>
          <w:szCs w:val="28"/>
          <w:lang w:val="en-US" w:eastAsia="zh-CN"/>
        </w:rPr>
      </w:pPr>
      <w:r>
        <w:rPr>
          <w:rFonts w:hint="default" w:ascii="Times New Roman" w:hAnsi="Times New Roman" w:cs="Times New Roman" w:eastAsiaTheme="minorEastAsia"/>
          <w:kern w:val="2"/>
          <w:sz w:val="24"/>
          <w:szCs w:val="24"/>
          <w:lang w:val="en-US" w:eastAsia="zh-CN"/>
        </w:rPr>
        <w:t xml:space="preserve">Finally, Domat could not </w:t>
      </w:r>
      <w:r>
        <w:rPr>
          <w:rFonts w:hint="eastAsia" w:ascii="Times New Roman" w:hAnsi="Times New Roman" w:cs="Times New Roman" w:eastAsiaTheme="minorEastAsia"/>
          <w:kern w:val="2"/>
          <w:sz w:val="24"/>
          <w:szCs w:val="24"/>
          <w:lang w:val="en-US" w:eastAsia="zh-CN"/>
        </w:rPr>
        <w:t>apply</w:t>
      </w:r>
      <w:r>
        <w:rPr>
          <w:rFonts w:hint="default" w:ascii="Times New Roman" w:hAnsi="Times New Roman" w:cs="Times New Roman" w:eastAsiaTheme="minorEastAsia"/>
          <w:kern w:val="2"/>
          <w:sz w:val="24"/>
          <w:szCs w:val="24"/>
          <w:lang w:val="en-US" w:eastAsia="zh-CN"/>
        </w:rPr>
        <w:t xml:space="preserve"> article 79 CISG </w:t>
      </w:r>
      <w:r>
        <w:rPr>
          <w:rFonts w:hint="eastAsia" w:ascii="Times New Roman" w:hAnsi="Times New Roman" w:cs="Times New Roman" w:eastAsiaTheme="minorEastAsia"/>
          <w:kern w:val="2"/>
          <w:sz w:val="24"/>
          <w:szCs w:val="24"/>
          <w:lang w:val="en-US" w:eastAsia="zh-CN"/>
        </w:rPr>
        <w:t>and</w:t>
      </w:r>
      <w:r>
        <w:rPr>
          <w:rFonts w:hint="default" w:ascii="Times New Roman" w:hAnsi="Times New Roman" w:cs="Times New Roman" w:eastAsiaTheme="minorEastAsia"/>
          <w:kern w:val="2"/>
          <w:sz w:val="24"/>
          <w:szCs w:val="24"/>
          <w:lang w:val="en-US" w:eastAsia="zh-CN"/>
        </w:rPr>
        <w:t xml:space="preserve"> UNIDROIT Principles 6.2.2 and 6.2.3 to avoid liability. The parties must comply with the initial agreement, and Domat will have to pursue other business strategies, such as finding alternative supply chains and resource sources.</w:t>
      </w:r>
    </w:p>
    <w:p w14:paraId="38FE779D">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5757BF12">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668098FE">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436F7759">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406C4CA0">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28E724B8">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40CA4972">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53839A9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31976936">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2B62EDA9">
      <w:pPr>
        <w:rPr>
          <w:rStyle w:val="12"/>
          <w:rFonts w:hint="default" w:ascii="Times New Roman" w:hAnsi="Times New Roman" w:cs="Times New Roman"/>
          <w:sz w:val="24"/>
          <w:szCs w:val="24"/>
        </w:rPr>
      </w:pPr>
      <w:r>
        <w:rPr>
          <w:rStyle w:val="12"/>
          <w:rFonts w:hint="default" w:ascii="Times New Roman" w:hAnsi="Times New Roman" w:cs="Times New Roman"/>
          <w:sz w:val="24"/>
          <w:szCs w:val="24"/>
        </w:rPr>
        <w:br w:type="page"/>
      </w:r>
    </w:p>
    <w:p w14:paraId="6AF271A7">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Bibliography</w:t>
      </w:r>
    </w:p>
    <w:p w14:paraId="62DAA0FA">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Primary Sources</w:t>
      </w:r>
    </w:p>
    <w:p w14:paraId="7333043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United Nations Convention on Contracts for the International Sale of Goods (adopted 11 April 1980, entered into force 1 January 1988) 1489 UNTS 3 (CISG).</w:t>
      </w:r>
    </w:p>
    <w:p w14:paraId="02259EE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UNIDROIT Principles of International Commercial Contracts (2016)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"https://www.unidroit.org/instruments/commercial-contracts" \t "_new" </w:instrText>
      </w:r>
      <w:r>
        <w:rPr>
          <w:rFonts w:hint="default" w:ascii="Times New Roman" w:hAnsi="Times New Roman" w:cs="Times New Roman"/>
          <w:sz w:val="24"/>
          <w:szCs w:val="24"/>
        </w:rPr>
        <w:fldChar w:fldCharType="separate"/>
      </w:r>
      <w:r>
        <w:rPr>
          <w:rStyle w:val="14"/>
          <w:rFonts w:hint="default" w:ascii="Times New Roman" w:hAnsi="Times New Roman" w:cs="Times New Roman"/>
          <w:sz w:val="24"/>
          <w:szCs w:val="24"/>
        </w:rPr>
        <w:t>https://www.unidroit.org/instruments/commercial-contracts</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accessed 3 December 2024.</w:t>
      </w:r>
    </w:p>
    <w:p w14:paraId="15C80678">
      <w:pPr>
        <w:pStyle w:val="3"/>
        <w:keepNext w:val="0"/>
        <w:keepLines w:val="0"/>
        <w:widowControl/>
        <w:suppressLineNumbers w:val="0"/>
        <w:rPr>
          <w:rFonts w:hint="default" w:ascii="Times New Roman" w:hAnsi="Times New Roman" w:eastAsia="宋体" w:cs="Times New Roman"/>
          <w:sz w:val="24"/>
          <w:szCs w:val="24"/>
          <w:lang w:val="en-US" w:eastAsia="zh-CN"/>
        </w:rPr>
      </w:pPr>
      <w:r>
        <w:rPr>
          <w:rStyle w:val="12"/>
          <w:rFonts w:hint="eastAsia" w:ascii="Times New Roman" w:hAnsi="Times New Roman" w:cs="Times New Roman"/>
          <w:b/>
          <w:sz w:val="24"/>
          <w:szCs w:val="24"/>
          <w:lang w:val="en-US" w:eastAsia="zh-CN"/>
        </w:rPr>
        <w:t>Case Law</w:t>
      </w:r>
    </w:p>
    <w:p w14:paraId="629BA8B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Valero Marketing &amp; Supply Co v Greeni Oy, United States District Court for the District of New Jersey, 15 June 2005, Case No 01-5254 (DRD), CISG-online Case No 1028.</w:t>
      </w:r>
    </w:p>
    <w:p w14:paraId="1922D63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Bunge Corp v Tradax Export SA [1981] 1 WLR 711.</w:t>
      </w:r>
    </w:p>
    <w:p w14:paraId="67135F5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Behr France S.a.r.l. v Romay AG, Cour de cassation (Chambre civile 1) (France), 30 June 2004, CISG-online Case No 870, Case No Y 01-15.964 http://cisgw3.law.pace.edu/cases/040630f1.html accessed 3 December 2024.</w:t>
      </w:r>
    </w:p>
    <w:p w14:paraId="55E186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Christian Flippe v Sarl Douet Sport Collections, Tribunal de Commerce de Besançon (France), 19 January 1998, Case No 97 009265 https://www.unilex.info/cisg/case/416 accessed 3 December 2024.</w:t>
      </w:r>
    </w:p>
    <w:p w14:paraId="46CC0E3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Cour d'appel de Colmar (France), 12 June 2001, CISG-online Case No 480 https://www.cisg-online.ch/case/480 accessed 3 December 2024.</w:t>
      </w:r>
    </w:p>
    <w:p w14:paraId="404FE2E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Germany, Hamburg Chamber of Commerce, 21 March and 21 June 1996, CISG-online Case Nos 187 and 465.</w:t>
      </w:r>
    </w:p>
    <w:p w14:paraId="60DAAFF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Oberlandesgericht Hamburg (Germany), 28 February 1997, CISG-online Case No 277 https://www.cisg-online.ch/case/277 accessed 3 December 2024.</w:t>
      </w:r>
    </w:p>
    <w:p w14:paraId="0F95C1D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Oberlandesgericht Hamburg (Germany), 4 July 1997, Case Nos 1 U 143/95 and 410 O 21/95 https://www.unilex.info/cisg/case/438 accessed 3 December 2024.</w:t>
      </w:r>
    </w:p>
    <w:p w14:paraId="6E367310">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Secondary Sources</w:t>
      </w:r>
    </w:p>
    <w:p w14:paraId="2122F50E">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Books</w:t>
      </w:r>
    </w:p>
    <w:p w14:paraId="14CDD42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Clayton P Gillette, </w:t>
      </w:r>
      <w:r>
        <w:rPr>
          <w:rStyle w:val="13"/>
          <w:rFonts w:hint="default" w:ascii="Times New Roman" w:hAnsi="Times New Roman" w:cs="Times New Roman"/>
          <w:sz w:val="24"/>
          <w:szCs w:val="24"/>
        </w:rPr>
        <w:t>Advanced Introduction to International Sales Law</w:t>
      </w:r>
      <w:r>
        <w:rPr>
          <w:rFonts w:hint="default" w:ascii="Times New Roman" w:hAnsi="Times New Roman" w:cs="Times New Roman"/>
          <w:sz w:val="24"/>
          <w:szCs w:val="24"/>
        </w:rPr>
        <w:t xml:space="preserve"> (Edward Elgar 2016).</w:t>
      </w:r>
    </w:p>
    <w:p w14:paraId="576A6F1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Ingeborg Schwenzer and Ulrich G Schroeter (eds), </w:t>
      </w:r>
      <w:r>
        <w:rPr>
          <w:rStyle w:val="13"/>
          <w:rFonts w:hint="default" w:ascii="Times New Roman" w:hAnsi="Times New Roman" w:cs="Times New Roman"/>
          <w:sz w:val="24"/>
          <w:szCs w:val="24"/>
        </w:rPr>
        <w:t>Schlechtriem &amp; Schwenzer: Commentary on the UN Convention on Contracts for the International Sale of Goods (CISG)</w:t>
      </w:r>
      <w:r>
        <w:rPr>
          <w:rFonts w:hint="default" w:ascii="Times New Roman" w:hAnsi="Times New Roman" w:cs="Times New Roman"/>
          <w:sz w:val="24"/>
          <w:szCs w:val="24"/>
        </w:rPr>
        <w:t xml:space="preserve"> (5th edn, Oxford Academic 2022, online edn)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"https://doi.org/10.1093/law/9780198868675.003.0086" \t "_new" </w:instrText>
      </w:r>
      <w:r>
        <w:rPr>
          <w:rFonts w:hint="default" w:ascii="Times New Roman" w:hAnsi="Times New Roman" w:cs="Times New Roman"/>
          <w:sz w:val="24"/>
          <w:szCs w:val="24"/>
        </w:rPr>
        <w:fldChar w:fldCharType="separate"/>
      </w:r>
      <w:r>
        <w:rPr>
          <w:rStyle w:val="14"/>
          <w:rFonts w:hint="default" w:ascii="Times New Roman" w:hAnsi="Times New Roman" w:cs="Times New Roman"/>
          <w:sz w:val="24"/>
          <w:szCs w:val="24"/>
        </w:rPr>
        <w:t>https://doi.org/10.1093/law/9780198868675.003.0086</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accessed 6 December 2024.</w:t>
      </w:r>
    </w:p>
    <w:p w14:paraId="1350AB48">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Articles</w:t>
      </w:r>
    </w:p>
    <w:p w14:paraId="51720B0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Eduardo Grebler, ‘The Convention on International Sale of Goods and Brazilian Law: Are Differences Irreconcilable?’ (2005-2006) 25 </w:t>
      </w:r>
      <w:r>
        <w:rPr>
          <w:rStyle w:val="13"/>
          <w:rFonts w:hint="default" w:ascii="Times New Roman" w:hAnsi="Times New Roman" w:cs="Times New Roman"/>
          <w:sz w:val="24"/>
          <w:szCs w:val="24"/>
        </w:rPr>
        <w:t>Journal of Law and Commerce</w:t>
      </w:r>
      <w:r>
        <w:rPr>
          <w:rFonts w:hint="default" w:ascii="Times New Roman" w:hAnsi="Times New Roman" w:cs="Times New Roman"/>
          <w:sz w:val="24"/>
          <w:szCs w:val="24"/>
        </w:rPr>
        <w:t xml:space="preserve"> 467 http://www.cisg.law.pace.edu/cisg/biblio/grebler.html.</w:t>
      </w:r>
    </w:p>
    <w:p w14:paraId="79CAA6D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Harry M Flechtner, </w:t>
      </w:r>
      <w:r>
        <w:rPr>
          <w:rStyle w:val="13"/>
          <w:rFonts w:hint="default" w:ascii="Times New Roman" w:hAnsi="Times New Roman" w:cs="Times New Roman"/>
          <w:sz w:val="24"/>
          <w:szCs w:val="24"/>
        </w:rPr>
        <w:t>The Exemption Provisions of the Sales Convention, Including Comments on “Hardship” Doctrine and the 19 June 2009 Decision of the Belgian Cassation Court</w:t>
      </w:r>
      <w:r>
        <w:rPr>
          <w:rFonts w:hint="default" w:ascii="Times New Roman" w:hAnsi="Times New Roman" w:cs="Times New Roman"/>
          <w:sz w:val="24"/>
          <w:szCs w:val="24"/>
        </w:rPr>
        <w:t xml:space="preserve"> (University of Pittsburgh School of Law 2009).</w:t>
      </w:r>
    </w:p>
    <w:p w14:paraId="2E17111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Yesim Atamer, ‘Article 79’ in Stefan Kröll, Loukas Mistelis and Pilar Perales Viscasillas (eds), </w:t>
      </w:r>
      <w:r>
        <w:rPr>
          <w:rStyle w:val="13"/>
          <w:rFonts w:hint="default" w:ascii="Times New Roman" w:hAnsi="Times New Roman" w:cs="Times New Roman"/>
          <w:sz w:val="24"/>
          <w:szCs w:val="24"/>
        </w:rPr>
        <w:t>UN Convention on Contracts for the International Sale of Goods (CISG): Commentary</w:t>
      </w:r>
      <w:r>
        <w:rPr>
          <w:rFonts w:hint="default" w:ascii="Times New Roman" w:hAnsi="Times New Roman" w:cs="Times New Roman"/>
          <w:sz w:val="24"/>
          <w:szCs w:val="24"/>
        </w:rPr>
        <w:t xml:space="preserve"> (CH Beck/Hart/Nomos 2011).</w:t>
      </w:r>
    </w:p>
    <w:p w14:paraId="6D009BC1">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63D15FAE">
      <w:pPr>
        <w:rPr>
          <w:rFonts w:hint="eastAsia" w:ascii="Times New Roman" w:hAnsi="Times New Roman" w:cs="Times New Roman" w:eastAsiaTheme="minorEastAsia"/>
          <w:b/>
          <w:bCs/>
          <w:kern w:val="2"/>
          <w:sz w:val="32"/>
          <w:szCs w:val="32"/>
          <w:lang w:val="en-US" w:eastAsia="zh-CN"/>
        </w:rPr>
      </w:pPr>
      <w:r>
        <w:rPr>
          <w:rFonts w:hint="eastAsia" w:ascii="Times New Roman" w:hAnsi="Times New Roman" w:cs="Times New Roman" w:eastAsiaTheme="minorEastAsia"/>
          <w:b/>
          <w:bCs/>
          <w:kern w:val="2"/>
          <w:sz w:val="32"/>
          <w:szCs w:val="32"/>
          <w:lang w:val="en-US" w:eastAsia="zh-CN"/>
        </w:rPr>
        <w:br w:type="page"/>
      </w:r>
    </w:p>
    <w:p w14:paraId="787C7611">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32"/>
          <w:szCs w:val="32"/>
          <w:lang w:val="en-US" w:eastAsia="zh-CN"/>
        </w:rPr>
      </w:pPr>
      <w:r>
        <w:rPr>
          <w:rFonts w:hint="eastAsia" w:ascii="Times New Roman" w:hAnsi="Times New Roman" w:cs="Times New Roman" w:eastAsiaTheme="minorEastAsia"/>
          <w:b/>
          <w:bCs/>
          <w:kern w:val="2"/>
          <w:sz w:val="32"/>
          <w:szCs w:val="32"/>
          <w:lang w:val="en-US" w:eastAsia="zh-CN"/>
        </w:rPr>
        <w:t>Questions 2</w:t>
      </w:r>
    </w:p>
    <w:p w14:paraId="679AEFFC">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32"/>
          <w:szCs w:val="32"/>
          <w:lang w:val="en-US" w:eastAsia="zh-CN"/>
        </w:rPr>
      </w:pPr>
    </w:p>
    <w:p w14:paraId="48D52DAC">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eastAsiaTheme="minorEastAsia"/>
          <w:b/>
          <w:bCs/>
          <w:kern w:val="2"/>
          <w:sz w:val="30"/>
          <w:szCs w:val="30"/>
          <w:lang w:val="en-US" w:eastAsia="zh-CN"/>
        </w:rPr>
      </w:pPr>
      <w:r>
        <w:rPr>
          <w:rFonts w:hint="eastAsia" w:ascii="Times New Roman" w:hAnsi="Times New Roman" w:cs="Times New Roman" w:eastAsiaTheme="minorEastAsia"/>
          <w:b/>
          <w:bCs/>
          <w:kern w:val="2"/>
          <w:sz w:val="30"/>
          <w:szCs w:val="30"/>
          <w:lang w:val="en-US" w:eastAsia="zh-CN"/>
        </w:rPr>
        <w:t>Evaluating the Inadequacy of Article 25 CISG's Fundamental Breach Test in International Trade</w:t>
      </w:r>
    </w:p>
    <w:p w14:paraId="769D9A89">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 xml:space="preserve">1. </w:t>
      </w:r>
      <w:r>
        <w:rPr>
          <w:rFonts w:hint="default" w:ascii="Times New Roman" w:hAnsi="Times New Roman" w:cs="Times New Roman" w:eastAsiaTheme="minorEastAsia"/>
          <w:b/>
          <w:bCs/>
          <w:kern w:val="2"/>
          <w:sz w:val="28"/>
          <w:szCs w:val="28"/>
          <w:lang w:val="en-US" w:eastAsia="zh-CN"/>
        </w:rPr>
        <w:t>Introduction</w:t>
      </w:r>
    </w:p>
    <w:p w14:paraId="55F93B8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3DA52782">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 xml:space="preserve">Article 25 of the CISG is an important article, </w:t>
      </w:r>
      <w:r>
        <w:rPr>
          <w:rFonts w:hint="eastAsia" w:ascii="Times New Roman" w:hAnsi="Times New Roman" w:cs="Times New Roman" w:eastAsiaTheme="minorEastAsia"/>
          <w:kern w:val="2"/>
          <w:sz w:val="24"/>
          <w:szCs w:val="24"/>
          <w:lang w:val="en-US" w:eastAsia="zh-CN"/>
        </w:rPr>
        <w:t>because it</w:t>
      </w:r>
      <w:r>
        <w:rPr>
          <w:rFonts w:hint="default" w:ascii="Times New Roman" w:hAnsi="Times New Roman" w:cs="Times New Roman" w:eastAsiaTheme="minorEastAsia"/>
          <w:kern w:val="2"/>
          <w:sz w:val="24"/>
          <w:szCs w:val="24"/>
          <w:lang w:val="en-US" w:eastAsia="zh-CN"/>
        </w:rPr>
        <w:t xml:space="preserve"> defines the concept of “fundamental breach”, which is an important remedial structure in the CISG.</w:t>
      </w:r>
      <w:r>
        <w:rPr>
          <w:rStyle w:val="15"/>
          <w:rFonts w:hint="default" w:ascii="Times New Roman" w:hAnsi="Times New Roman" w:cs="Times New Roman" w:eastAsiaTheme="minorEastAsia"/>
          <w:kern w:val="2"/>
          <w:sz w:val="24"/>
          <w:szCs w:val="24"/>
          <w:lang w:val="en-US" w:eastAsia="zh-CN"/>
        </w:rPr>
        <w:footnoteReference w:id="24"/>
      </w:r>
      <w:r>
        <w:rPr>
          <w:rFonts w:hint="default" w:ascii="Times New Roman" w:hAnsi="Times New Roman" w:cs="Times New Roman" w:eastAsiaTheme="minorEastAsia"/>
          <w:kern w:val="2"/>
          <w:sz w:val="24"/>
          <w:szCs w:val="24"/>
          <w:lang w:val="en-US" w:eastAsia="zh-CN"/>
        </w:rPr>
        <w:t xml:space="preserve"> It determines whether the damaged parties can avoid the contract and claim damages.</w:t>
      </w:r>
      <w:r>
        <w:rPr>
          <w:rFonts w:hint="eastAsia" w:ascii="Times New Roman" w:hAnsi="Times New Roman" w:cs="Times New Roman" w:eastAsiaTheme="minorEastAsia"/>
          <w:kern w:val="2"/>
          <w:sz w:val="24"/>
          <w:szCs w:val="24"/>
          <w:lang w:val="en-US" w:eastAsia="zh-CN"/>
        </w:rPr>
        <w:t xml:space="preserve"> </w:t>
      </w:r>
      <w:r>
        <w:rPr>
          <w:rFonts w:hint="default" w:ascii="Times New Roman" w:hAnsi="Times New Roman" w:cs="Times New Roman" w:eastAsiaTheme="minorEastAsia"/>
          <w:kern w:val="2"/>
          <w:sz w:val="24"/>
          <w:szCs w:val="24"/>
          <w:lang w:val="en-US" w:eastAsia="zh-CN"/>
        </w:rPr>
        <w:t xml:space="preserve">This article is a prerequisite for the application of many of the articles </w:t>
      </w:r>
      <w:r>
        <w:rPr>
          <w:rFonts w:hint="eastAsia" w:ascii="Times New Roman" w:hAnsi="Times New Roman" w:cs="Times New Roman" w:eastAsiaTheme="minorEastAsia"/>
          <w:kern w:val="2"/>
          <w:sz w:val="24"/>
          <w:szCs w:val="24"/>
          <w:lang w:val="en-US" w:eastAsia="zh-CN"/>
        </w:rPr>
        <w:t>of</w:t>
      </w:r>
      <w:r>
        <w:rPr>
          <w:rFonts w:hint="default" w:ascii="Times New Roman" w:hAnsi="Times New Roman" w:cs="Times New Roman" w:eastAsiaTheme="minorEastAsia"/>
          <w:kern w:val="2"/>
          <w:sz w:val="24"/>
          <w:szCs w:val="24"/>
          <w:lang w:val="en-US" w:eastAsia="zh-CN"/>
        </w:rPr>
        <w:t xml:space="preserve"> the CISG. Article 25 draws the line between “normal” breaches (damage to the goods or </w:t>
      </w:r>
      <w:r>
        <w:rPr>
          <w:rFonts w:hint="eastAsia" w:ascii="Times New Roman" w:hAnsi="Times New Roman" w:cs="Times New Roman" w:eastAsiaTheme="minorEastAsia"/>
          <w:kern w:val="2"/>
          <w:sz w:val="24"/>
          <w:szCs w:val="24"/>
          <w:lang w:val="en-US" w:eastAsia="zh-CN"/>
        </w:rPr>
        <w:t>price falling</w:t>
      </w:r>
      <w:r>
        <w:rPr>
          <w:rFonts w:hint="default" w:ascii="Times New Roman" w:hAnsi="Times New Roman" w:cs="Times New Roman" w:eastAsiaTheme="minorEastAsia"/>
          <w:kern w:val="2"/>
          <w:sz w:val="24"/>
          <w:szCs w:val="24"/>
          <w:lang w:val="en-US" w:eastAsia="zh-CN"/>
        </w:rPr>
        <w:t>) and breaches that are difficult to remedy (the avoidance of the contract).</w:t>
      </w:r>
      <w:r>
        <w:rPr>
          <w:rStyle w:val="15"/>
          <w:rFonts w:hint="default" w:ascii="Times New Roman" w:hAnsi="Times New Roman" w:cs="Times New Roman" w:eastAsiaTheme="minorEastAsia"/>
          <w:kern w:val="2"/>
          <w:sz w:val="24"/>
          <w:szCs w:val="24"/>
          <w:lang w:val="en-US" w:eastAsia="zh-CN"/>
        </w:rPr>
        <w:footnoteReference w:id="25"/>
      </w:r>
      <w:r>
        <w:rPr>
          <w:rFonts w:hint="eastAsia" w:ascii="Times New Roman" w:hAnsi="Times New Roman" w:cs="Times New Roman" w:eastAsiaTheme="minorEastAsia"/>
          <w:kern w:val="2"/>
          <w:sz w:val="24"/>
          <w:szCs w:val="24"/>
          <w:lang w:val="en-US" w:eastAsia="zh-CN"/>
        </w:rPr>
        <w:t xml:space="preserve"> </w:t>
      </w:r>
      <w:r>
        <w:rPr>
          <w:rFonts w:hint="default" w:ascii="Times New Roman" w:hAnsi="Times New Roman" w:cs="Times New Roman" w:eastAsiaTheme="minorEastAsia"/>
          <w:kern w:val="2"/>
          <w:sz w:val="24"/>
          <w:szCs w:val="24"/>
          <w:lang w:val="en-US" w:eastAsia="zh-CN"/>
        </w:rPr>
        <w:t>While Article 25 sets a framework for defining fundamental breach, its application often draws criticism for ambigu</w:t>
      </w:r>
      <w:r>
        <w:rPr>
          <w:rFonts w:hint="eastAsia" w:ascii="Times New Roman" w:hAnsi="Times New Roman" w:cs="Times New Roman" w:eastAsiaTheme="minorEastAsia"/>
          <w:kern w:val="2"/>
          <w:sz w:val="24"/>
          <w:szCs w:val="24"/>
          <w:lang w:val="en-US" w:eastAsia="zh-CN"/>
        </w:rPr>
        <w:t>ous</w:t>
      </w:r>
      <w:r>
        <w:rPr>
          <w:rFonts w:hint="default" w:ascii="Times New Roman" w:hAnsi="Times New Roman" w:cs="Times New Roman" w:eastAsiaTheme="minorEastAsia"/>
          <w:kern w:val="2"/>
          <w:sz w:val="24"/>
          <w:szCs w:val="24"/>
          <w:lang w:val="en-US" w:eastAsia="zh-CN"/>
        </w:rPr>
        <w:t>, especially regarding “substantial deprivation” and “foreseeability”</w:t>
      </w:r>
      <w:r>
        <w:rPr>
          <w:rFonts w:hint="eastAsia" w:ascii="Times New Roman" w:hAnsi="Times New Roman" w:cs="Times New Roman" w:eastAsiaTheme="minorEastAsia"/>
          <w:kern w:val="2"/>
          <w:sz w:val="24"/>
          <w:szCs w:val="24"/>
          <w:lang w:val="en-US" w:eastAsia="zh-CN"/>
        </w:rPr>
        <w:t>.</w:t>
      </w:r>
      <w:r>
        <w:rPr>
          <w:rStyle w:val="15"/>
          <w:rFonts w:hint="eastAsia" w:ascii="Times New Roman" w:hAnsi="Times New Roman" w:cs="Times New Roman" w:eastAsiaTheme="minorEastAsia"/>
          <w:kern w:val="2"/>
          <w:sz w:val="24"/>
          <w:szCs w:val="24"/>
          <w:lang w:val="en-US" w:eastAsia="zh-CN"/>
        </w:rPr>
        <w:footnoteReference w:id="26"/>
      </w:r>
      <w:r>
        <w:rPr>
          <w:rFonts w:hint="eastAsia" w:ascii="Times New Roman" w:hAnsi="Times New Roman" w:cs="Times New Roman" w:eastAsiaTheme="minorEastAsia"/>
          <w:kern w:val="2"/>
          <w:sz w:val="24"/>
          <w:szCs w:val="24"/>
          <w:lang w:val="en-US" w:eastAsia="zh-CN"/>
        </w:rPr>
        <w:t xml:space="preserve"> For example, in the BGH case, the German Federal Court of Justice (BGH) had to evaluate whether a defect in an injection mould constituted a fundamental breach of contract under Article 25. The court's consideration required a broad assessment of whether the buyer had been substantially deprived of the benefits of the contract and whether the seller could reasonably have foreseen such a result. Due to the uncertainty of article 25, the court had to consider a number of factors, resulting in a slow and complex judgement.</w:t>
      </w:r>
      <w:r>
        <w:rPr>
          <w:rStyle w:val="15"/>
          <w:rFonts w:hint="eastAsia" w:ascii="Times New Roman" w:hAnsi="Times New Roman" w:cs="Times New Roman" w:eastAsiaTheme="minorEastAsia"/>
          <w:kern w:val="2"/>
          <w:sz w:val="24"/>
          <w:szCs w:val="24"/>
          <w:lang w:val="en-US" w:eastAsia="zh-CN"/>
        </w:rPr>
        <w:footnoteReference w:id="27"/>
      </w:r>
      <w:r>
        <w:rPr>
          <w:rFonts w:hint="eastAsia" w:ascii="Times New Roman" w:hAnsi="Times New Roman" w:cs="Times New Roman" w:eastAsiaTheme="minorEastAsia"/>
          <w:kern w:val="2"/>
          <w:sz w:val="24"/>
          <w:szCs w:val="24"/>
          <w:lang w:val="en-US" w:eastAsia="zh-CN"/>
        </w:rPr>
        <w:t xml:space="preserve"> This case shows a difficult problem: the lack of accuracy of article 25 complicates its practical application in international commercial disputes. With this background , this essay will critically assess the application of Article 25 in the  international trade. The essay will will argue that while Article 25 provides a necessary framework, its ambiguity and lack of consistency undermine its effectiveness in international trade, by three aspects: analyzing CISG 25 in detail, critically thinking its controversies and problems in both academic and practical terms.</w:t>
      </w:r>
    </w:p>
    <w:p w14:paraId="4AC05207">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8"/>
          <w:szCs w:val="28"/>
          <w:lang w:val="en-US" w:eastAsia="zh-CN"/>
        </w:rPr>
      </w:pPr>
    </w:p>
    <w:p w14:paraId="14D33954">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 xml:space="preserve"> 2. Detailed analysis of Article 25 of CISG</w:t>
      </w:r>
    </w:p>
    <w:p w14:paraId="31A8F9FD">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p>
    <w:p w14:paraId="0AC0D48A">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Article 25 CISG said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A breach of contract committed by one of the parties is fundamental if it results in such detriment to the other party as substantially to deprive him of what he is entitled to expect under the contract, unless the party in breach did not foresee and a reasonable person of the same kind in the same circumstances would not have foreseen such a result.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w:t>
      </w:r>
      <w:r>
        <w:rPr>
          <w:rStyle w:val="15"/>
          <w:rFonts w:hint="default" w:ascii="Times New Roman" w:hAnsi="Times New Roman" w:cs="Times New Roman" w:eastAsiaTheme="minorEastAsia"/>
          <w:kern w:val="2"/>
          <w:sz w:val="24"/>
          <w:szCs w:val="24"/>
          <w:lang w:val="en-US" w:eastAsia="zh-CN"/>
        </w:rPr>
        <w:footnoteReference w:id="28"/>
      </w:r>
      <w:r>
        <w:rPr>
          <w:rFonts w:hint="eastAsia" w:ascii="Times New Roman" w:hAnsi="Times New Roman" w:cs="Times New Roman" w:eastAsiaTheme="minorEastAsia"/>
          <w:kern w:val="2"/>
          <w:sz w:val="24"/>
          <w:szCs w:val="24"/>
          <w:lang w:val="en-US" w:eastAsia="zh-CN"/>
        </w:rPr>
        <w:t xml:space="preserve"> </w:t>
      </w:r>
      <w:r>
        <w:rPr>
          <w:rFonts w:hint="default" w:ascii="Times New Roman" w:hAnsi="Times New Roman" w:cs="Times New Roman" w:eastAsiaTheme="minorEastAsia"/>
          <w:kern w:val="2"/>
          <w:sz w:val="24"/>
          <w:szCs w:val="24"/>
          <w:lang w:val="en-US" w:eastAsia="zh-CN"/>
        </w:rPr>
        <w:t>To be specific, it sets out two standards: substantial deprivation and foreseeability.</w:t>
      </w:r>
    </w:p>
    <w:p w14:paraId="5E4215A9">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42524466">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First and foremost, what is </w:t>
      </w:r>
      <w:r>
        <w:rPr>
          <w:rFonts w:hint="default" w:ascii="Times New Roman" w:hAnsi="Times New Roman" w:cs="Times New Roman" w:eastAsiaTheme="minorEastAsia"/>
          <w:kern w:val="2"/>
          <w:sz w:val="24"/>
          <w:szCs w:val="24"/>
          <w:lang w:val="en-US" w:eastAsia="zh-CN"/>
        </w:rPr>
        <w:t>substantial deprivation</w:t>
      </w:r>
      <w:r>
        <w:rPr>
          <w:rFonts w:hint="eastAsia" w:ascii="Times New Roman" w:hAnsi="Times New Roman" w:cs="Times New Roman" w:eastAsiaTheme="minorEastAsia"/>
          <w:kern w:val="2"/>
          <w:sz w:val="24"/>
          <w:szCs w:val="24"/>
          <w:lang w:val="en-US" w:eastAsia="zh-CN"/>
        </w:rPr>
        <w:t>? Substantial deprivation requires that the deprivation be of a detriment, and CISG doesn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t contain any definition of the term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detriment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In practice,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detriment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is not only economic loss, but also other types of detriment, such as loss of time, goodwill and opportunity.</w:t>
      </w:r>
      <w:r>
        <w:rPr>
          <w:rStyle w:val="15"/>
          <w:rFonts w:hint="eastAsia" w:ascii="Times New Roman" w:hAnsi="Times New Roman" w:cs="Times New Roman" w:eastAsiaTheme="minorEastAsia"/>
          <w:kern w:val="2"/>
          <w:sz w:val="24"/>
          <w:szCs w:val="24"/>
          <w:lang w:val="en-US" w:eastAsia="zh-CN"/>
        </w:rPr>
        <w:footnoteReference w:id="29"/>
      </w:r>
      <w:r>
        <w:rPr>
          <w:rFonts w:hint="eastAsia" w:ascii="Times New Roman" w:hAnsi="Times New Roman" w:cs="Times New Roman" w:eastAsiaTheme="minorEastAsia"/>
          <w:kern w:val="2"/>
          <w:sz w:val="24"/>
          <w:szCs w:val="24"/>
          <w:lang w:val="en-US" w:eastAsia="zh-CN"/>
        </w:rPr>
        <w:t xml:space="preserve"> Because of the ambiguous meaning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detriment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in practice courts are likely to refer to domestic interpretations of this term.</w:t>
      </w:r>
      <w:r>
        <w:rPr>
          <w:rStyle w:val="15"/>
          <w:rFonts w:hint="eastAsia" w:ascii="Times New Roman" w:hAnsi="Times New Roman" w:cs="Times New Roman" w:eastAsiaTheme="minorEastAsia"/>
          <w:kern w:val="2"/>
          <w:sz w:val="24"/>
          <w:szCs w:val="24"/>
          <w:lang w:val="en-US" w:eastAsia="zh-CN"/>
        </w:rPr>
        <w:footnoteReference w:id="30"/>
      </w:r>
      <w:r>
        <w:rPr>
          <w:rFonts w:hint="eastAsia" w:ascii="Times New Roman" w:hAnsi="Times New Roman" w:cs="Times New Roman" w:eastAsiaTheme="minorEastAsia"/>
          <w:kern w:val="2"/>
          <w:sz w:val="24"/>
          <w:szCs w:val="24"/>
          <w:lang w:val="en-US" w:eastAsia="zh-CN"/>
        </w:rPr>
        <w:t xml:space="preserve"> However, common law countries are not familiar with the term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detriment</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w:t>
      </w:r>
      <w:r>
        <w:rPr>
          <w:rStyle w:val="15"/>
          <w:rFonts w:hint="eastAsia" w:ascii="Times New Roman" w:hAnsi="Times New Roman" w:cs="Times New Roman" w:eastAsiaTheme="minorEastAsia"/>
          <w:kern w:val="2"/>
          <w:sz w:val="24"/>
          <w:szCs w:val="24"/>
          <w:lang w:val="en-US" w:eastAsia="zh-CN"/>
        </w:rPr>
        <w:footnoteReference w:id="31"/>
      </w:r>
      <w:r>
        <w:rPr>
          <w:rFonts w:hint="eastAsia" w:ascii="Times New Roman" w:hAnsi="Times New Roman" w:cs="Times New Roman" w:eastAsiaTheme="minorEastAsia"/>
          <w:kern w:val="2"/>
          <w:sz w:val="24"/>
          <w:szCs w:val="24"/>
          <w:lang w:val="en-US" w:eastAsia="zh-CN"/>
        </w:rPr>
        <w:t xml:space="preserve"> So, the best way is to view damage as a filter only for those cases where the basic obligation has been breached but no detriment has been resulted. For example, if the seller fails to fulfil its duty to package or insure the goods, but the goods arrive safely, no detriment will result. On the other hand, if the buyer lost a customer or a second chance to sell the goods, there would be detriment. Or, if the seller delivers goods that do not meet the contractual quality standards at all, so that the buyer is unable to use them, then this is also a substantial deprivation. Moreover, the detriment must be sufficiently serious to be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substantial deprivation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w:t>
      </w:r>
      <w:r>
        <w:rPr>
          <w:rStyle w:val="15"/>
          <w:rFonts w:hint="eastAsia" w:ascii="Times New Roman" w:hAnsi="Times New Roman" w:cs="Times New Roman" w:eastAsiaTheme="minorEastAsia"/>
          <w:kern w:val="2"/>
          <w:sz w:val="24"/>
          <w:szCs w:val="24"/>
          <w:lang w:val="en-US" w:eastAsia="zh-CN"/>
        </w:rPr>
        <w:footnoteReference w:id="32"/>
      </w:r>
      <w:r>
        <w:rPr>
          <w:rFonts w:hint="eastAsia" w:ascii="Times New Roman" w:hAnsi="Times New Roman" w:cs="Times New Roman" w:eastAsiaTheme="minorEastAsia"/>
          <w:kern w:val="2"/>
          <w:sz w:val="24"/>
          <w:szCs w:val="24"/>
          <w:lang w:val="en-US" w:eastAsia="zh-CN"/>
        </w:rPr>
        <w:t xml:space="preserve"> A slight detriment, which may only require the defending party to request a reduction in price or other remedies, is not sufficient to qualify as a fundamental breach of contract.</w:t>
      </w:r>
      <w:r>
        <w:rPr>
          <w:rStyle w:val="15"/>
          <w:rFonts w:hint="eastAsia" w:ascii="Times New Roman" w:hAnsi="Times New Roman" w:cs="Times New Roman" w:eastAsiaTheme="minorEastAsia"/>
          <w:kern w:val="2"/>
          <w:sz w:val="24"/>
          <w:szCs w:val="24"/>
          <w:lang w:val="en-US" w:eastAsia="zh-CN"/>
        </w:rPr>
        <w:footnoteReference w:id="33"/>
      </w:r>
      <w:r>
        <w:rPr>
          <w:rFonts w:hint="eastAsia" w:ascii="Times New Roman" w:hAnsi="Times New Roman" w:cs="Times New Roman" w:eastAsiaTheme="minorEastAsia"/>
          <w:kern w:val="2"/>
          <w:sz w:val="24"/>
          <w:szCs w:val="24"/>
          <w:lang w:val="en-US" w:eastAsia="zh-CN"/>
        </w:rPr>
        <w:t xml:space="preserve">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Substantial deprivation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is a necessary but not a sufficient condition for a fundamental breach, as it must be fulfilled at the same time as the condition of “foreseeability”.</w:t>
      </w:r>
    </w:p>
    <w:p w14:paraId="163DF309">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327F9DB5">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Then, what is </w:t>
      </w:r>
      <w:r>
        <w:rPr>
          <w:rFonts w:hint="default" w:ascii="Times New Roman" w:hAnsi="Times New Roman" w:cs="Times New Roman" w:eastAsiaTheme="minorEastAsia"/>
          <w:kern w:val="2"/>
          <w:sz w:val="24"/>
          <w:szCs w:val="24"/>
          <w:lang w:val="en-US" w:eastAsia="zh-CN"/>
        </w:rPr>
        <w:t>foreseeability</w:t>
      </w:r>
      <w:r>
        <w:rPr>
          <w:rFonts w:hint="eastAsia" w:ascii="Times New Roman" w:hAnsi="Times New Roman" w:cs="Times New Roman" w:eastAsiaTheme="minorEastAsia"/>
          <w:kern w:val="2"/>
          <w:sz w:val="24"/>
          <w:szCs w:val="24"/>
          <w:lang w:val="en-US" w:eastAsia="zh-CN"/>
        </w:rPr>
        <w:t>? The object of foreseeability (what the breaching party needs to foresee) is that the breach will result in a substantial deprivation. In other words, the breaching party does not need to foresee a specific way of detriment, but only needs to foresee that the detriment will be sufficiently serious to substantially deprive the breaching party of what it is contractually expect to obtain.</w:t>
      </w:r>
      <w:r>
        <w:rPr>
          <w:rStyle w:val="15"/>
          <w:rFonts w:hint="eastAsia" w:ascii="Times New Roman" w:hAnsi="Times New Roman" w:cs="Times New Roman" w:eastAsiaTheme="minorEastAsia"/>
          <w:kern w:val="2"/>
          <w:sz w:val="24"/>
          <w:szCs w:val="24"/>
          <w:lang w:val="en-US" w:eastAsia="zh-CN"/>
        </w:rPr>
        <w:footnoteReference w:id="34"/>
      </w:r>
      <w:r>
        <w:rPr>
          <w:rFonts w:hint="eastAsia" w:ascii="Times New Roman" w:hAnsi="Times New Roman" w:cs="Times New Roman" w:eastAsiaTheme="minorEastAsia"/>
          <w:kern w:val="2"/>
          <w:sz w:val="24"/>
          <w:szCs w:val="24"/>
          <w:lang w:val="en-US" w:eastAsia="zh-CN"/>
        </w:rPr>
        <w:t xml:space="preserve">  The standard of foreseeability is based on an objective criterion, that is, it is judged by a reasonable person with the same qualifications and in the same situation. The CISG deals with the concept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foreseeability</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in a number of articles, such as article 25 (fundamental breach) and article 74 (damages). However, there is no clear explanation of the consistency or interrelationship of the standards for determining foreseeability between these articles. </w:t>
      </w:r>
      <w:r>
        <w:rPr>
          <w:rStyle w:val="15"/>
          <w:rFonts w:hint="eastAsia" w:ascii="Times New Roman" w:hAnsi="Times New Roman" w:cs="Times New Roman" w:eastAsiaTheme="minorEastAsia"/>
          <w:kern w:val="2"/>
          <w:sz w:val="24"/>
          <w:szCs w:val="24"/>
          <w:lang w:val="en-US" w:eastAsia="zh-CN"/>
        </w:rPr>
        <w:footnoteReference w:id="35"/>
      </w:r>
      <w:r>
        <w:rPr>
          <w:rFonts w:hint="eastAsia" w:ascii="Times New Roman" w:hAnsi="Times New Roman" w:cs="Times New Roman" w:eastAsiaTheme="minorEastAsia"/>
          <w:kern w:val="2"/>
          <w:sz w:val="24"/>
          <w:szCs w:val="24"/>
          <w:lang w:val="en-US" w:eastAsia="zh-CN"/>
        </w:rPr>
        <w:t xml:space="preserve"> And the time of foreseeing, there are different views in the academic world. One opinion is that it should be judged at the time of the conclusion of the contract; another opinion is that it should be judged at the time of the breach of contract.</w:t>
      </w:r>
      <w:r>
        <w:rPr>
          <w:rStyle w:val="15"/>
          <w:rFonts w:hint="eastAsia" w:ascii="Times New Roman" w:hAnsi="Times New Roman" w:cs="Times New Roman" w:eastAsiaTheme="minorEastAsia"/>
          <w:kern w:val="2"/>
          <w:sz w:val="24"/>
          <w:szCs w:val="24"/>
          <w:lang w:val="en-US" w:eastAsia="zh-CN"/>
        </w:rPr>
        <w:footnoteReference w:id="36"/>
      </w:r>
      <w:r>
        <w:rPr>
          <w:rFonts w:hint="eastAsia" w:ascii="Times New Roman" w:hAnsi="Times New Roman" w:cs="Times New Roman" w:eastAsiaTheme="minorEastAsia"/>
          <w:kern w:val="2"/>
          <w:sz w:val="24"/>
          <w:szCs w:val="24"/>
          <w:lang w:val="en-US" w:eastAsia="zh-CN"/>
        </w:rPr>
        <w:t xml:space="preserve"> On the burden of proof, the non-breaching party needs to prove that the breach resulted in a substantial deprivation, while the breaching party needs to prove that the result was unforeseeable.</w:t>
      </w:r>
      <w:r>
        <w:rPr>
          <w:rStyle w:val="15"/>
          <w:rFonts w:hint="eastAsia" w:ascii="Times New Roman" w:hAnsi="Times New Roman" w:cs="Times New Roman" w:eastAsiaTheme="minorEastAsia"/>
          <w:kern w:val="2"/>
          <w:sz w:val="24"/>
          <w:szCs w:val="24"/>
          <w:lang w:val="en-US" w:eastAsia="zh-CN"/>
        </w:rPr>
        <w:footnoteReference w:id="37"/>
      </w:r>
    </w:p>
    <w:p w14:paraId="76038AF1">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05928E8B">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3. Controversies Surrounding the Test of Fundamental Breach of Article 25 of  CISG</w:t>
      </w:r>
    </w:p>
    <w:p w14:paraId="6EF566FC">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p>
    <w:p w14:paraId="70EDAAC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While Article 25 provides a general framework for determining fundamental breach of contract, its application has faced considerable theoretical and practical challenges, particularly in international commercial transactions. This section will critically examine these challenges by focusing on the theoretical weaknesses and practical difficulties, and emphasise their impact on global trade.</w:t>
      </w:r>
    </w:p>
    <w:p w14:paraId="39EFDFD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3E43981D">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4"/>
          <w:szCs w:val="24"/>
          <w:lang w:val="en-US" w:eastAsia="zh-CN"/>
        </w:rPr>
      </w:pPr>
      <w:r>
        <w:rPr>
          <w:rFonts w:hint="eastAsia" w:ascii="Times New Roman" w:hAnsi="Times New Roman" w:cs="Times New Roman" w:eastAsiaTheme="minorEastAsia"/>
          <w:b/>
          <w:bCs/>
          <w:kern w:val="2"/>
          <w:sz w:val="24"/>
          <w:szCs w:val="24"/>
          <w:lang w:val="en-US" w:eastAsia="zh-CN"/>
        </w:rPr>
        <w:t>3.1. Theoretical Weaknesses</w:t>
      </w:r>
    </w:p>
    <w:p w14:paraId="7852C3C8">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4"/>
          <w:szCs w:val="24"/>
          <w:lang w:val="en-US" w:eastAsia="zh-CN"/>
        </w:rPr>
      </w:pPr>
    </w:p>
    <w:p w14:paraId="1CE9E77E">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r>
        <w:rPr>
          <w:rFonts w:hint="eastAsia" w:ascii="Times New Roman" w:hAnsi="Times New Roman" w:cs="Times New Roman" w:eastAsiaTheme="minorEastAsia"/>
          <w:b/>
          <w:bCs/>
          <w:kern w:val="2"/>
          <w:sz w:val="22"/>
          <w:szCs w:val="22"/>
          <w:lang w:val="en-US" w:eastAsia="zh-CN"/>
        </w:rPr>
        <w:t>3.1.1 Ambiguity in the Interaction with Other CISG Provisions</w:t>
      </w:r>
    </w:p>
    <w:p w14:paraId="0EC4646C">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p>
    <w:p w14:paraId="21C9AC0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The logical conflict between the CISG provisions on fundamental breach and the seller's right to cure, such as the relationship between articles 48 and 49, makes the identification of a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fundamental breach</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more complicated. Article 48 allows the seller to avoid a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fundamental breach</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through remedies, but it is controversial whether such remedies are sufficient to avoid a fundamental breach under the framework of article 25.</w:t>
      </w:r>
      <w:r>
        <w:rPr>
          <w:rStyle w:val="15"/>
          <w:rFonts w:hint="eastAsia" w:ascii="Times New Roman" w:hAnsi="Times New Roman" w:cs="Times New Roman" w:eastAsiaTheme="minorEastAsia"/>
          <w:kern w:val="2"/>
          <w:sz w:val="24"/>
          <w:szCs w:val="24"/>
          <w:lang w:val="en-US" w:eastAsia="zh-CN"/>
        </w:rPr>
        <w:footnoteReference w:id="38"/>
      </w:r>
    </w:p>
    <w:p w14:paraId="17C9E2C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709F62DF">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r>
        <w:rPr>
          <w:rFonts w:hint="eastAsia" w:ascii="Times New Roman" w:hAnsi="Times New Roman" w:cs="Times New Roman" w:eastAsiaTheme="minorEastAsia"/>
          <w:b/>
          <w:bCs/>
          <w:kern w:val="2"/>
          <w:sz w:val="22"/>
          <w:szCs w:val="22"/>
          <w:lang w:val="en-US" w:eastAsia="zh-CN"/>
        </w:rPr>
        <w:t>3.1.2 Inconsistency with the concept of domestic law</w:t>
      </w:r>
    </w:p>
    <w:p w14:paraId="25867D45">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p>
    <w:p w14:paraId="207BFBA5">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It was pointed out that the notion of fundamental breach in article 25 of the CISG should not be confused with similar notions in domestic law, as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breach</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was understood differently in different jurisdictions and article 25 of CISG could be misinterpreted. In Latin America, the application and interpretation of the concept of fundamental breach of contract under article 25 varies quite a bit. Venezuela and Argentina allow any non-performance to lead to the avoidance of the contract, while Bolivia and Paraguay impose stricter requirements, requiring that the breach be significant or seriously detrimental to the interests of the other party.</w:t>
      </w:r>
      <w:r>
        <w:rPr>
          <w:rStyle w:val="15"/>
          <w:rFonts w:hint="eastAsia" w:ascii="Times New Roman" w:hAnsi="Times New Roman" w:cs="Times New Roman" w:eastAsiaTheme="minorEastAsia"/>
          <w:kern w:val="2"/>
          <w:sz w:val="24"/>
          <w:szCs w:val="24"/>
          <w:lang w:val="en-US" w:eastAsia="zh-CN"/>
        </w:rPr>
        <w:footnoteReference w:id="39"/>
      </w:r>
      <w:r>
        <w:rPr>
          <w:rFonts w:hint="eastAsia" w:ascii="Times New Roman" w:hAnsi="Times New Roman" w:cs="Times New Roman" w:eastAsiaTheme="minorEastAsia"/>
          <w:kern w:val="2"/>
          <w:sz w:val="24"/>
          <w:szCs w:val="24"/>
          <w:lang w:val="en-US" w:eastAsia="zh-CN"/>
        </w:rPr>
        <w:t xml:space="preserve"> These differences highlight the risk of domestic law affecting the interpretation of the CISG, leading to inconsistent application and jeopardising the goal of legal uniformity.</w:t>
      </w:r>
    </w:p>
    <w:p w14:paraId="6EFB05A1">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0963998B">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4"/>
          <w:szCs w:val="24"/>
          <w:lang w:val="en-US" w:eastAsia="zh-CN"/>
        </w:rPr>
      </w:pPr>
      <w:r>
        <w:rPr>
          <w:rFonts w:hint="eastAsia" w:ascii="Times New Roman" w:hAnsi="Times New Roman" w:cs="Times New Roman" w:eastAsiaTheme="minorEastAsia"/>
          <w:b/>
          <w:bCs/>
          <w:kern w:val="2"/>
          <w:sz w:val="24"/>
          <w:szCs w:val="24"/>
          <w:lang w:val="en-US" w:eastAsia="zh-CN"/>
        </w:rPr>
        <w:t>3.2 Practical Challenges</w:t>
      </w:r>
    </w:p>
    <w:p w14:paraId="1882C9D9">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4"/>
          <w:szCs w:val="24"/>
          <w:lang w:val="en-US" w:eastAsia="zh-CN"/>
        </w:rPr>
      </w:pPr>
    </w:p>
    <w:p w14:paraId="5868434E">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r>
        <w:rPr>
          <w:rFonts w:hint="eastAsia" w:ascii="Times New Roman" w:hAnsi="Times New Roman" w:cs="Times New Roman" w:eastAsiaTheme="minorEastAsia"/>
          <w:b/>
          <w:bCs/>
          <w:kern w:val="2"/>
          <w:sz w:val="22"/>
          <w:szCs w:val="22"/>
          <w:lang w:val="en-US" w:eastAsia="zh-CN"/>
        </w:rPr>
        <w:t>3.2.1 Lack of Clear Quantification for Substantial Deprivation</w:t>
      </w:r>
    </w:p>
    <w:p w14:paraId="7D4E82E2">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p>
    <w:p w14:paraId="03C30728">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As mentioned above, the ambiguity of CISG Article 25 on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substantial deprivation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has led to inconsistent interpretations, which have been further enhanced by challenges in practical application. Courts have had difficulties in harmonistion their approaches about what may constitute a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substantial deprivation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in international commercial transactions. For example, in Valero case. Valero claimed that the delayed deliveries had deprived it of a key opportunity to sell gasoline blends during a competitive period. Greeni countered that Valero already had sufficient naphtha reserves and so could not immediately use the additional supply, which minimised the impact of the delayed deliveries. However, the court held that the delay did not substantially deprive the buyer's benefit of the contract. The case was flexible in  definition of substantial deprivation, and the detriment must have a specific and obvious effect on the buyer's business in order to constitute a substantial deprivation.</w:t>
      </w:r>
      <w:r>
        <w:rPr>
          <w:rStyle w:val="15"/>
          <w:rFonts w:hint="eastAsia" w:ascii="Times New Roman" w:hAnsi="Times New Roman" w:cs="Times New Roman" w:eastAsiaTheme="minorEastAsia"/>
          <w:kern w:val="2"/>
          <w:sz w:val="24"/>
          <w:szCs w:val="24"/>
          <w:lang w:val="en-US" w:eastAsia="zh-CN"/>
        </w:rPr>
        <w:footnoteReference w:id="40"/>
      </w:r>
      <w:r>
        <w:rPr>
          <w:rFonts w:hint="eastAsia" w:ascii="Times New Roman" w:hAnsi="Times New Roman" w:cs="Times New Roman" w:eastAsiaTheme="minorEastAsia"/>
          <w:kern w:val="2"/>
          <w:sz w:val="24"/>
          <w:szCs w:val="24"/>
          <w:lang w:val="en-US" w:eastAsia="zh-CN"/>
        </w:rPr>
        <w:t xml:space="preserve"> In contrast, in Bunge case, because goods are traded in a time-sensitive way, it was considered very important to comply strictly with the time limit for delivery of the goods. In that case, the court determined that because of the special nature of the transaction, any breach of the agreed time limit would constitute a fundamental breach of contract, and the timely arrival of the goods was the key to performance. This is was strict in definition of substantial deprivation.</w:t>
      </w:r>
      <w:r>
        <w:rPr>
          <w:rStyle w:val="15"/>
          <w:rFonts w:hint="eastAsia" w:ascii="Times New Roman" w:hAnsi="Times New Roman" w:cs="Times New Roman" w:eastAsiaTheme="minorEastAsia"/>
          <w:kern w:val="2"/>
          <w:sz w:val="24"/>
          <w:szCs w:val="24"/>
          <w:lang w:val="en-US" w:eastAsia="zh-CN"/>
        </w:rPr>
        <w:footnoteReference w:id="41"/>
      </w:r>
      <w:r>
        <w:rPr>
          <w:rFonts w:hint="eastAsia" w:ascii="Times New Roman" w:hAnsi="Times New Roman" w:cs="Times New Roman" w:eastAsiaTheme="minorEastAsia"/>
          <w:kern w:val="2"/>
          <w:sz w:val="24"/>
          <w:szCs w:val="24"/>
          <w:lang w:val="en-US" w:eastAsia="zh-CN"/>
        </w:rPr>
        <w:t xml:space="preserve"> This inconsistency reflects the lack of clear quantification of article 25 in practice and emphasises the need for further guidance to ensure predictability and uniformity in its application. Without clearer guidance, it is difficult for the parties to predict whether a particular breach of contract will be considered a fundamental breach, which increases the potential transaction costs and disputes and is not beneficial to the wider application of the CISG.</w:t>
      </w:r>
    </w:p>
    <w:p w14:paraId="22214E5F">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2CA0D900">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r>
        <w:rPr>
          <w:rFonts w:hint="eastAsia" w:ascii="Times New Roman" w:hAnsi="Times New Roman" w:cs="Times New Roman" w:eastAsiaTheme="minorEastAsia"/>
          <w:b/>
          <w:bCs/>
          <w:kern w:val="2"/>
          <w:sz w:val="22"/>
          <w:szCs w:val="22"/>
          <w:lang w:val="en-US" w:eastAsia="zh-CN"/>
        </w:rPr>
        <w:t>3.2.2 The complexity of determining foreseeability</w:t>
      </w:r>
    </w:p>
    <w:p w14:paraId="515040D1">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p>
    <w:p w14:paraId="38D42836">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The “reasonable person” test is too abstract and may allow the breaching party to escape liability. As mentioned above, this standard faces the following challenges: (1) Since the scope of application of articles 25 and 74 overlap and the standards are not uniform, different or even contradictory judgements may result in judicial practice, increasing the complexity of international trade dispute settlement.</w:t>
      </w:r>
      <w:r>
        <w:rPr>
          <w:rFonts w:hint="eastAsia" w:ascii="Times New Roman" w:hAnsi="Times New Roman" w:cs="Times New Roman" w:eastAsiaTheme="minorEastAsia"/>
          <w:kern w:val="2"/>
          <w:sz w:val="24"/>
          <w:szCs w:val="24"/>
          <w:lang w:val="en-US" w:eastAsia="zh-CN"/>
        </w:rPr>
        <w:t xml:space="preserve"> An example is the case of Shanghai Shenhe Import and Export Co. In that case, the seller's delay in delivery caused the buyer to lose resale contracts with third parties, and the buyer claimed that its loss of profit should be undertaken by the seller. In determining whether a fundamental breach of contract was proved under Article 25 CISG, the court considered whether the seller could reasonably foresee that the delay in delivery would result in the buyer's loss of resale opportunities, and finally concluded that the consequence of the delay in delivery constituted a fundamental breach of contract. However, in assessing the scope of damages under Article 74, the court adopted a stricter standard for reasonable foreseeability of lost profits, requiring that the loss be clearly foreseeable at the time of contract formation, and thus did not fully support the buyer's claim for damages.</w:t>
      </w:r>
      <w:r>
        <w:rPr>
          <w:rStyle w:val="15"/>
          <w:rFonts w:hint="eastAsia" w:ascii="Times New Roman" w:hAnsi="Times New Roman" w:cs="Times New Roman" w:eastAsiaTheme="minorEastAsia"/>
          <w:kern w:val="2"/>
          <w:sz w:val="24"/>
          <w:szCs w:val="24"/>
          <w:lang w:val="en-US" w:eastAsia="zh-CN"/>
        </w:rPr>
        <w:footnoteReference w:id="42"/>
      </w:r>
      <w:r>
        <w:rPr>
          <w:rFonts w:hint="eastAsia" w:ascii="Times New Roman" w:hAnsi="Times New Roman" w:cs="Times New Roman" w:eastAsiaTheme="minorEastAsia"/>
          <w:kern w:val="2"/>
          <w:sz w:val="24"/>
          <w:szCs w:val="24"/>
          <w:lang w:val="en-US" w:eastAsia="zh-CN"/>
        </w:rPr>
        <w:t xml:space="preserve"> This shows that due to the lack of unification of the standard of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foreseeability</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in articles 25 and 74, judicial decisions may lead to inconsistent or even contradictory conclusions in the same case. They highlight the difficulties of applying the CISG 25 foreseeability standard in the different contexts of international trade.</w:t>
      </w:r>
    </w:p>
    <w:p w14:paraId="4307F7F1">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p>
    <w:p w14:paraId="658A0D97">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2"/>
          <w:szCs w:val="22"/>
          <w:lang w:val="en-US" w:eastAsia="zh-CN"/>
        </w:rPr>
      </w:pPr>
      <w:r>
        <w:rPr>
          <w:rFonts w:hint="eastAsia" w:ascii="Times New Roman" w:hAnsi="Times New Roman" w:cs="Times New Roman" w:eastAsiaTheme="minorEastAsia"/>
          <w:b/>
          <w:bCs/>
          <w:kern w:val="2"/>
          <w:sz w:val="22"/>
          <w:szCs w:val="22"/>
          <w:lang w:val="en-US" w:eastAsia="zh-CN"/>
        </w:rPr>
        <w:t>3.2.3 Cultural and Linguistic Barriers</w:t>
      </w:r>
    </w:p>
    <w:p w14:paraId="6F4FC547">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2"/>
          <w:szCs w:val="22"/>
          <w:lang w:val="en-US" w:eastAsia="zh-CN"/>
        </w:rPr>
      </w:pPr>
      <w:r>
        <w:rPr>
          <w:rFonts w:hint="eastAsia" w:ascii="Times New Roman" w:hAnsi="Times New Roman" w:cs="Times New Roman" w:eastAsiaTheme="minorEastAsia"/>
          <w:b/>
          <w:bCs/>
          <w:kern w:val="2"/>
          <w:sz w:val="22"/>
          <w:szCs w:val="22"/>
          <w:lang w:val="en-US" w:eastAsia="zh-CN"/>
        </w:rPr>
        <w:t xml:space="preserve"> </w:t>
      </w:r>
    </w:p>
    <w:p w14:paraId="265139ED">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Cultural and language barriers make the application of article 25 in international trade more difficult. Differences in legal traditions can influence how jurisdictions determine the priority of contractual obligations. For example, within Brazil, some courts emphasise timely delivery, while another court in the same country focuses on quality standards.</w:t>
      </w:r>
      <w:r>
        <w:rPr>
          <w:rStyle w:val="15"/>
          <w:rFonts w:hint="eastAsia" w:ascii="Times New Roman" w:hAnsi="Times New Roman" w:cs="Times New Roman" w:eastAsiaTheme="minorEastAsia"/>
          <w:kern w:val="2"/>
          <w:sz w:val="24"/>
          <w:szCs w:val="24"/>
          <w:lang w:val="en-US" w:eastAsia="zh-CN"/>
        </w:rPr>
        <w:footnoteReference w:id="43"/>
      </w:r>
      <w:r>
        <w:rPr>
          <w:rFonts w:hint="eastAsia" w:ascii="Times New Roman" w:hAnsi="Times New Roman" w:cs="Times New Roman" w:eastAsiaTheme="minorEastAsia"/>
          <w:kern w:val="2"/>
          <w:sz w:val="24"/>
          <w:szCs w:val="24"/>
          <w:lang w:val="en-US" w:eastAsia="zh-CN"/>
        </w:rPr>
        <w:t xml:space="preserve"> In addition, the multi-lingual nature of the CISG may lead to differences in interpretation. As Grebler already stressed, judges in Latin America may interpret provisions differently due to linguistic nuances or cultural biases, which increases the challenge of achieving uniform application.</w:t>
      </w:r>
    </w:p>
    <w:p w14:paraId="08A5B9E1">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3EE62E1D">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default" w:ascii="Times New Roman" w:hAnsi="Times New Roman" w:cs="Times New Roman" w:eastAsiaTheme="minorEastAsia"/>
          <w:kern w:val="2"/>
          <w:sz w:val="24"/>
          <w:szCs w:val="24"/>
          <w:lang w:val="en-US" w:eastAsia="zh-CN"/>
        </w:rPr>
        <w:t xml:space="preserve">However, </w:t>
      </w:r>
      <w:r>
        <w:rPr>
          <w:rFonts w:hint="eastAsia" w:ascii="Times New Roman" w:hAnsi="Times New Roman" w:cs="Times New Roman" w:eastAsiaTheme="minorEastAsia"/>
          <w:kern w:val="2"/>
          <w:sz w:val="24"/>
          <w:szCs w:val="24"/>
          <w:lang w:val="en-US" w:eastAsia="zh-CN"/>
        </w:rPr>
        <w:t>just</w:t>
      </w:r>
      <w:r>
        <w:rPr>
          <w:rFonts w:hint="default" w:ascii="Times New Roman" w:hAnsi="Times New Roman" w:cs="Times New Roman" w:eastAsiaTheme="minorEastAsia"/>
          <w:kern w:val="2"/>
          <w:sz w:val="24"/>
          <w:szCs w:val="24"/>
          <w:lang w:val="en-US" w:eastAsia="zh-CN"/>
        </w:rPr>
        <w:t xml:space="preserve"> because of the lack of clarity, the flexibility of definitions such as “substantial deprivation” gives the court greater discretion in judging a fundamental breach, allowing it to make a more fair and reasonable judgment based on the unique</w:t>
      </w:r>
      <w:r>
        <w:rPr>
          <w:rFonts w:hint="eastAsia" w:ascii="Times New Roman" w:hAnsi="Times New Roman" w:cs="Times New Roman" w:eastAsiaTheme="minorEastAsia"/>
          <w:kern w:val="2"/>
          <w:sz w:val="24"/>
          <w:szCs w:val="24"/>
          <w:lang w:val="en-US" w:eastAsia="zh-CN"/>
        </w:rPr>
        <w:t xml:space="preserve"> and </w:t>
      </w:r>
      <w:r>
        <w:rPr>
          <w:rFonts w:hint="default" w:ascii="Times New Roman" w:hAnsi="Times New Roman" w:cs="Times New Roman" w:eastAsiaTheme="minorEastAsia"/>
          <w:kern w:val="2"/>
          <w:sz w:val="24"/>
          <w:szCs w:val="24"/>
          <w:lang w:val="en-US" w:eastAsia="zh-CN"/>
        </w:rPr>
        <w:t xml:space="preserve">nuances factors of the transaction. The international trade environment is constantly changing, and new trading methods and commodities are constantly emerging. The flexibility of Article 25 of the CISG allows it to adapt to these changes and continue to </w:t>
      </w:r>
      <w:r>
        <w:rPr>
          <w:rFonts w:hint="eastAsia" w:ascii="Times New Roman" w:hAnsi="Times New Roman" w:cs="Times New Roman" w:eastAsiaTheme="minorEastAsia"/>
          <w:kern w:val="2"/>
          <w:sz w:val="24"/>
          <w:szCs w:val="24"/>
          <w:lang w:val="en-US" w:eastAsia="zh-CN"/>
        </w:rPr>
        <w:t>work</w:t>
      </w:r>
      <w:r>
        <w:rPr>
          <w:rFonts w:hint="default" w:ascii="Times New Roman" w:hAnsi="Times New Roman" w:cs="Times New Roman" w:eastAsiaTheme="minorEastAsia"/>
          <w:kern w:val="2"/>
          <w:sz w:val="24"/>
          <w:szCs w:val="24"/>
          <w:lang w:val="en-US" w:eastAsia="zh-CN"/>
        </w:rPr>
        <w:t xml:space="preserve"> in new situations</w:t>
      </w:r>
      <w:r>
        <w:rPr>
          <w:rFonts w:hint="eastAsia" w:ascii="Times New Roman" w:hAnsi="Times New Roman" w:cs="Times New Roman" w:eastAsiaTheme="minorEastAsia"/>
          <w:kern w:val="2"/>
          <w:sz w:val="24"/>
          <w:szCs w:val="24"/>
          <w:lang w:val="en-US" w:eastAsia="zh-CN"/>
        </w:rPr>
        <w:t>.</w:t>
      </w:r>
      <w:r>
        <w:rPr>
          <w:rStyle w:val="15"/>
          <w:rFonts w:hint="eastAsia" w:ascii="Times New Roman" w:hAnsi="Times New Roman" w:cs="Times New Roman" w:eastAsiaTheme="minorEastAsia"/>
          <w:kern w:val="2"/>
          <w:sz w:val="24"/>
          <w:szCs w:val="24"/>
          <w:lang w:val="en-US" w:eastAsia="zh-CN"/>
        </w:rPr>
        <w:footnoteReference w:id="44"/>
      </w:r>
    </w:p>
    <w:p w14:paraId="3BA8072A">
      <w:pPr>
        <w:rPr>
          <w:rFonts w:asciiTheme="minorHAnsi" w:hAnsiTheme="minorHAnsi" w:cstheme="minorHAnsi"/>
          <w:b/>
          <w:bCs/>
          <w:i/>
          <w:iCs/>
        </w:rPr>
      </w:pPr>
    </w:p>
    <w:p w14:paraId="6D21F6CA">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eastAsia" w:ascii="Times New Roman" w:hAnsi="Times New Roman" w:cs="Times New Roman" w:eastAsiaTheme="minorEastAsia"/>
          <w:b/>
          <w:bCs/>
          <w:kern w:val="2"/>
          <w:sz w:val="28"/>
          <w:szCs w:val="28"/>
          <w:lang w:val="en-US" w:eastAsia="zh-CN"/>
        </w:rPr>
      </w:pPr>
      <w:r>
        <w:rPr>
          <w:rFonts w:hint="eastAsia" w:ascii="Times New Roman" w:hAnsi="Times New Roman" w:cs="Times New Roman" w:eastAsiaTheme="minorEastAsia"/>
          <w:b/>
          <w:bCs/>
          <w:kern w:val="2"/>
          <w:sz w:val="28"/>
          <w:szCs w:val="28"/>
          <w:lang w:val="en-US" w:eastAsia="zh-CN"/>
        </w:rPr>
        <w:t>4. Conclusion</w:t>
      </w:r>
    </w:p>
    <w:p w14:paraId="2B35FC4A">
      <w:pPr>
        <w:keepNext w:val="0"/>
        <w:keepLines w:val="0"/>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eastAsiaTheme="minorEastAsia"/>
          <w:b/>
          <w:bCs/>
          <w:kern w:val="2"/>
          <w:sz w:val="28"/>
          <w:szCs w:val="28"/>
          <w:lang w:val="en-US" w:eastAsia="zh-CN"/>
        </w:rPr>
      </w:pPr>
    </w:p>
    <w:p w14:paraId="6904FA90">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Article 25 of the CISG plays an important role in international trade, but it has both strengths and weaknesses. Its flexibility allows courts to consider the unique details of each case, which helps ensure fair decisions. However, this flexibility also creates uncertainty, making it hard to predict how the law will be applied in different situations. Cases like Valero and Bunge show how outcomes can vary depending on the context.</w:t>
      </w:r>
    </w:p>
    <w:p w14:paraId="3E290FA7">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eastAsia" w:ascii="Times New Roman" w:hAnsi="Times New Roman" w:cs="Times New Roman" w:eastAsiaTheme="minorEastAsia"/>
          <w:kern w:val="2"/>
          <w:sz w:val="24"/>
          <w:szCs w:val="24"/>
          <w:lang w:val="en-US" w:eastAsia="zh-CN"/>
        </w:rPr>
      </w:pPr>
    </w:p>
    <w:p w14:paraId="49C6B4E1">
      <w:pPr>
        <w:keepNext w:val="0"/>
        <w:keepLines w:val="0"/>
        <w:pageBreakBefore w:val="0"/>
        <w:widowControl w:val="0"/>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rPr>
      </w:pPr>
      <w:r>
        <w:rPr>
          <w:rFonts w:hint="eastAsia" w:ascii="Times New Roman" w:hAnsi="Times New Roman" w:cs="Times New Roman" w:eastAsiaTheme="minorEastAsia"/>
          <w:kern w:val="2"/>
          <w:sz w:val="24"/>
          <w:szCs w:val="24"/>
          <w:lang w:val="en-US" w:eastAsia="zh-CN"/>
        </w:rPr>
        <w:t xml:space="preserve">While the flexibility of Article 25 allows for adaptation to changing trade practices, there is a risk of inconsistency. Cases such as Valero and Bunge highlight the variable outcomes. Future official guidance should clarify </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substantial deprivation</w:t>
      </w:r>
      <w:r>
        <w:rPr>
          <w:rFonts w:hint="default" w:ascii="Times New Roman" w:hAnsi="Times New Roman" w:cs="Times New Roman" w:eastAsiaTheme="minorEastAsia"/>
          <w:kern w:val="2"/>
          <w:sz w:val="24"/>
          <w:szCs w:val="24"/>
          <w:lang w:val="en-US" w:eastAsia="zh-CN"/>
        </w:rPr>
        <w:t>”</w:t>
      </w:r>
      <w:r>
        <w:rPr>
          <w:rFonts w:hint="eastAsia" w:ascii="Times New Roman" w:hAnsi="Times New Roman" w:cs="Times New Roman" w:eastAsiaTheme="minorEastAsia"/>
          <w:kern w:val="2"/>
          <w:sz w:val="24"/>
          <w:szCs w:val="24"/>
          <w:lang w:val="en-US" w:eastAsia="zh-CN"/>
        </w:rPr>
        <w:t xml:space="preserve"> and unify standards to improve predictability. By clarifying the interpretation, the purpose and function of the CISG can be better realised.</w:t>
      </w:r>
      <w:r>
        <w:rPr>
          <w:rFonts w:hint="default" w:ascii="Times New Roman" w:hAnsi="Times New Roman" w:cs="Times New Roman" w:eastAsiaTheme="minorEastAsia"/>
          <w:kern w:val="2"/>
          <w:sz w:val="24"/>
          <w:szCs w:val="24"/>
          <w:lang w:val="en-US" w:eastAsia="zh-CN"/>
        </w:rPr>
        <w:br w:type="page"/>
      </w:r>
    </w:p>
    <w:p w14:paraId="1F28D6B1">
      <w:pPr>
        <w:pStyle w:val="2"/>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Bibliography</w:t>
      </w:r>
    </w:p>
    <w:p w14:paraId="1F05D5A8">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Primary Sources</w:t>
      </w:r>
    </w:p>
    <w:p w14:paraId="44D3AEB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United Nations Convention on Contracts for the International Sale of Goods (adopted 11 April 1980, entered into force 1 January 1988) 1489 UNTS 3 (CISG), art 25.</w:t>
      </w:r>
    </w:p>
    <w:p w14:paraId="2CFC310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UNCITRAL, </w:t>
      </w:r>
      <w:r>
        <w:rPr>
          <w:rStyle w:val="13"/>
          <w:rFonts w:hint="default" w:ascii="Times New Roman" w:hAnsi="Times New Roman" w:cs="Times New Roman"/>
          <w:sz w:val="24"/>
          <w:szCs w:val="24"/>
        </w:rPr>
        <w:t>Digest of Case Law on the United Nations Convention on Contracts for the International Sale of Goods</w:t>
      </w:r>
      <w:r>
        <w:rPr>
          <w:rFonts w:hint="default" w:ascii="Times New Roman" w:hAnsi="Times New Roman" w:cs="Times New Roman"/>
          <w:sz w:val="24"/>
          <w:szCs w:val="24"/>
        </w:rPr>
        <w:t xml:space="preserve"> (2016) 114.</w:t>
      </w:r>
    </w:p>
    <w:p w14:paraId="29D09D4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International Institute for the Unification of Private Law, ‘Annotated Text of CISG Article 25’ (Pace Law School, 2024)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"https://iicl.law.pace.edu/cisg/page/annotated-text-cisg-article-25" \t "_new" </w:instrText>
      </w:r>
      <w:r>
        <w:rPr>
          <w:rFonts w:hint="default" w:ascii="Times New Roman" w:hAnsi="Times New Roman" w:cs="Times New Roman"/>
          <w:sz w:val="24"/>
          <w:szCs w:val="24"/>
        </w:rPr>
        <w:fldChar w:fldCharType="separate"/>
      </w:r>
      <w:r>
        <w:rPr>
          <w:rStyle w:val="14"/>
          <w:rFonts w:hint="default" w:ascii="Times New Roman" w:hAnsi="Times New Roman" w:cs="Times New Roman"/>
          <w:sz w:val="24"/>
          <w:szCs w:val="24"/>
        </w:rPr>
        <w:t>https://iicl.law.pace.edu/cisg/page/annotated-text-cisg-article-25</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accessed 3 December 2024.</w:t>
      </w:r>
    </w:p>
    <w:p w14:paraId="0267A90B">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Case Law</w:t>
      </w:r>
    </w:p>
    <w:p w14:paraId="429EF36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Bunge Corp v Tradax Export SA [1981] 1 WLR 711.</w:t>
      </w:r>
    </w:p>
    <w:p w14:paraId="190E2AB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Behr France S.a.r.l. v Romay AG, Cour de cassation (Chambre civile 1) (France), 30 June 2004, CISG-online Case No 870, Case No Y 01-15.964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"http://cisgw3.law.pace.edu/cases/040630f1.html" \t "_new" </w:instrText>
      </w:r>
      <w:r>
        <w:rPr>
          <w:rFonts w:hint="default" w:ascii="Times New Roman" w:hAnsi="Times New Roman" w:cs="Times New Roman"/>
          <w:sz w:val="24"/>
          <w:szCs w:val="24"/>
        </w:rPr>
        <w:fldChar w:fldCharType="separate"/>
      </w:r>
      <w:r>
        <w:rPr>
          <w:rStyle w:val="14"/>
          <w:rFonts w:hint="default" w:ascii="Times New Roman" w:hAnsi="Times New Roman" w:cs="Times New Roman"/>
          <w:sz w:val="24"/>
          <w:szCs w:val="24"/>
        </w:rPr>
        <w:t>http://cisgw3.law.pace.edu/cases/040630f1.html</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accessed 3 December 2024.</w:t>
      </w:r>
    </w:p>
    <w:p w14:paraId="5AEBDF0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Valero Marketing &amp; Supply Co v Greeni Oy, United States District Court for the District of New Jersey, 15 June 2005, Case No 01-5254 (DRD), CISG-online Case No 1028.</w:t>
      </w:r>
    </w:p>
    <w:p w14:paraId="285111A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BGH (Bundesgerichtshof, Germany), 24 September 2014, CISG-online Case No 2545, BGHZ 202, 258, note 29.</w:t>
      </w:r>
    </w:p>
    <w:p w14:paraId="4F1E8B3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Jiangsu High People's Court (China), Civil Judgment (2001) Su Min Zai Zhong Zi No 27.</w:t>
      </w:r>
    </w:p>
    <w:p w14:paraId="759C24BE">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Secondary Sources</w:t>
      </w:r>
    </w:p>
    <w:p w14:paraId="79BDA939">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Books</w:t>
      </w:r>
    </w:p>
    <w:p w14:paraId="064A572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Clayton P Gillette, </w:t>
      </w:r>
      <w:r>
        <w:rPr>
          <w:rStyle w:val="13"/>
          <w:rFonts w:hint="default" w:ascii="Times New Roman" w:hAnsi="Times New Roman" w:cs="Times New Roman"/>
          <w:sz w:val="24"/>
          <w:szCs w:val="24"/>
        </w:rPr>
        <w:t>Advanced Introduction to International Sales Law</w:t>
      </w:r>
      <w:r>
        <w:rPr>
          <w:rFonts w:hint="default" w:ascii="Times New Roman" w:hAnsi="Times New Roman" w:cs="Times New Roman"/>
          <w:sz w:val="24"/>
          <w:szCs w:val="24"/>
        </w:rPr>
        <w:t xml:space="preserve"> (Edward Elgar 2016).</w:t>
      </w:r>
    </w:p>
    <w:p w14:paraId="56768BF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Ingeborg Schwenzer and Ulrich G Schroeter (eds), </w:t>
      </w:r>
      <w:r>
        <w:rPr>
          <w:rStyle w:val="13"/>
          <w:rFonts w:hint="default" w:ascii="Times New Roman" w:hAnsi="Times New Roman" w:cs="Times New Roman"/>
          <w:sz w:val="24"/>
          <w:szCs w:val="24"/>
        </w:rPr>
        <w:t>Schlechtriem &amp; Schwenzer: Commentary on the UN Convention on Contracts for the International Sale of Goods (CISG)</w:t>
      </w:r>
      <w:r>
        <w:rPr>
          <w:rFonts w:hint="default" w:ascii="Times New Roman" w:hAnsi="Times New Roman" w:cs="Times New Roman"/>
          <w:sz w:val="24"/>
          <w:szCs w:val="24"/>
        </w:rPr>
        <w:t xml:space="preserve"> (5th edn, Oxford Academic 2022, online edn)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"https://doi.org/10.1093/law/9780198868675.003.0086" \t "_new" </w:instrText>
      </w:r>
      <w:r>
        <w:rPr>
          <w:rFonts w:hint="default" w:ascii="Times New Roman" w:hAnsi="Times New Roman" w:cs="Times New Roman"/>
          <w:sz w:val="24"/>
          <w:szCs w:val="24"/>
        </w:rPr>
        <w:fldChar w:fldCharType="separate"/>
      </w:r>
      <w:r>
        <w:rPr>
          <w:rStyle w:val="14"/>
          <w:rFonts w:hint="default" w:ascii="Times New Roman" w:hAnsi="Times New Roman" w:cs="Times New Roman"/>
          <w:sz w:val="24"/>
          <w:szCs w:val="24"/>
        </w:rPr>
        <w:t>https://doi.org/10.1093/law/9780198868675.003.0086</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accessed 6 December 2024.</w:t>
      </w:r>
    </w:p>
    <w:p w14:paraId="54E16D6C">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sz w:val="24"/>
          <w:szCs w:val="24"/>
        </w:rPr>
        <w:t>Articles</w:t>
      </w:r>
    </w:p>
    <w:p w14:paraId="4C7E7C2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Eduardo Grebler, ‘Fundamental Breach of Contract Under the CISG: A Controversial Rule’ (2007) 101 </w:t>
      </w:r>
      <w:r>
        <w:rPr>
          <w:rStyle w:val="13"/>
          <w:rFonts w:hint="default" w:ascii="Times New Roman" w:hAnsi="Times New Roman" w:cs="Times New Roman"/>
          <w:sz w:val="24"/>
          <w:szCs w:val="24"/>
        </w:rPr>
        <w:t>Proceedings of the Annual Meeting (American Society of International Law)</w:t>
      </w:r>
      <w:r>
        <w:rPr>
          <w:rFonts w:hint="default" w:ascii="Times New Roman" w:hAnsi="Times New Roman" w:cs="Times New Roman"/>
          <w:sz w:val="24"/>
          <w:szCs w:val="24"/>
        </w:rPr>
        <w:t xml:space="preserve"> 407, 411.</w:t>
      </w:r>
    </w:p>
    <w:p w14:paraId="186591C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Frans JA van der Velden, ‘The Law of International Sales: The Hague Conventions 1964 and the UNCITRAL Uniform Sales Code 1980 — Some Main Items Compared’ in CM Voskuil and JA Wade (eds), </w:t>
      </w:r>
      <w:r>
        <w:rPr>
          <w:rStyle w:val="13"/>
          <w:rFonts w:hint="default" w:ascii="Times New Roman" w:hAnsi="Times New Roman" w:cs="Times New Roman"/>
          <w:sz w:val="24"/>
          <w:szCs w:val="24"/>
        </w:rPr>
        <w:t>Hague-Zagreb Essays 4</w:t>
      </w:r>
      <w:r>
        <w:rPr>
          <w:rFonts w:hint="default" w:ascii="Times New Roman" w:hAnsi="Times New Roman" w:cs="Times New Roman"/>
          <w:sz w:val="24"/>
          <w:szCs w:val="24"/>
        </w:rPr>
        <w:t xml:space="preserve"> (Martinus Nijhoff 1983).</w:t>
      </w:r>
    </w:p>
    <w:p w14:paraId="7E621D9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Harry M Flechtner, </w:t>
      </w:r>
      <w:r>
        <w:rPr>
          <w:rStyle w:val="13"/>
          <w:rFonts w:hint="default" w:ascii="Times New Roman" w:hAnsi="Times New Roman" w:cs="Times New Roman"/>
          <w:sz w:val="24"/>
          <w:szCs w:val="24"/>
        </w:rPr>
        <w:t>The Exemption Provisions of the Sales Convention, Including Comments on “Hardship” Doctrine and the 19 June 2009 Decision of the Belgian Cassation Court</w:t>
      </w:r>
      <w:r>
        <w:rPr>
          <w:rFonts w:hint="default" w:ascii="Times New Roman" w:hAnsi="Times New Roman" w:cs="Times New Roman"/>
          <w:sz w:val="24"/>
          <w:szCs w:val="24"/>
        </w:rPr>
        <w:t xml:space="preserve"> (University of Pittsburgh School of Law 2009).</w:t>
      </w:r>
    </w:p>
    <w:p w14:paraId="6119AAC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Michael Will, ‘Article 25’ in Cesare Bianca and Michael Bonell (eds), </w:t>
      </w:r>
      <w:r>
        <w:rPr>
          <w:rStyle w:val="13"/>
          <w:rFonts w:hint="default" w:ascii="Times New Roman" w:hAnsi="Times New Roman" w:cs="Times New Roman"/>
          <w:sz w:val="24"/>
          <w:szCs w:val="24"/>
        </w:rPr>
        <w:t>Commentary on the International Sales Law: The 1980 Vienna Sales Convention</w:t>
      </w:r>
      <w:r>
        <w:rPr>
          <w:rFonts w:hint="default" w:ascii="Times New Roman" w:hAnsi="Times New Roman" w:cs="Times New Roman"/>
          <w:sz w:val="24"/>
          <w:szCs w:val="24"/>
        </w:rPr>
        <w:t xml:space="preserve"> (Giuffrè 1987).</w:t>
      </w:r>
    </w:p>
    <w:p w14:paraId="6D7B65A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Tae-jung Park, ‘Articles 25 and 74 of the United Nations Convention on Contracts for the International Sales of Goods as a Penalty Default Rule’ (2021) </w:t>
      </w:r>
      <w:r>
        <w:rPr>
          <w:rStyle w:val="13"/>
          <w:rFonts w:hint="default" w:ascii="Times New Roman" w:hAnsi="Times New Roman" w:cs="Times New Roman"/>
          <w:sz w:val="24"/>
          <w:szCs w:val="24"/>
        </w:rPr>
        <w:t>Jeonbuk Law Review</w:t>
      </w:r>
      <w:r>
        <w:rPr>
          <w:rFonts w:hint="default" w:ascii="Times New Roman" w:hAnsi="Times New Roman" w:cs="Times New Roman"/>
          <w:sz w:val="24"/>
          <w:szCs w:val="24"/>
        </w:rPr>
        <w:t>.</w:t>
      </w:r>
    </w:p>
    <w:p w14:paraId="675BD80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Yasutoshi Ishida, ‘Identifying Fundamental Breach of Article 25 and 49 of the CISG: The Good Faith Duty of Collaborative Efforts to Cure Defects - Make the Parties Draw a Line in the Sand of Substantiality’ (2020) </w:t>
      </w:r>
      <w:r>
        <w:rPr>
          <w:rStyle w:val="13"/>
          <w:rFonts w:hint="default" w:ascii="Times New Roman" w:hAnsi="Times New Roman" w:cs="Times New Roman"/>
          <w:sz w:val="24"/>
          <w:szCs w:val="24"/>
        </w:rPr>
        <w:t>Michigan Journal of International Law</w:t>
      </w:r>
      <w:r>
        <w:rPr>
          <w:rFonts w:hint="default" w:ascii="Times New Roman" w:hAnsi="Times New Roman" w:cs="Times New Roman"/>
          <w:sz w:val="24"/>
          <w:szCs w:val="24"/>
        </w:rPr>
        <w:t xml:space="preserve"> 64.</w:t>
      </w:r>
    </w:p>
    <w:p w14:paraId="4471AD39">
      <w:pPr>
        <w:rPr>
          <w:rFonts w:asciiTheme="minorHAnsi" w:hAnsiTheme="minorHAnsi" w:cstheme="minorHAnsi"/>
          <w:b/>
          <w:bCs/>
          <w:i/>
          <w:iCs/>
        </w:rPr>
      </w:pPr>
    </w:p>
    <w:p w14:paraId="5D7C413A">
      <w:pPr>
        <w:rPr>
          <w:rFonts w:asciiTheme="minorHAnsi" w:hAnsiTheme="minorHAnsi" w:cstheme="minorHAnsi"/>
          <w:b/>
          <w:bCs/>
          <w:i/>
          <w:iCs/>
        </w:rPr>
      </w:pPr>
    </w:p>
    <w:p w14:paraId="46BFFF2B">
      <w:pPr>
        <w:rPr>
          <w:rFonts w:asciiTheme="minorHAnsi" w:hAnsiTheme="minorHAnsi" w:cstheme="minorHAnsi"/>
          <w:b/>
          <w:bCs/>
          <w:i/>
          <w:iCs/>
        </w:rPr>
      </w:pPr>
    </w:p>
    <w:p w14:paraId="5C89DEED">
      <w:pPr>
        <w:rPr>
          <w:rFonts w:asciiTheme="minorHAnsi" w:hAnsiTheme="minorHAnsi" w:cstheme="minorHAnsi"/>
          <w:b/>
          <w:bCs/>
          <w:i/>
          <w:iCs/>
        </w:rPr>
      </w:pPr>
    </w:p>
    <w:p w14:paraId="403C7740">
      <w:pPr>
        <w:rPr>
          <w:rFonts w:asciiTheme="minorHAnsi" w:hAnsiTheme="minorHAnsi" w:cstheme="minorHAnsi"/>
          <w:b/>
          <w:bCs/>
          <w:i/>
          <w:iCs/>
        </w:rPr>
      </w:pPr>
    </w:p>
    <w:p w14:paraId="24CD2EF5">
      <w:pPr>
        <w:rPr>
          <w:rFonts w:asciiTheme="minorHAnsi" w:hAnsiTheme="minorHAnsi" w:cstheme="minorHAnsi"/>
          <w:b/>
          <w:bCs/>
          <w:i/>
          <w:iCs/>
        </w:rPr>
      </w:pPr>
    </w:p>
    <w:p w14:paraId="0883EAD1">
      <w:pPr>
        <w:rPr>
          <w:rFonts w:asciiTheme="minorHAnsi" w:hAnsiTheme="minorHAnsi" w:cstheme="minorHAnsi"/>
          <w:b/>
          <w:bCs/>
          <w:i/>
          <w:iCs/>
        </w:rPr>
      </w:pPr>
    </w:p>
    <w:p w14:paraId="2F23A9F3">
      <w:pPr>
        <w:rPr>
          <w:rFonts w:asciiTheme="minorHAnsi" w:hAnsiTheme="minorHAnsi" w:cstheme="minorHAnsi"/>
          <w:b/>
          <w:bCs/>
          <w:i/>
          <w:iCs/>
        </w:rPr>
      </w:pPr>
    </w:p>
    <w:p w14:paraId="37B18E25">
      <w:pPr>
        <w:rPr>
          <w:rFonts w:asciiTheme="minorHAnsi" w:hAnsiTheme="minorHAnsi" w:cstheme="minorHAnsi"/>
          <w:b/>
          <w:bCs/>
          <w:i/>
          <w:iCs/>
        </w:rPr>
      </w:pPr>
    </w:p>
    <w:p w14:paraId="6A8D72A8">
      <w:pPr>
        <w:rPr>
          <w:rFonts w:asciiTheme="minorHAnsi" w:hAnsiTheme="minorHAnsi" w:cstheme="minorHAnsi"/>
          <w:b/>
          <w:bCs/>
          <w:i/>
          <w:iCs/>
        </w:rPr>
      </w:pPr>
    </w:p>
    <w:p w14:paraId="4747E58E">
      <w:pPr>
        <w:rPr>
          <w:rFonts w:asciiTheme="minorHAnsi" w:hAnsiTheme="minorHAnsi" w:cstheme="minorHAnsi"/>
          <w:b/>
          <w:bCs/>
          <w:i/>
          <w:iCs/>
        </w:rPr>
      </w:pPr>
    </w:p>
    <w:sectPr>
      <w:pgSz w:w="11906" w:h="16838"/>
      <w:pgMar w:top="709" w:right="1133" w:bottom="851" w:left="993"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90">
    <w:p>
      <w:pPr>
        <w:spacing w:before="0" w:after="0" w:line="240" w:lineRule="auto"/>
      </w:pPr>
      <w:r>
        <w:separator/>
      </w:r>
    </w:p>
  </w:footnote>
  <w:footnote w:type="continuationSeparator" w:id="91">
    <w:p>
      <w:pPr>
        <w:spacing w:before="0" w:after="0" w:line="240" w:lineRule="auto"/>
      </w:pPr>
      <w:r>
        <w:continuationSeparator/>
      </w:r>
    </w:p>
  </w:footnote>
  <w:footnote w:id="0">
    <w:p w14:paraId="5E8ED354">
      <w:pPr>
        <w:pStyle w:val="7"/>
        <w:snapToGrid w:val="0"/>
        <w:rPr>
          <w:rFonts w:hint="default" w:ascii="Times New Roman" w:hAnsi="Times New Roman" w:cs="Times New Roman"/>
          <w:sz w:val="20"/>
          <w:szCs w:val="20"/>
        </w:rPr>
      </w:pPr>
      <w:r>
        <w:rPr>
          <w:rFonts w:hint="default" w:ascii="Times New Roman" w:hAnsi="Times New Roman" w:cs="Times New Roman"/>
          <w:sz w:val="20"/>
          <w:szCs w:val="20"/>
        </w:rPr>
        <w:footnoteRef/>
      </w:r>
      <w:r>
        <w:rPr>
          <w:rFonts w:hint="default" w:ascii="Times New Roman" w:hAnsi="Times New Roman" w:cs="Times New Roman"/>
          <w:sz w:val="20"/>
          <w:szCs w:val="20"/>
        </w:rPr>
        <w:t xml:space="preserve"> </w:t>
      </w:r>
      <w:r>
        <w:rPr>
          <w:rFonts w:hint="eastAsia" w:ascii="Times New Roman" w:hAnsi="Times New Roman" w:cs="Times New Roman"/>
          <w:sz w:val="20"/>
          <w:szCs w:val="20"/>
        </w:rPr>
        <w:t>United Nations Convention on Contracts for the International Sale of Goods (adopted 11 April 1980, entered into force 1 January 1988) 1489 UNTS 3 (CISG), art 79(1).</w:t>
      </w:r>
    </w:p>
  </w:footnote>
  <w:footnote w:id="1">
    <w:p w14:paraId="4032981C">
      <w:pPr>
        <w:pStyle w:val="7"/>
        <w:snapToGrid w:val="0"/>
        <w:rPr>
          <w:rFonts w:hint="eastAsia" w:ascii="Times New Roman" w:hAnsi="Times New Roman" w:eastAsia="宋体" w:cs="Times New Roman"/>
          <w:sz w:val="20"/>
          <w:szCs w:val="20"/>
          <w:lang w:val="en-US" w:eastAsia="zh-CN"/>
        </w:rPr>
      </w:pPr>
      <w:r>
        <w:rPr>
          <w:rFonts w:hint="default" w:ascii="Times New Roman" w:hAnsi="Times New Roman" w:cs="Times New Roman"/>
          <w:sz w:val="20"/>
          <w:szCs w:val="20"/>
        </w:rPr>
        <w:footnoteRef/>
      </w:r>
      <w:r>
        <w:rPr>
          <w:rFonts w:hint="default" w:ascii="Times New Roman" w:hAnsi="Times New Roman" w:cs="Times New Roman"/>
          <w:sz w:val="20"/>
          <w:szCs w:val="20"/>
        </w:rPr>
        <w:t xml:space="preserve"> </w:t>
      </w:r>
      <w:r>
        <w:rPr>
          <w:rFonts w:hint="eastAsia" w:ascii="Times New Roman" w:hAnsi="Times New Roman" w:cs="Times New Roman"/>
          <w:sz w:val="20"/>
          <w:szCs w:val="20"/>
        </w:rPr>
        <w:t>UNCITRAL, D</w:t>
      </w:r>
      <w:r>
        <w:rPr>
          <w:rFonts w:hint="eastAsia" w:ascii="Times New Roman" w:hAnsi="Times New Roman" w:cs="Times New Roman"/>
          <w:i/>
          <w:iCs/>
          <w:sz w:val="20"/>
          <w:szCs w:val="20"/>
        </w:rPr>
        <w:t>igest of Case Law on the United Nations Convention on Contracts for the International Sale of Goods</w:t>
      </w:r>
      <w:r>
        <w:rPr>
          <w:rFonts w:hint="eastAsia" w:ascii="Times New Roman" w:hAnsi="Times New Roman" w:cs="Times New Roman"/>
          <w:sz w:val="20"/>
          <w:szCs w:val="20"/>
        </w:rPr>
        <w:t xml:space="preserve"> (2016) 373</w:t>
      </w:r>
      <w:r>
        <w:rPr>
          <w:rFonts w:hint="eastAsia" w:ascii="Times New Roman" w:hAnsi="Times New Roman" w:eastAsia="宋体" w:cs="Times New Roman"/>
          <w:sz w:val="20"/>
          <w:szCs w:val="20"/>
          <w:lang w:val="en-US" w:eastAsia="zh-CN"/>
        </w:rPr>
        <w:t>.</w:t>
      </w:r>
    </w:p>
  </w:footnote>
  <w:footnote w:id="2">
    <w:p w14:paraId="2AA144C8">
      <w:pPr>
        <w:pStyle w:val="7"/>
        <w:snapToGrid w:val="0"/>
        <w:rPr>
          <w:rFonts w:hint="default"/>
          <w:lang w:val="en-US"/>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Clayton P Gillette, </w:t>
      </w:r>
      <w:r>
        <w:rPr>
          <w:rFonts w:hint="eastAsia" w:ascii="Times New Roman" w:hAnsi="Times New Roman" w:cs="Times New Roman"/>
          <w:i/>
          <w:iCs/>
          <w:sz w:val="20"/>
          <w:szCs w:val="20"/>
        </w:rPr>
        <w:t>Advanced Introduction to International Sales Law</w:t>
      </w:r>
      <w:r>
        <w:rPr>
          <w:rFonts w:hint="eastAsia" w:ascii="Times New Roman" w:hAnsi="Times New Roman" w:cs="Times New Roman"/>
          <w:sz w:val="20"/>
          <w:szCs w:val="20"/>
        </w:rPr>
        <w:t xml:space="preserve"> (Edward Elgar 2016) ch 7, 1</w:t>
      </w:r>
      <w:r>
        <w:rPr>
          <w:rFonts w:hint="eastAsia" w:ascii="Times New Roman" w:hAnsi="Times New Roman" w:cs="Times New Roman"/>
          <w:sz w:val="20"/>
          <w:szCs w:val="20"/>
          <w:lang w:val="en-US" w:eastAsia="zh-CN"/>
        </w:rPr>
        <w:t>00</w:t>
      </w:r>
      <w:r>
        <w:rPr>
          <w:rFonts w:hint="eastAsia" w:ascii="Times New Roman" w:hAnsi="Times New Roman" w:cs="Times New Roman"/>
          <w:sz w:val="20"/>
          <w:szCs w:val="20"/>
        </w:rPr>
        <w:t>.</w:t>
      </w:r>
    </w:p>
  </w:footnote>
  <w:footnote w:id="3">
    <w:p w14:paraId="7C489CD4">
      <w:pPr>
        <w:pStyle w:val="7"/>
        <w:snapToGrid w:val="0"/>
        <w:rPr>
          <w:rFonts w:hint="eastAsia" w:ascii="Times New Roman" w:hAnsi="Times New Roman" w:eastAsia="宋体" w:cs="Times New Roman"/>
          <w:i w:val="0"/>
          <w:iCs w:val="0"/>
          <w:sz w:val="20"/>
          <w:szCs w:val="20"/>
          <w:lang w:val="en-US" w:eastAsia="zh-CN"/>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[Germany, Hamburg Chamber of Commerce, 21 March and 21 June 1996] (CISG</w:t>
      </w:r>
      <w:r>
        <w:rPr>
          <w:rFonts w:hint="eastAsia" w:ascii="Times New Roman" w:hAnsi="Times New Roman" w:eastAsia="宋体" w:cs="Times New Roman"/>
          <w:i w:val="0"/>
          <w:iCs w:val="0"/>
          <w:sz w:val="20"/>
          <w:szCs w:val="20"/>
          <w:lang w:val="en-US" w:eastAsia="zh-CN"/>
        </w:rPr>
        <w:t xml:space="preserve"> </w:t>
      </w:r>
      <w:r>
        <w:rPr>
          <w:rFonts w:hint="eastAsia" w:ascii="Times New Roman" w:hAnsi="Times New Roman" w:cs="Times New Roman"/>
          <w:i w:val="0"/>
          <w:iCs w:val="0"/>
          <w:sz w:val="20"/>
          <w:szCs w:val="20"/>
        </w:rPr>
        <w:t>-</w:t>
      </w:r>
      <w:r>
        <w:rPr>
          <w:rFonts w:hint="eastAsia" w:ascii="Times New Roman" w:hAnsi="Times New Roman" w:eastAsia="宋体" w:cs="Times New Roman"/>
          <w:i w:val="0"/>
          <w:iCs w:val="0"/>
          <w:sz w:val="20"/>
          <w:szCs w:val="20"/>
          <w:lang w:val="en-US" w:eastAsia="zh-CN"/>
        </w:rPr>
        <w:t xml:space="preserve"> </w:t>
      </w:r>
      <w:r>
        <w:rPr>
          <w:rFonts w:hint="eastAsia" w:ascii="Times New Roman" w:hAnsi="Times New Roman" w:cs="Times New Roman"/>
          <w:i w:val="0"/>
          <w:iCs w:val="0"/>
          <w:sz w:val="20"/>
          <w:szCs w:val="20"/>
        </w:rPr>
        <w:t xml:space="preserve">online Case Nos. 187 and 465) </w:t>
      </w:r>
      <w:r>
        <w:rPr>
          <w:rFonts w:hint="eastAsia" w:ascii="Times New Roman" w:hAnsi="Times New Roman" w:eastAsia="宋体" w:cs="Times New Roman"/>
          <w:i w:val="0"/>
          <w:iCs w:val="0"/>
          <w:sz w:val="20"/>
          <w:szCs w:val="20"/>
          <w:lang w:val="en-US" w:eastAsia="zh-CN"/>
        </w:rPr>
        <w:t>.</w:t>
      </w:r>
    </w:p>
  </w:footnote>
  <w:footnote w:id="4">
    <w:p w14:paraId="7911D4B3">
      <w:pPr>
        <w:pStyle w:val="7"/>
        <w:snapToGrid w:val="0"/>
        <w:rPr>
          <w:rFonts w:hint="default" w:ascii="Times New Roman" w:hAnsi="Times New Roman" w:cs="Times New Roman"/>
          <w:sz w:val="20"/>
          <w:szCs w:val="20"/>
          <w:lang w:val="en-US" w:eastAsia="zh-CN"/>
        </w:rPr>
      </w:pPr>
      <w:r>
        <w:rPr>
          <w:rFonts w:hint="default" w:ascii="Times New Roman" w:hAnsi="Times New Roman" w:cs="Times New Roman"/>
          <w:sz w:val="20"/>
          <w:szCs w:val="20"/>
        </w:rPr>
        <w:footnoteRef/>
      </w:r>
      <w:r>
        <w:rPr>
          <w:rFonts w:hint="default" w:ascii="Times New Roman" w:hAnsi="Times New Roman" w:cs="Times New Roman"/>
          <w:sz w:val="20"/>
          <w:szCs w:val="20"/>
        </w:rPr>
        <w:t xml:space="preserve"> </w:t>
      </w:r>
      <w:r>
        <w:rPr>
          <w:rFonts w:hint="eastAsia" w:ascii="Times New Roman" w:hAnsi="Times New Roman" w:cs="Times New Roman"/>
          <w:sz w:val="20"/>
          <w:szCs w:val="20"/>
        </w:rPr>
        <w:t xml:space="preserve">Clayton P Gillette, </w:t>
      </w:r>
      <w:r>
        <w:rPr>
          <w:rFonts w:hint="eastAsia" w:ascii="Times New Roman" w:hAnsi="Times New Roman" w:cs="Times New Roman"/>
          <w:i/>
          <w:iCs/>
          <w:sz w:val="20"/>
          <w:szCs w:val="20"/>
        </w:rPr>
        <w:t>Advanced Introduction to International Sales Law</w:t>
      </w:r>
      <w:r>
        <w:rPr>
          <w:rFonts w:hint="eastAsia" w:ascii="Times New Roman" w:hAnsi="Times New Roman" w:cs="Times New Roman"/>
          <w:sz w:val="20"/>
          <w:szCs w:val="20"/>
        </w:rPr>
        <w:t xml:space="preserve"> (Edward Elgar 2016) ch 7, 1</w:t>
      </w:r>
      <w:r>
        <w:rPr>
          <w:rFonts w:hint="eastAsia" w:ascii="Times New Roman" w:hAnsi="Times New Roman" w:cs="Times New Roman"/>
          <w:sz w:val="20"/>
          <w:szCs w:val="20"/>
          <w:lang w:val="en-US" w:eastAsia="zh-CN"/>
        </w:rPr>
        <w:t>01.</w:t>
      </w:r>
    </w:p>
  </w:footnote>
  <w:footnote w:id="5">
    <w:p w14:paraId="5FB87E01">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UNCITRAL, </w:t>
      </w:r>
      <w:r>
        <w:rPr>
          <w:rFonts w:hint="eastAsia" w:ascii="Times New Roman" w:hAnsi="Times New Roman" w:cs="Times New Roman"/>
          <w:i/>
          <w:iCs/>
          <w:sz w:val="20"/>
          <w:szCs w:val="20"/>
        </w:rPr>
        <w:t xml:space="preserve">Digest of Case Law on the United Nations Convention on Contracts for the International Sale of Goods </w:t>
      </w:r>
      <w:r>
        <w:rPr>
          <w:rFonts w:hint="eastAsia" w:ascii="Times New Roman" w:hAnsi="Times New Roman" w:cs="Times New Roman"/>
          <w:i w:val="0"/>
          <w:iCs w:val="0"/>
          <w:sz w:val="20"/>
          <w:szCs w:val="20"/>
        </w:rPr>
        <w:t>(2016) 378.</w:t>
      </w:r>
    </w:p>
  </w:footnote>
  <w:footnote w:id="6">
    <w:p w14:paraId="27E3D425">
      <w:pPr>
        <w:pStyle w:val="7"/>
        <w:snapToGrid w:val="0"/>
        <w:rPr>
          <w:rFonts w:hint="eastAsia" w:ascii="Times New Roman" w:hAnsi="Times New Roman" w:eastAsia="宋体" w:cs="Times New Roman"/>
          <w:i w:val="0"/>
          <w:iCs w:val="0"/>
          <w:sz w:val="20"/>
          <w:szCs w:val="20"/>
          <w:lang w:val="en-US" w:eastAsia="zh-CN"/>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Ingeborg Schwenzer and Ulrich G Schroeter, 'Exemption from Liability for Damages', in Ingeborg Schwenzer and Ulrich G Schroeter (eds), </w:t>
      </w:r>
      <w:r>
        <w:rPr>
          <w:rFonts w:hint="eastAsia" w:ascii="Times New Roman" w:hAnsi="Times New Roman" w:cs="Times New Roman"/>
          <w:i/>
          <w:iCs/>
          <w:sz w:val="20"/>
          <w:szCs w:val="20"/>
        </w:rPr>
        <w:t>Schlechtriem &amp; Schwenzer: Commentary on the UN Convention on the International Sale of Goods (CISG)</w:t>
      </w:r>
      <w:r>
        <w:rPr>
          <w:rFonts w:hint="eastAsia" w:ascii="Times New Roman" w:hAnsi="Times New Roman" w:cs="Times New Roman"/>
          <w:i w:val="0"/>
          <w:iCs w:val="0"/>
          <w:sz w:val="20"/>
          <w:szCs w:val="20"/>
        </w:rPr>
        <w:t xml:space="preserve"> (5th edn, Oxford Academic 2022, online edn) https://doi.org/10.1093/law/9780198868675.003.0086 accessed 6 December 2024, para 12</w:t>
      </w:r>
      <w:r>
        <w:rPr>
          <w:rFonts w:hint="eastAsia" w:ascii="Times New Roman" w:hAnsi="Times New Roman" w:eastAsia="宋体" w:cs="Times New Roman"/>
          <w:i w:val="0"/>
          <w:iCs w:val="0"/>
          <w:sz w:val="20"/>
          <w:szCs w:val="20"/>
          <w:lang w:val="en-US" w:eastAsia="zh-CN"/>
        </w:rPr>
        <w:t>.</w:t>
      </w:r>
    </w:p>
  </w:footnote>
  <w:footnote w:id="7">
    <w:p w14:paraId="4A95DA00">
      <w:pPr>
        <w:pStyle w:val="7"/>
        <w:snapToGrid w:val="0"/>
        <w:rPr>
          <w:rFonts w:hint="eastAsia" w:ascii="Times New Roman" w:hAnsi="Times New Roman" w:eastAsia="宋体" w:cs="Times New Roman"/>
          <w:i w:val="0"/>
          <w:iCs w:val="0"/>
          <w:sz w:val="20"/>
          <w:szCs w:val="20"/>
          <w:lang w:val="en-US" w:eastAsia="zh-CN"/>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Yesim Atamer, 'Article 79', in Stefan Kröll, Loukas Mistelis and Pilar Perales Viscasillas (eds), </w:t>
      </w:r>
      <w:r>
        <w:rPr>
          <w:rFonts w:hint="eastAsia" w:ascii="Times New Roman" w:hAnsi="Times New Roman" w:cs="Times New Roman"/>
          <w:i/>
          <w:iCs/>
          <w:sz w:val="20"/>
          <w:szCs w:val="20"/>
        </w:rPr>
        <w:t>UN Convention on Contracts for the International Sale of Goods (CISG): Commentary</w:t>
      </w:r>
      <w:r>
        <w:rPr>
          <w:rFonts w:hint="eastAsia" w:ascii="Times New Roman" w:hAnsi="Times New Roman" w:cs="Times New Roman"/>
          <w:i w:val="0"/>
          <w:iCs w:val="0"/>
          <w:sz w:val="20"/>
          <w:szCs w:val="20"/>
        </w:rPr>
        <w:t xml:space="preserve"> (CH Beck/Hart/Nomos 2011) 1043</w:t>
      </w:r>
      <w:r>
        <w:rPr>
          <w:rFonts w:hint="eastAsia" w:ascii="Times New Roman" w:hAnsi="Times New Roman" w:eastAsia="宋体" w:cs="Times New Roman"/>
          <w:i w:val="0"/>
          <w:iCs w:val="0"/>
          <w:sz w:val="20"/>
          <w:szCs w:val="20"/>
          <w:lang w:val="en-US" w:eastAsia="zh-CN"/>
        </w:rPr>
        <w:t>.</w:t>
      </w:r>
    </w:p>
  </w:footnote>
  <w:footnote w:id="8">
    <w:p w14:paraId="5E6A63FE">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Clayton P Gillette, </w:t>
      </w:r>
      <w:r>
        <w:rPr>
          <w:rFonts w:hint="eastAsia" w:ascii="Times New Roman" w:hAnsi="Times New Roman" w:cs="Times New Roman"/>
          <w:i/>
          <w:iCs/>
          <w:sz w:val="20"/>
          <w:szCs w:val="20"/>
        </w:rPr>
        <w:t>Advanced Introduction to International Sales Law</w:t>
      </w:r>
      <w:r>
        <w:rPr>
          <w:rFonts w:hint="eastAsia" w:ascii="Times New Roman" w:hAnsi="Times New Roman" w:cs="Times New Roman"/>
          <w:i w:val="0"/>
          <w:iCs w:val="0"/>
          <w:sz w:val="20"/>
          <w:szCs w:val="20"/>
        </w:rPr>
        <w:t xml:space="preserve"> (Edward Elgar 2016) ch 7, 1</w:t>
      </w:r>
      <w:r>
        <w:rPr>
          <w:rFonts w:hint="eastAsia" w:ascii="Times New Roman" w:hAnsi="Times New Roman" w:cs="Times New Roman"/>
          <w:i w:val="0"/>
          <w:iCs w:val="0"/>
          <w:sz w:val="20"/>
          <w:szCs w:val="20"/>
          <w:lang w:val="en-US" w:eastAsia="zh-CN"/>
        </w:rPr>
        <w:t>06.</w:t>
      </w:r>
    </w:p>
  </w:footnote>
  <w:footnote w:id="9">
    <w:p w14:paraId="14BBE956">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Clayton P Gillette, </w:t>
      </w:r>
      <w:r>
        <w:rPr>
          <w:rFonts w:hint="eastAsia" w:ascii="Times New Roman" w:hAnsi="Times New Roman" w:cs="Times New Roman"/>
          <w:i/>
          <w:iCs/>
          <w:sz w:val="20"/>
          <w:szCs w:val="20"/>
        </w:rPr>
        <w:t>Advanced Introduction to International Sales Law</w:t>
      </w:r>
      <w:r>
        <w:rPr>
          <w:rFonts w:hint="eastAsia" w:ascii="Times New Roman" w:hAnsi="Times New Roman" w:cs="Times New Roman"/>
          <w:i w:val="0"/>
          <w:iCs w:val="0"/>
          <w:sz w:val="20"/>
          <w:szCs w:val="20"/>
        </w:rPr>
        <w:t xml:space="preserve"> (Edward Elgar 2016) ch 7, 1</w:t>
      </w:r>
      <w:r>
        <w:rPr>
          <w:rFonts w:hint="eastAsia" w:ascii="Times New Roman" w:hAnsi="Times New Roman" w:eastAsia="宋体" w:cs="Times New Roman"/>
          <w:i w:val="0"/>
          <w:iCs w:val="0"/>
          <w:sz w:val="20"/>
          <w:szCs w:val="20"/>
          <w:lang w:val="en-US" w:eastAsia="zh-CN"/>
        </w:rPr>
        <w:t>0</w:t>
      </w:r>
      <w:r>
        <w:rPr>
          <w:rFonts w:hint="eastAsia" w:ascii="Times New Roman" w:hAnsi="Times New Roman" w:cs="Times New Roman"/>
          <w:i w:val="0"/>
          <w:iCs w:val="0"/>
          <w:sz w:val="20"/>
          <w:szCs w:val="20"/>
          <w:lang w:val="en-US" w:eastAsia="zh-CN"/>
        </w:rPr>
        <w:t>3.</w:t>
      </w:r>
    </w:p>
  </w:footnote>
  <w:footnote w:id="10">
    <w:p w14:paraId="2BD758E4">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Clayton P Gillette, </w:t>
      </w:r>
      <w:r>
        <w:rPr>
          <w:rFonts w:hint="eastAsia" w:ascii="Times New Roman" w:hAnsi="Times New Roman" w:cs="Times New Roman"/>
          <w:i/>
          <w:iCs/>
          <w:sz w:val="20"/>
          <w:szCs w:val="20"/>
        </w:rPr>
        <w:t>Advanced Introduction to International Sales Law</w:t>
      </w:r>
      <w:r>
        <w:rPr>
          <w:rFonts w:hint="eastAsia" w:ascii="Times New Roman" w:hAnsi="Times New Roman" w:cs="Times New Roman"/>
          <w:i w:val="0"/>
          <w:iCs w:val="0"/>
          <w:sz w:val="20"/>
          <w:szCs w:val="20"/>
        </w:rPr>
        <w:t xml:space="preserve"> (Edward Elgar 2016) ch 7, 1</w:t>
      </w:r>
      <w:r>
        <w:rPr>
          <w:rFonts w:hint="eastAsia" w:ascii="Times New Roman" w:hAnsi="Times New Roman" w:cs="Times New Roman"/>
          <w:i w:val="0"/>
          <w:iCs w:val="0"/>
          <w:sz w:val="20"/>
          <w:szCs w:val="20"/>
          <w:lang w:val="en-US" w:eastAsia="zh-CN"/>
        </w:rPr>
        <w:t>13.</w:t>
      </w:r>
    </w:p>
  </w:footnote>
  <w:footnote w:id="11">
    <w:p w14:paraId="2C313E52">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Behr France S.a.r.l. v Romay AG, Cour de cassation (Chambre civile 1) (France), 30 June 2004, CISG-online Case No 870, Case No Y 01-15.964 http://cisgw3.law.pace.edu/cases/040630f1.html accessed 3 December 2024.</w:t>
      </w:r>
    </w:p>
  </w:footnote>
  <w:footnote w:id="12">
    <w:p w14:paraId="20F60598">
      <w:pPr>
        <w:pStyle w:val="7"/>
        <w:snapToGrid w:val="0"/>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Clayton P Gillette, </w:t>
      </w:r>
      <w:r>
        <w:rPr>
          <w:rFonts w:hint="eastAsia" w:ascii="Times New Roman" w:hAnsi="Times New Roman" w:cs="Times New Roman"/>
          <w:i/>
          <w:iCs/>
          <w:sz w:val="20"/>
          <w:szCs w:val="20"/>
        </w:rPr>
        <w:t>Advanced Introduction to International Sales Law</w:t>
      </w:r>
      <w:r>
        <w:rPr>
          <w:rFonts w:hint="eastAsia" w:ascii="Times New Roman" w:hAnsi="Times New Roman" w:cs="Times New Roman"/>
          <w:i w:val="0"/>
          <w:iCs w:val="0"/>
          <w:sz w:val="20"/>
          <w:szCs w:val="20"/>
        </w:rPr>
        <w:t xml:space="preserve"> (Edward Elgar 2016) ch 7, 1</w:t>
      </w:r>
      <w:r>
        <w:rPr>
          <w:rFonts w:hint="eastAsia" w:ascii="Times New Roman" w:hAnsi="Times New Roman" w:eastAsia="宋体" w:cs="Times New Roman"/>
          <w:i w:val="0"/>
          <w:iCs w:val="0"/>
          <w:sz w:val="20"/>
          <w:szCs w:val="20"/>
          <w:lang w:val="en-US" w:eastAsia="zh-CN"/>
        </w:rPr>
        <w:t>08</w:t>
      </w:r>
      <w:r>
        <w:rPr>
          <w:rFonts w:hint="eastAsia" w:ascii="Times New Roman" w:hAnsi="Times New Roman" w:cs="Times New Roman"/>
          <w:i w:val="0"/>
          <w:iCs w:val="0"/>
          <w:sz w:val="20"/>
          <w:szCs w:val="20"/>
          <w:lang w:val="en-US" w:eastAsia="zh-CN"/>
        </w:rPr>
        <w:t>.</w:t>
      </w:r>
    </w:p>
  </w:footnote>
  <w:footnote w:id="13">
    <w:p w14:paraId="4A002CC8">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Oberlandesgericht Hamburg (Germany), 4 July 1997, Case Nos 1 U 143/95 and 410 O 21/95, available at https://www.unilex.info/cisg/case/438 accessed 3 December 2024.</w:t>
      </w:r>
    </w:p>
  </w:footnote>
  <w:footnote w:id="14">
    <w:p w14:paraId="71AEA7CE">
      <w:pPr>
        <w:pStyle w:val="7"/>
        <w:snapToGrid w:val="0"/>
        <w:rPr>
          <w:rFonts w:hint="eastAsia" w:eastAsia="宋体"/>
          <w:lang w:val="en-US" w:eastAsia="zh-CN"/>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United Nations Convention on Contracts for the International Sale of Goods (adopted 11 April 1980, entered into force 1 January 1988) 1489 UNTS 3 (CISG), art 79(</w:t>
      </w:r>
      <w:r>
        <w:rPr>
          <w:rFonts w:hint="eastAsia" w:ascii="Times New Roman" w:hAnsi="Times New Roman" w:eastAsia="宋体" w:cs="Times New Roman"/>
          <w:sz w:val="20"/>
          <w:szCs w:val="20"/>
          <w:lang w:val="en-US" w:eastAsia="zh-CN"/>
        </w:rPr>
        <w:t>5</w:t>
      </w:r>
      <w:r>
        <w:rPr>
          <w:rFonts w:hint="eastAsia" w:ascii="Times New Roman" w:hAnsi="Times New Roman" w:cs="Times New Roman"/>
          <w:sz w:val="20"/>
          <w:szCs w:val="20"/>
        </w:rPr>
        <w:t>)</w:t>
      </w:r>
      <w:r>
        <w:rPr>
          <w:rFonts w:hint="eastAsia" w:ascii="Times New Roman" w:hAnsi="Times New Roman" w:eastAsia="宋体" w:cs="Times New Roman"/>
          <w:sz w:val="20"/>
          <w:szCs w:val="20"/>
          <w:lang w:val="en-US" w:eastAsia="zh-CN"/>
        </w:rPr>
        <w:t>.</w:t>
      </w:r>
    </w:p>
  </w:footnote>
  <w:footnote w:id="15">
    <w:p w14:paraId="374D4E27">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Christian Flippe v Sarl Douet Sport Collections, Tribunal de Commerce de Besançon (France), 19 January 1998, Case No 97 009265, available at https://www.unilex.info/cisg/case/416 accessed 3 December 2024.</w:t>
      </w:r>
    </w:p>
  </w:footnote>
  <w:footnote w:id="16">
    <w:p w14:paraId="144F2FAF">
      <w:pPr>
        <w:pStyle w:val="7"/>
        <w:snapToGrid w:val="0"/>
        <w:rPr>
          <w:rFonts w:hint="eastAsia" w:eastAsia="宋体"/>
          <w:lang w:val="en-US" w:eastAsia="zh-CN"/>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United Nations Convention on Contracts for the International Sale of Goods (adopted 11 April 1980, entered into force 1 January 1988) 1489 UNTS 3 (CISG), art 79(</w:t>
      </w:r>
      <w:r>
        <w:rPr>
          <w:rFonts w:hint="eastAsia" w:ascii="Times New Roman" w:hAnsi="Times New Roman" w:eastAsia="宋体" w:cs="Times New Roman"/>
          <w:sz w:val="20"/>
          <w:szCs w:val="20"/>
          <w:lang w:val="en-US" w:eastAsia="zh-CN"/>
        </w:rPr>
        <w:t>3</w:t>
      </w:r>
      <w:r>
        <w:rPr>
          <w:rFonts w:hint="eastAsia" w:ascii="Times New Roman" w:hAnsi="Times New Roman" w:cs="Times New Roman"/>
          <w:sz w:val="20"/>
          <w:szCs w:val="20"/>
        </w:rPr>
        <w:t>)</w:t>
      </w:r>
      <w:r>
        <w:rPr>
          <w:rFonts w:hint="eastAsia" w:ascii="Times New Roman" w:hAnsi="Times New Roman" w:eastAsia="宋体" w:cs="Times New Roman"/>
          <w:sz w:val="20"/>
          <w:szCs w:val="20"/>
          <w:lang w:val="en-US" w:eastAsia="zh-CN"/>
        </w:rPr>
        <w:t>.</w:t>
      </w:r>
    </w:p>
  </w:footnote>
  <w:footnote w:id="17">
    <w:p w14:paraId="7368A5C4">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Harry M Flechtner, </w:t>
      </w:r>
      <w:r>
        <w:rPr>
          <w:rFonts w:hint="eastAsia" w:ascii="Times New Roman" w:hAnsi="Times New Roman" w:cs="Times New Roman"/>
          <w:i/>
          <w:iCs/>
          <w:sz w:val="20"/>
          <w:szCs w:val="20"/>
        </w:rPr>
        <w:t>The Exemption Provisions of the Sales Convention, Including Comments on “Hardship” Doctrine and the 19 June 2009 Decision of the Belgian Cassation Court</w:t>
      </w:r>
      <w:r>
        <w:rPr>
          <w:rFonts w:hint="eastAsia" w:ascii="Times New Roman" w:hAnsi="Times New Roman" w:cs="Times New Roman"/>
          <w:sz w:val="20"/>
          <w:szCs w:val="20"/>
        </w:rPr>
        <w:t xml:space="preserve"> (University of Pittsburgh School of Law, 2009) 91.</w:t>
      </w:r>
    </w:p>
  </w:footnote>
  <w:footnote w:id="18">
    <w:p w14:paraId="7AE1EB07">
      <w:pPr>
        <w:pStyle w:val="7"/>
        <w:snapToGrid w:val="0"/>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UNIDROIT Principles of International Commercial Contracts (2016), art 6.2.</w:t>
      </w:r>
      <w:r>
        <w:rPr>
          <w:rFonts w:hint="eastAsia" w:ascii="Times New Roman" w:hAnsi="Times New Roman" w:eastAsia="宋体" w:cs="Times New Roman"/>
          <w:sz w:val="20"/>
          <w:szCs w:val="20"/>
          <w:lang w:val="en-US" w:eastAsia="zh-CN"/>
        </w:rPr>
        <w:t>3</w:t>
      </w:r>
      <w:r>
        <w:rPr>
          <w:rFonts w:hint="eastAsia" w:ascii="Times New Roman" w:hAnsi="Times New Roman" w:cs="Times New Roman"/>
          <w:sz w:val="20"/>
          <w:szCs w:val="20"/>
        </w:rPr>
        <w:t>, available at</w:t>
      </w:r>
      <w:r>
        <w:rPr>
          <w:rFonts w:hint="eastAsia" w:ascii="Times New Roman" w:hAnsi="Times New Roman" w:eastAsia="宋体" w:cs="Times New Roman"/>
          <w:sz w:val="20"/>
          <w:szCs w:val="20"/>
          <w:lang w:val="en-US" w:eastAsia="zh-CN"/>
        </w:rPr>
        <w:t xml:space="preserve"> </w:t>
      </w:r>
      <w:r>
        <w:rPr>
          <w:rFonts w:hint="eastAsia" w:ascii="Times New Roman" w:hAnsi="Times New Roman" w:cs="Times New Roman"/>
          <w:sz w:val="20"/>
          <w:szCs w:val="20"/>
        </w:rPr>
        <w:t>https://www.unidroit.org/instruments/commercial-contracts accessed 3 December 2024.</w:t>
      </w:r>
    </w:p>
  </w:footnote>
  <w:footnote w:id="19">
    <w:p w14:paraId="795239DC">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Cour d'appel de Colmar (France), 12 June 2001, CISG-online Case No 480, available at https://www.cisg-online.ch/case/480 accessed 3 December 2024</w:t>
      </w:r>
    </w:p>
  </w:footnote>
  <w:footnote w:id="20">
    <w:p w14:paraId="37940E03">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Oberlandesgericht Hamburg (Germany), 4 July 1997, Case Nos 1 U 143/95 and 410 O 21/95, available at https://www.unilex.info/cisg/case/438 accessed 3 December 2024.</w:t>
      </w:r>
    </w:p>
  </w:footnote>
  <w:footnote w:id="21">
    <w:p w14:paraId="20781545">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Oberlandesgericht Hamburg (Germany), 28 February 1997, CISG-online Case No 277, available at https://www.cisg-online.ch/case/277 accessed 3 December 2024.</w:t>
      </w:r>
    </w:p>
  </w:footnote>
  <w:footnote w:id="22">
    <w:p w14:paraId="2806EC65">
      <w:pPr>
        <w:pStyle w:val="7"/>
        <w:snapToGrid w:val="0"/>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Harry M Flechtner, </w:t>
      </w:r>
      <w:r>
        <w:rPr>
          <w:rFonts w:hint="eastAsia" w:ascii="Times New Roman" w:hAnsi="Times New Roman" w:cs="Times New Roman"/>
          <w:i/>
          <w:iCs/>
          <w:sz w:val="20"/>
          <w:szCs w:val="20"/>
        </w:rPr>
        <w:t>The Exemption Provisions of the Sales Convention, Including Comments on “Hardship” Doctrine and the 19 June 2009 Decision of the Belgian Cassation Court</w:t>
      </w:r>
      <w:r>
        <w:rPr>
          <w:rFonts w:hint="eastAsia" w:ascii="Times New Roman" w:hAnsi="Times New Roman" w:cs="Times New Roman"/>
          <w:sz w:val="20"/>
          <w:szCs w:val="20"/>
        </w:rPr>
        <w:t xml:space="preserve"> (University of Pittsburgh School of Law, 2009) 91.</w:t>
      </w:r>
    </w:p>
  </w:footnote>
  <w:footnote w:id="23">
    <w:p w14:paraId="462325BA">
      <w:pPr>
        <w:pStyle w:val="7"/>
        <w:snapToGrid w:val="0"/>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w:t>
      </w:r>
      <w:r>
        <w:rPr>
          <w:rFonts w:hint="eastAsia" w:ascii="Times New Roman" w:hAnsi="Times New Roman" w:cs="Times New Roman"/>
          <w:i/>
          <w:iCs/>
          <w:sz w:val="20"/>
          <w:szCs w:val="20"/>
        </w:rPr>
        <w:t>Ha</w:t>
      </w:r>
      <w:r>
        <w:rPr>
          <w:rFonts w:hint="eastAsia" w:ascii="Times New Roman" w:hAnsi="Times New Roman" w:cs="Times New Roman"/>
          <w:sz w:val="20"/>
          <w:szCs w:val="20"/>
        </w:rPr>
        <w:t xml:space="preserve">rry M Flechtner, </w:t>
      </w:r>
      <w:r>
        <w:rPr>
          <w:rFonts w:hint="eastAsia" w:ascii="Times New Roman" w:hAnsi="Times New Roman" w:cs="Times New Roman"/>
          <w:i/>
          <w:iCs/>
          <w:sz w:val="20"/>
          <w:szCs w:val="20"/>
        </w:rPr>
        <w:t>The Exemption Provisions of the Sales Convention, Including Comments on “Hardship” Doctrine and the 19 June 2009 Decision of the Belgian Cassation Court</w:t>
      </w:r>
      <w:r>
        <w:rPr>
          <w:rFonts w:hint="eastAsia" w:ascii="Times New Roman" w:hAnsi="Times New Roman" w:cs="Times New Roman"/>
          <w:sz w:val="20"/>
          <w:szCs w:val="20"/>
        </w:rPr>
        <w:t xml:space="preserve"> (University of Pittsburgh School of Law, 2009) 9</w:t>
      </w:r>
      <w:r>
        <w:rPr>
          <w:rFonts w:hint="eastAsia" w:ascii="Times New Roman" w:hAnsi="Times New Roman" w:eastAsia="宋体" w:cs="Times New Roman"/>
          <w:sz w:val="20"/>
          <w:szCs w:val="20"/>
          <w:lang w:val="en-US" w:eastAsia="zh-CN"/>
        </w:rPr>
        <w:t>7</w:t>
      </w:r>
      <w:r>
        <w:rPr>
          <w:rFonts w:hint="eastAsia" w:ascii="Times New Roman" w:hAnsi="Times New Roman" w:cs="Times New Roman"/>
          <w:sz w:val="20"/>
          <w:szCs w:val="20"/>
        </w:rPr>
        <w:t>.</w:t>
      </w:r>
    </w:p>
  </w:footnote>
  <w:footnote w:id="24">
    <w:p w14:paraId="4CABF5B3">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International Institute for the Unification of Private Law, ‘Annotated Text of CISG Article 25’ (Pace Law School, 2024) https://iicl.law.pace.edu/cisg/page/annotated-text-cisg-article-25 accessed 3 December 2024.</w:t>
      </w:r>
    </w:p>
  </w:footnote>
  <w:footnote w:id="25">
    <w:p w14:paraId="7531A2B8">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UNCITRAL, </w:t>
      </w:r>
      <w:r>
        <w:rPr>
          <w:rFonts w:hint="eastAsia" w:ascii="Times New Roman" w:hAnsi="Times New Roman" w:cs="Times New Roman"/>
          <w:i/>
          <w:iCs/>
          <w:sz w:val="20"/>
          <w:szCs w:val="20"/>
        </w:rPr>
        <w:t xml:space="preserve">Digest of Case Law on the United Nations Convention on Contracts for the International Sale of Goods </w:t>
      </w:r>
      <w:r>
        <w:rPr>
          <w:rFonts w:hint="eastAsia" w:ascii="Times New Roman" w:hAnsi="Times New Roman" w:cs="Times New Roman"/>
          <w:sz w:val="20"/>
          <w:szCs w:val="20"/>
        </w:rPr>
        <w:t>(2016) 114.</w:t>
      </w:r>
    </w:p>
  </w:footnote>
  <w:footnote w:id="26">
    <w:p w14:paraId="707F68F6">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Yasutoshi Ishida, ‘Identifying Fundamental Breach of Article 25 and 49 of the CISG: The Good Faith Duty of Collaborative Efforts to Cure Defects - Make the Parties Draw a Line in the Sand of Substantiality’ (2020)</w:t>
      </w:r>
      <w:r>
        <w:rPr>
          <w:rFonts w:hint="eastAsia" w:ascii="Times New Roman" w:hAnsi="Times New Roman" w:cs="Times New Roman"/>
          <w:i/>
          <w:iCs/>
          <w:sz w:val="20"/>
          <w:szCs w:val="20"/>
        </w:rPr>
        <w:t xml:space="preserve"> Michigan Journal of International Law</w:t>
      </w:r>
      <w:r>
        <w:rPr>
          <w:rFonts w:hint="eastAsia" w:ascii="Times New Roman" w:hAnsi="Times New Roman" w:cs="Times New Roman"/>
          <w:sz w:val="20"/>
          <w:szCs w:val="20"/>
        </w:rPr>
        <w:t xml:space="preserve"> 64.</w:t>
      </w:r>
    </w:p>
  </w:footnote>
  <w:footnote w:id="27">
    <w:p w14:paraId="07205580">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BGH, 24 September 2014</w:t>
      </w:r>
      <w:r>
        <w:rPr>
          <w:rFonts w:hint="eastAsia" w:ascii="Times New Roman" w:hAnsi="Times New Roman" w:cs="Times New Roman"/>
          <w:sz w:val="20"/>
          <w:szCs w:val="20"/>
          <w:lang w:val="en-US" w:eastAsia="zh-CN"/>
        </w:rPr>
        <w:t xml:space="preserve"> </w:t>
      </w:r>
      <w:r>
        <w:rPr>
          <w:rFonts w:hint="eastAsia" w:ascii="Times New Roman" w:hAnsi="Times New Roman" w:cs="Times New Roman"/>
          <w:sz w:val="20"/>
          <w:szCs w:val="20"/>
        </w:rPr>
        <w:t>Bundesgerichtshof (Germany), 24 September 2014, CISG-online Case No 2545, BGHZ 202, 258, note 29.</w:t>
      </w:r>
    </w:p>
  </w:footnote>
  <w:footnote w:id="28">
    <w:p w14:paraId="2F41F8C9">
      <w:pPr>
        <w:pStyle w:val="7"/>
        <w:snapToGrid w:val="0"/>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United Nations Convention on Contracts for the International Sale of Goods (adopted 11 April 1980, entered into force 1 January 1988) 1489 UNTS 3 (CISG), art </w:t>
      </w:r>
      <w:r>
        <w:rPr>
          <w:rFonts w:hint="eastAsia" w:ascii="Times New Roman" w:hAnsi="Times New Roman" w:eastAsia="宋体" w:cs="Times New Roman"/>
          <w:sz w:val="20"/>
          <w:szCs w:val="20"/>
          <w:lang w:val="en-US" w:eastAsia="zh-CN"/>
        </w:rPr>
        <w:t>25.</w:t>
      </w:r>
    </w:p>
  </w:footnote>
  <w:footnote w:id="29">
    <w:p w14:paraId="58B21AB9">
      <w:pPr>
        <w:pStyle w:val="7"/>
        <w:snapToGrid w:val="0"/>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Ingeborg Schwenzer and Ulrich G Schroeter, ‘Article 25: Fundamental Breach of Contract’ in Ingeborg Schwenzer and Ulrich G Schroeter (eds), </w:t>
      </w:r>
      <w:r>
        <w:rPr>
          <w:rFonts w:hint="eastAsia" w:ascii="Times New Roman" w:hAnsi="Times New Roman" w:cs="Times New Roman"/>
          <w:i/>
          <w:iCs/>
          <w:sz w:val="20"/>
          <w:szCs w:val="20"/>
        </w:rPr>
        <w:t xml:space="preserve">Schlechtriem &amp; Schwenzer: Commentary on the UN Convention on the International Sale of Goods (CISG) </w:t>
      </w:r>
      <w:r>
        <w:rPr>
          <w:rFonts w:hint="eastAsia" w:ascii="Times New Roman" w:hAnsi="Times New Roman" w:cs="Times New Roman"/>
          <w:sz w:val="20"/>
          <w:szCs w:val="20"/>
        </w:rPr>
        <w:t>(5th edn, Oxford Academic 2022) 5</w:t>
      </w:r>
      <w:r>
        <w:rPr>
          <w:rFonts w:hint="eastAsia" w:ascii="Times New Roman" w:hAnsi="Times New Roman" w:eastAsia="宋体" w:cs="Times New Roman"/>
          <w:sz w:val="20"/>
          <w:szCs w:val="20"/>
          <w:lang w:val="en-US" w:eastAsia="zh-CN"/>
        </w:rPr>
        <w:t>60, 561.</w:t>
      </w:r>
    </w:p>
  </w:footnote>
  <w:footnote w:id="30">
    <w:p w14:paraId="75DB6BFD">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Michael Will, ‘Article 25’ in Cesare Bianca and Michael Bonell (eds),</w:t>
      </w:r>
      <w:r>
        <w:rPr>
          <w:rFonts w:hint="eastAsia" w:ascii="Times New Roman" w:hAnsi="Times New Roman" w:cs="Times New Roman"/>
          <w:i/>
          <w:iCs/>
          <w:sz w:val="20"/>
          <w:szCs w:val="20"/>
        </w:rPr>
        <w:t xml:space="preserve"> Commentary on the International Sales Law: The 1980 Vienna Sales Convention</w:t>
      </w:r>
      <w:r>
        <w:rPr>
          <w:rFonts w:hint="eastAsia" w:ascii="Times New Roman" w:hAnsi="Times New Roman" w:cs="Times New Roman"/>
          <w:sz w:val="20"/>
          <w:szCs w:val="20"/>
        </w:rPr>
        <w:t xml:space="preserve"> (Giuffrè 1987) 2.1.1.</w:t>
      </w:r>
    </w:p>
  </w:footnote>
  <w:footnote w:id="31">
    <w:p w14:paraId="20A05E41">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Frans JA van der Velden, ‘The Law of International Sales: The Hague Conventions 1964 and the UNCITRAL Uniform Sales Code 1980 — Some Main Items Compared’ in CM Voskuil and JA Wade (eds), </w:t>
      </w:r>
      <w:r>
        <w:rPr>
          <w:rFonts w:hint="eastAsia" w:ascii="Times New Roman" w:hAnsi="Times New Roman" w:cs="Times New Roman"/>
          <w:i/>
          <w:iCs/>
          <w:sz w:val="20"/>
          <w:szCs w:val="20"/>
        </w:rPr>
        <w:t>Hague-Zagreb Essays 4</w:t>
      </w:r>
      <w:r>
        <w:rPr>
          <w:rFonts w:hint="eastAsia" w:ascii="Times New Roman" w:hAnsi="Times New Roman" w:cs="Times New Roman"/>
          <w:sz w:val="20"/>
          <w:szCs w:val="20"/>
        </w:rPr>
        <w:t xml:space="preserve"> (Martinus Nijhoff 1983) </w:t>
      </w:r>
      <w:r>
        <w:rPr>
          <w:rFonts w:hint="eastAsia" w:ascii="Times New Roman" w:hAnsi="Times New Roman" w:eastAsia="宋体" w:cs="Times New Roman"/>
          <w:sz w:val="20"/>
          <w:szCs w:val="20"/>
          <w:lang w:val="en-US" w:eastAsia="zh-CN"/>
        </w:rPr>
        <w:t>64</w:t>
      </w:r>
      <w:r>
        <w:rPr>
          <w:rFonts w:hint="eastAsia" w:ascii="Times New Roman" w:hAnsi="Times New Roman" w:cs="Times New Roman"/>
          <w:sz w:val="20"/>
          <w:szCs w:val="20"/>
        </w:rPr>
        <w:t>.</w:t>
      </w:r>
    </w:p>
  </w:footnote>
  <w:footnote w:id="32">
    <w:p w14:paraId="46EB7E9B">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Robert Koch, ‘The Concept of Fundamental Breach of Contract under the United Nations Convention on Contracts for the International Sale of Goods (CISG)’ in Pace (ed), </w:t>
      </w:r>
      <w:r>
        <w:rPr>
          <w:rFonts w:hint="eastAsia" w:ascii="Times New Roman" w:hAnsi="Times New Roman" w:cs="Times New Roman"/>
          <w:i/>
          <w:iCs/>
          <w:sz w:val="20"/>
          <w:szCs w:val="20"/>
        </w:rPr>
        <w:t xml:space="preserve">Review of the Convention on Contracts for the International Sale of Goods (CISG) 1998 </w:t>
      </w:r>
      <w:r>
        <w:rPr>
          <w:rFonts w:hint="eastAsia" w:ascii="Times New Roman" w:hAnsi="Times New Roman" w:cs="Times New Roman"/>
          <w:sz w:val="20"/>
          <w:szCs w:val="20"/>
        </w:rPr>
        <w:t>(Kluwer Law International 1999) 177–354.</w:t>
      </w:r>
    </w:p>
  </w:footnote>
  <w:footnote w:id="33">
    <w:p w14:paraId="7F6E1DBA">
      <w:pPr>
        <w:pStyle w:val="7"/>
        <w:snapToGrid w:val="0"/>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Ingeborg Schwenzer and Ulrich G Schroeter, ‘Article 25: Fundamental Breach of Contract’ in Ingeborg Schwenzer and Ulrich G Schroeter (eds), </w:t>
      </w:r>
      <w:r>
        <w:rPr>
          <w:rFonts w:hint="eastAsia" w:ascii="Times New Roman" w:hAnsi="Times New Roman" w:cs="Times New Roman"/>
          <w:i/>
          <w:iCs/>
          <w:sz w:val="20"/>
          <w:szCs w:val="20"/>
        </w:rPr>
        <w:t xml:space="preserve">Schlechtriem &amp; Schwenzer: Commentary on the UN Convention on the International Sale of Goods (CISG) </w:t>
      </w:r>
      <w:r>
        <w:rPr>
          <w:rFonts w:hint="eastAsia" w:ascii="Times New Roman" w:hAnsi="Times New Roman" w:cs="Times New Roman"/>
          <w:sz w:val="20"/>
          <w:szCs w:val="20"/>
        </w:rPr>
        <w:t>(5th edn, Oxford Academic 2022) 5</w:t>
      </w:r>
      <w:r>
        <w:rPr>
          <w:rFonts w:hint="eastAsia" w:ascii="Times New Roman" w:hAnsi="Times New Roman" w:eastAsia="宋体" w:cs="Times New Roman"/>
          <w:sz w:val="20"/>
          <w:szCs w:val="20"/>
          <w:lang w:val="en-US" w:eastAsia="zh-CN"/>
        </w:rPr>
        <w:t>46.</w:t>
      </w:r>
    </w:p>
  </w:footnote>
  <w:footnote w:id="34">
    <w:p w14:paraId="44F17CD8">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International Institute for Commercial Law, ‘Annotated Text on CISG Article 25’ (Pace Law School) </w:t>
      </w:r>
      <w:r>
        <w:rPr>
          <w:rFonts w:hint="eastAsia" w:ascii="Times New Roman" w:hAnsi="Times New Roman" w:cs="Times New Roman"/>
          <w:sz w:val="20"/>
          <w:szCs w:val="20"/>
        </w:rPr>
        <w:fldChar w:fldCharType="begin"/>
      </w:r>
      <w:r>
        <w:rPr>
          <w:rFonts w:hint="eastAsia" w:ascii="Times New Roman" w:hAnsi="Times New Roman" w:cs="Times New Roman"/>
          <w:sz w:val="20"/>
          <w:szCs w:val="20"/>
        </w:rPr>
        <w:instrText xml:space="preserve"> HYPERLINK "https://iicl.law.pace.edu/cisg/page/annotated-text-cisg-article-25" \t "_new" </w:instrText>
      </w:r>
      <w:r>
        <w:rPr>
          <w:rFonts w:hint="eastAsia" w:ascii="Times New Roman" w:hAnsi="Times New Roman" w:cs="Times New Roman"/>
          <w:sz w:val="20"/>
          <w:szCs w:val="20"/>
        </w:rPr>
        <w:fldChar w:fldCharType="separate"/>
      </w:r>
      <w:r>
        <w:rPr>
          <w:rFonts w:hint="eastAsia" w:ascii="Times New Roman" w:hAnsi="Times New Roman" w:cs="Times New Roman"/>
          <w:sz w:val="20"/>
          <w:szCs w:val="20"/>
        </w:rPr>
        <w:t>https://iicl.law.pace.edu/cisg/page/annotated-text-cisg-article-25</w:t>
      </w:r>
      <w:r>
        <w:rPr>
          <w:rFonts w:hint="eastAsia" w:ascii="Times New Roman" w:hAnsi="Times New Roman" w:cs="Times New Roman"/>
          <w:sz w:val="20"/>
          <w:szCs w:val="20"/>
        </w:rPr>
        <w:fldChar w:fldCharType="end"/>
      </w:r>
      <w:r>
        <w:rPr>
          <w:rFonts w:hint="eastAsia" w:ascii="Times New Roman" w:hAnsi="Times New Roman" w:cs="Times New Roman"/>
          <w:sz w:val="20"/>
          <w:szCs w:val="20"/>
        </w:rPr>
        <w:t xml:space="preserve"> accessed 3 December 2024.</w:t>
      </w:r>
    </w:p>
  </w:footnote>
  <w:footnote w:id="35">
    <w:p w14:paraId="749AFBF6">
      <w:pPr>
        <w:pStyle w:val="7"/>
        <w:snapToGrid w:val="0"/>
        <w:rPr>
          <w:rFonts w:hint="eastAsia" w:ascii="Times New Roman" w:hAnsi="Times New Roman" w:cs="Times New Roman"/>
          <w:sz w:val="20"/>
          <w:szCs w:val="20"/>
        </w:rPr>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Tae-jung Park, ‘Articles 25 and 74 of the United Nations Convention on Contracts for the International Sales of Goods as a Penalty Default Rule’ (2021) Jeonbuk Law Review</w:t>
      </w:r>
    </w:p>
  </w:footnote>
  <w:footnote w:id="36">
    <w:p w14:paraId="127C38DB">
      <w:pPr>
        <w:pStyle w:val="7"/>
        <w:snapToGrid w:val="0"/>
      </w:pPr>
      <w:r>
        <w:rPr>
          <w:rFonts w:hint="eastAsia" w:ascii="Times New Roman" w:hAnsi="Times New Roman" w:cs="Times New Roman"/>
          <w:sz w:val="20"/>
          <w:szCs w:val="20"/>
        </w:rPr>
        <w:footnoteRef/>
      </w:r>
      <w:r>
        <w:rPr>
          <w:rFonts w:hint="eastAsia" w:ascii="Times New Roman" w:hAnsi="Times New Roman" w:cs="Times New Roman"/>
          <w:sz w:val="20"/>
          <w:szCs w:val="20"/>
        </w:rPr>
        <w:t xml:space="preserve"> Ingeborg Schwenzer and Ulrich G Schroeter, ‘Article 25: Fundamental Breach of Contract’ in Ingeborg Schwenzer and Ulrich G Schroeter (eds), </w:t>
      </w:r>
      <w:r>
        <w:rPr>
          <w:rFonts w:hint="eastAsia" w:ascii="Times New Roman" w:hAnsi="Times New Roman" w:cs="Times New Roman"/>
          <w:i/>
          <w:iCs/>
          <w:sz w:val="20"/>
          <w:szCs w:val="20"/>
        </w:rPr>
        <w:t xml:space="preserve">Schlechtriem &amp; Schwenzer: Commentary on the UN Convention on the International Sale of Goods (CISG) </w:t>
      </w:r>
      <w:r>
        <w:rPr>
          <w:rFonts w:hint="eastAsia" w:ascii="Times New Roman" w:hAnsi="Times New Roman" w:cs="Times New Roman"/>
          <w:sz w:val="20"/>
          <w:szCs w:val="20"/>
        </w:rPr>
        <w:t>(5th edn, Oxford Academic 2022) 5</w:t>
      </w:r>
      <w:r>
        <w:rPr>
          <w:rFonts w:hint="eastAsia" w:ascii="Times New Roman" w:hAnsi="Times New Roman" w:eastAsia="宋体" w:cs="Times New Roman"/>
          <w:sz w:val="20"/>
          <w:szCs w:val="20"/>
          <w:lang w:val="en-US" w:eastAsia="zh-CN"/>
        </w:rPr>
        <w:t>47.</w:t>
      </w:r>
    </w:p>
  </w:footnote>
  <w:footnote w:id="37">
    <w:p w14:paraId="0DDDB828">
      <w:pPr>
        <w:pStyle w:val="7"/>
        <w:snapToGrid w:val="0"/>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UNCITRAL, </w:t>
      </w:r>
      <w:r>
        <w:rPr>
          <w:rFonts w:hint="eastAsia" w:ascii="Times New Roman" w:hAnsi="Times New Roman" w:cs="Times New Roman"/>
          <w:i/>
          <w:iCs/>
          <w:sz w:val="20"/>
          <w:szCs w:val="20"/>
        </w:rPr>
        <w:t xml:space="preserve">Digest of Case Law on the United Nations Convention on Contracts for the International Sale of Goods </w:t>
      </w:r>
      <w:r>
        <w:rPr>
          <w:rFonts w:hint="eastAsia" w:ascii="Times New Roman" w:hAnsi="Times New Roman" w:cs="Times New Roman"/>
          <w:i w:val="0"/>
          <w:iCs w:val="0"/>
          <w:sz w:val="20"/>
          <w:szCs w:val="20"/>
        </w:rPr>
        <w:t xml:space="preserve">(2016) </w:t>
      </w:r>
      <w:r>
        <w:rPr>
          <w:rFonts w:hint="eastAsia" w:ascii="Times New Roman" w:hAnsi="Times New Roman" w:eastAsia="宋体" w:cs="Times New Roman"/>
          <w:i w:val="0"/>
          <w:iCs w:val="0"/>
          <w:sz w:val="20"/>
          <w:szCs w:val="20"/>
          <w:lang w:val="en-US" w:eastAsia="zh-CN"/>
        </w:rPr>
        <w:t>81</w:t>
      </w:r>
      <w:r>
        <w:rPr>
          <w:rFonts w:hint="eastAsia" w:ascii="Times New Roman" w:hAnsi="Times New Roman" w:cs="Times New Roman"/>
          <w:i w:val="0"/>
          <w:iCs w:val="0"/>
          <w:sz w:val="20"/>
          <w:szCs w:val="20"/>
        </w:rPr>
        <w:t>.</w:t>
      </w:r>
    </w:p>
  </w:footnote>
  <w:footnote w:id="38">
    <w:p w14:paraId="4B4161E5">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Clayton P Gillette, </w:t>
      </w:r>
      <w:r>
        <w:rPr>
          <w:rFonts w:hint="eastAsia" w:ascii="Times New Roman" w:hAnsi="Times New Roman" w:cs="Times New Roman"/>
          <w:i/>
          <w:iCs/>
          <w:sz w:val="20"/>
          <w:szCs w:val="20"/>
        </w:rPr>
        <w:t>Advanced Introduction to International Sales Law</w:t>
      </w:r>
      <w:r>
        <w:rPr>
          <w:rFonts w:hint="eastAsia" w:ascii="Times New Roman" w:hAnsi="Times New Roman" w:cs="Times New Roman"/>
          <w:i w:val="0"/>
          <w:iCs w:val="0"/>
          <w:sz w:val="20"/>
          <w:szCs w:val="20"/>
        </w:rPr>
        <w:t xml:space="preserve"> (Edward Elgar 2016) 72.</w:t>
      </w:r>
    </w:p>
  </w:footnote>
  <w:footnote w:id="39">
    <w:p w14:paraId="415610BF">
      <w:pPr>
        <w:pStyle w:val="7"/>
        <w:snapToGrid w:val="0"/>
        <w:rPr>
          <w:rFonts w:hint="eastAsia" w:ascii="Times New Roman" w:hAnsi="Times New Roman" w:eastAsia="宋体" w:cs="Times New Roman"/>
          <w:i w:val="0"/>
          <w:iCs w:val="0"/>
          <w:sz w:val="20"/>
          <w:szCs w:val="20"/>
          <w:lang w:val="en-US" w:eastAsia="zh-CN"/>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Eduardo Grebler, ‘Fundamental Breach of Contract Under the CISG: A Controversial Rule’ (2007) 101 </w:t>
      </w:r>
      <w:r>
        <w:rPr>
          <w:rFonts w:hint="eastAsia" w:ascii="Times New Roman" w:hAnsi="Times New Roman" w:cs="Times New Roman"/>
          <w:i/>
          <w:iCs/>
          <w:sz w:val="20"/>
          <w:szCs w:val="20"/>
        </w:rPr>
        <w:t>Proceedings of the Annual Meeting</w:t>
      </w:r>
      <w:r>
        <w:rPr>
          <w:rFonts w:hint="eastAsia" w:ascii="Times New Roman" w:hAnsi="Times New Roman" w:cs="Times New Roman"/>
          <w:i w:val="0"/>
          <w:iCs w:val="0"/>
          <w:sz w:val="20"/>
          <w:szCs w:val="20"/>
        </w:rPr>
        <w:t xml:space="preserve"> (American Society of International Law) 407, 411</w:t>
      </w:r>
      <w:r>
        <w:rPr>
          <w:rFonts w:hint="eastAsia" w:ascii="Times New Roman" w:hAnsi="Times New Roman" w:eastAsia="宋体" w:cs="Times New Roman"/>
          <w:i w:val="0"/>
          <w:iCs w:val="0"/>
          <w:sz w:val="20"/>
          <w:szCs w:val="20"/>
          <w:lang w:val="en-US" w:eastAsia="zh-CN"/>
        </w:rPr>
        <w:t>.</w:t>
      </w:r>
    </w:p>
  </w:footnote>
  <w:footnote w:id="40">
    <w:p w14:paraId="57D6F1AD">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Valero Marketing &amp; Supply Co v Greeni Oy, United States District Court for the District of New Jersey, 15 June 2005, Case No 01-5254 (DRD), CISG-online Case No 1028.</w:t>
      </w:r>
    </w:p>
  </w:footnote>
  <w:footnote w:id="41">
    <w:p w14:paraId="092CE124">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Bunge Corp v Tradax Export SA [1981] 1 WLR 711.</w:t>
      </w:r>
    </w:p>
  </w:footnote>
  <w:footnote w:id="42">
    <w:p w14:paraId="600DA0B1">
      <w:pPr>
        <w:pStyle w:val="7"/>
        <w:snapToGrid w:val="0"/>
        <w:rPr>
          <w:rFonts w:hint="eastAsia" w:ascii="Times New Roman" w:hAnsi="Times New Roman" w:cs="Times New Roman"/>
          <w:i w:val="0"/>
          <w:iCs w:val="0"/>
          <w:sz w:val="20"/>
          <w:szCs w:val="20"/>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Jiangsu High People's Court (China), Civil Judgment (2001) Su Min Zai Zhong Zi No 27.</w:t>
      </w:r>
    </w:p>
  </w:footnote>
  <w:footnote w:id="43">
    <w:p w14:paraId="04E8F4B3">
      <w:pPr>
        <w:pStyle w:val="7"/>
        <w:snapToGrid w:val="0"/>
        <w:rPr>
          <w:rFonts w:hint="eastAsia" w:ascii="Times New Roman" w:hAnsi="Times New Roman" w:eastAsia="宋体" w:cs="Times New Roman"/>
          <w:i w:val="0"/>
          <w:iCs w:val="0"/>
          <w:sz w:val="20"/>
          <w:szCs w:val="20"/>
          <w:lang w:val="en-US" w:eastAsia="zh-CN"/>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Eduardo Grebler, ‘The Convention on International Sale of Goods and Brazilian Law: Are Differences Irreconcilable?’ (2005-2006) 25 </w:t>
      </w:r>
      <w:r>
        <w:rPr>
          <w:rFonts w:hint="eastAsia" w:ascii="Times New Roman" w:hAnsi="Times New Roman" w:cs="Times New Roman"/>
          <w:i/>
          <w:iCs/>
          <w:sz w:val="20"/>
          <w:szCs w:val="20"/>
        </w:rPr>
        <w:t>Journal of Law and Commerce</w:t>
      </w:r>
      <w:r>
        <w:rPr>
          <w:rFonts w:hint="eastAsia" w:ascii="Times New Roman" w:hAnsi="Times New Roman" w:cs="Times New Roman"/>
          <w:i w:val="0"/>
          <w:iCs w:val="0"/>
          <w:sz w:val="20"/>
          <w:szCs w:val="20"/>
        </w:rPr>
        <w:t xml:space="preserve"> 467, 475</w:t>
      </w:r>
      <w:r>
        <w:rPr>
          <w:rFonts w:hint="eastAsia" w:ascii="Times New Roman" w:hAnsi="Times New Roman" w:eastAsia="宋体" w:cs="Times New Roman"/>
          <w:i w:val="0"/>
          <w:iCs w:val="0"/>
          <w:sz w:val="20"/>
          <w:szCs w:val="20"/>
          <w:lang w:val="en-US" w:eastAsia="zh-CN"/>
        </w:rPr>
        <w:t>.</w:t>
      </w:r>
    </w:p>
  </w:footnote>
  <w:footnote w:id="44">
    <w:p w14:paraId="3BB22578">
      <w:pPr>
        <w:pStyle w:val="7"/>
        <w:snapToGrid w:val="0"/>
        <w:rPr>
          <w:rFonts w:hint="eastAsia" w:ascii="Times New Roman" w:hAnsi="Times New Roman" w:eastAsia="宋体" w:cs="Times New Roman"/>
          <w:i w:val="0"/>
          <w:iCs w:val="0"/>
          <w:sz w:val="20"/>
          <w:szCs w:val="20"/>
          <w:lang w:val="en-US" w:eastAsia="zh-CN"/>
        </w:rPr>
      </w:pPr>
      <w:r>
        <w:rPr>
          <w:rFonts w:hint="eastAsia" w:ascii="Times New Roman" w:hAnsi="Times New Roman" w:cs="Times New Roman"/>
          <w:i w:val="0"/>
          <w:iCs w:val="0"/>
          <w:sz w:val="20"/>
          <w:szCs w:val="20"/>
        </w:rPr>
        <w:footnoteRef/>
      </w:r>
      <w:r>
        <w:rPr>
          <w:rFonts w:hint="eastAsia" w:ascii="Times New Roman" w:hAnsi="Times New Roman" w:cs="Times New Roman"/>
          <w:i w:val="0"/>
          <w:iCs w:val="0"/>
          <w:sz w:val="20"/>
          <w:szCs w:val="20"/>
        </w:rPr>
        <w:t xml:space="preserve"> Eduardo Grebler, ‘Fundamental Breach of Contract Under the CISG: A Controversial Rule’ (2007) 101 </w:t>
      </w:r>
      <w:r>
        <w:rPr>
          <w:rFonts w:hint="eastAsia" w:ascii="Times New Roman" w:hAnsi="Times New Roman" w:cs="Times New Roman"/>
          <w:i/>
          <w:iCs/>
          <w:sz w:val="20"/>
          <w:szCs w:val="20"/>
        </w:rPr>
        <w:t>Proceedings of the Annual Meeting</w:t>
      </w:r>
      <w:r>
        <w:rPr>
          <w:rFonts w:hint="eastAsia" w:ascii="Times New Roman" w:hAnsi="Times New Roman" w:cs="Times New Roman"/>
          <w:i w:val="0"/>
          <w:iCs w:val="0"/>
          <w:sz w:val="20"/>
          <w:szCs w:val="20"/>
        </w:rPr>
        <w:t xml:space="preserve"> (American Society of International Law) 407, 41</w:t>
      </w:r>
      <w:r>
        <w:rPr>
          <w:rFonts w:hint="eastAsia" w:ascii="Times New Roman" w:hAnsi="Times New Roman" w:eastAsia="宋体" w:cs="Times New Roman"/>
          <w:i w:val="0"/>
          <w:iCs w:val="0"/>
          <w:sz w:val="20"/>
          <w:szCs w:val="20"/>
          <w:lang w:val="en-US" w:eastAsia="zh-CN"/>
        </w:rPr>
        <w:t>3.</w:t>
      </w:r>
    </w:p>
    <w:p w14:paraId="7776C4DF">
      <w:pPr>
        <w:pStyle w:val="7"/>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1C849"/>
    <w:multiLevelType w:val="multilevel"/>
    <w:tmpl w:val="96B1C8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2171AFD"/>
    <w:multiLevelType w:val="multilevel"/>
    <w:tmpl w:val="E2171AFD"/>
    <w:lvl w:ilvl="0" w:tentative="0">
      <w:start w:val="1"/>
      <w:numFmt w:val="bullet"/>
      <w:suff w:val="space"/>
      <w:lvlText w:val=""/>
      <w:lvlJc w:val="left"/>
      <w:pPr>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ED179B2"/>
    <w:multiLevelType w:val="multilevel"/>
    <w:tmpl w:val="0ED179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6F9B40C"/>
    <w:multiLevelType w:val="multilevel"/>
    <w:tmpl w:val="46F9B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5C2E406"/>
    <w:multiLevelType w:val="multilevel"/>
    <w:tmpl w:val="55C2E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D0DEE1F"/>
    <w:multiLevelType w:val="multilevel"/>
    <w:tmpl w:val="5D0DEE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34FF7C2"/>
    <w:multiLevelType w:val="multilevel"/>
    <w:tmpl w:val="734FF7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6"/>
  </w:num>
  <w:num w:numId="3">
    <w:abstractNumId w:val="3"/>
  </w:num>
  <w:num w:numId="4">
    <w:abstractNumId w:val="5"/>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90"/>
    <w:footnote w:id="9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B7F"/>
    <w:rsid w:val="00005244"/>
    <w:rsid w:val="00040B7C"/>
    <w:rsid w:val="00087CB9"/>
    <w:rsid w:val="000C439A"/>
    <w:rsid w:val="000F4C90"/>
    <w:rsid w:val="0012593C"/>
    <w:rsid w:val="002671DF"/>
    <w:rsid w:val="002F6670"/>
    <w:rsid w:val="00305D26"/>
    <w:rsid w:val="00380192"/>
    <w:rsid w:val="003926A6"/>
    <w:rsid w:val="003A3108"/>
    <w:rsid w:val="00470476"/>
    <w:rsid w:val="0048506E"/>
    <w:rsid w:val="00485B7F"/>
    <w:rsid w:val="005142FF"/>
    <w:rsid w:val="00626CC0"/>
    <w:rsid w:val="00697B63"/>
    <w:rsid w:val="006A02BB"/>
    <w:rsid w:val="006F6A89"/>
    <w:rsid w:val="00744598"/>
    <w:rsid w:val="007464E5"/>
    <w:rsid w:val="007C0865"/>
    <w:rsid w:val="007C5532"/>
    <w:rsid w:val="0082473B"/>
    <w:rsid w:val="00842218"/>
    <w:rsid w:val="008932E1"/>
    <w:rsid w:val="008B4279"/>
    <w:rsid w:val="00997246"/>
    <w:rsid w:val="009D67F7"/>
    <w:rsid w:val="00B87462"/>
    <w:rsid w:val="00BB29D1"/>
    <w:rsid w:val="00C14091"/>
    <w:rsid w:val="00D5219F"/>
    <w:rsid w:val="00D6592D"/>
    <w:rsid w:val="00DA0A72"/>
    <w:rsid w:val="00DA72FA"/>
    <w:rsid w:val="00EB1C9B"/>
    <w:rsid w:val="00ED2B44"/>
    <w:rsid w:val="00F51C53"/>
    <w:rsid w:val="04137AE3"/>
    <w:rsid w:val="0B0C10FF"/>
    <w:rsid w:val="0B667AE7"/>
    <w:rsid w:val="0D7513DD"/>
    <w:rsid w:val="0F7200CA"/>
    <w:rsid w:val="136715C8"/>
    <w:rsid w:val="14BC4694"/>
    <w:rsid w:val="183B0B37"/>
    <w:rsid w:val="189015C1"/>
    <w:rsid w:val="192561AE"/>
    <w:rsid w:val="198B5527"/>
    <w:rsid w:val="19AB0D5C"/>
    <w:rsid w:val="1AE856E5"/>
    <w:rsid w:val="210D1745"/>
    <w:rsid w:val="24635540"/>
    <w:rsid w:val="29D3130E"/>
    <w:rsid w:val="2CFE4264"/>
    <w:rsid w:val="2E786BE4"/>
    <w:rsid w:val="2EA35946"/>
    <w:rsid w:val="32186458"/>
    <w:rsid w:val="331A59A0"/>
    <w:rsid w:val="34211362"/>
    <w:rsid w:val="34831B82"/>
    <w:rsid w:val="36794FEB"/>
    <w:rsid w:val="397AB448"/>
    <w:rsid w:val="3D1C4922"/>
    <w:rsid w:val="3DC7B4A5"/>
    <w:rsid w:val="3EBD4174"/>
    <w:rsid w:val="456164D6"/>
    <w:rsid w:val="4605689B"/>
    <w:rsid w:val="484D62D8"/>
    <w:rsid w:val="4A916A66"/>
    <w:rsid w:val="4ACC05C3"/>
    <w:rsid w:val="4AED6D4F"/>
    <w:rsid w:val="4BFA782D"/>
    <w:rsid w:val="4E555EE6"/>
    <w:rsid w:val="50652A24"/>
    <w:rsid w:val="54A063DA"/>
    <w:rsid w:val="5683367D"/>
    <w:rsid w:val="5811240B"/>
    <w:rsid w:val="59CC52AE"/>
    <w:rsid w:val="5B0D2022"/>
    <w:rsid w:val="65044496"/>
    <w:rsid w:val="664BB2C0"/>
    <w:rsid w:val="6A817C2F"/>
    <w:rsid w:val="6F6049BF"/>
    <w:rsid w:val="759A04FF"/>
    <w:rsid w:val="7731B2E0"/>
    <w:rsid w:val="780C54AD"/>
    <w:rsid w:val="78301006"/>
    <w:rsid w:val="7CB65C1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60" w:lineRule="atLeast"/>
    </w:pPr>
    <w:rPr>
      <w:rFonts w:ascii="Arial" w:hAnsi="Arial" w:eastAsia="Times New Roman" w:cs="Times New Roman"/>
      <w:sz w:val="22"/>
      <w:szCs w:val="24"/>
      <w:lang w:val="en-GB" w:eastAsia="en-GB"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9"/>
    <w:unhideWhenUsed/>
    <w:qFormat/>
    <w:uiPriority w:val="99"/>
    <w:pPr>
      <w:tabs>
        <w:tab w:val="center" w:pos="4513"/>
        <w:tab w:val="right" w:pos="9026"/>
      </w:tabs>
      <w:spacing w:line="240" w:lineRule="auto"/>
    </w:pPr>
  </w:style>
  <w:style w:type="paragraph" w:styleId="6">
    <w:name w:val="header"/>
    <w:basedOn w:val="1"/>
    <w:link w:val="18"/>
    <w:unhideWhenUsed/>
    <w:qFormat/>
    <w:uiPriority w:val="99"/>
    <w:pPr>
      <w:tabs>
        <w:tab w:val="center" w:pos="4513"/>
        <w:tab w:val="right" w:pos="9026"/>
      </w:tabs>
      <w:spacing w:line="240" w:lineRule="auto"/>
    </w:pPr>
  </w:style>
  <w:style w:type="paragraph" w:styleId="7">
    <w:name w:val="footnote text"/>
    <w:basedOn w:val="1"/>
    <w:semiHidden/>
    <w:unhideWhenUsed/>
    <w:qFormat/>
    <w:uiPriority w:val="99"/>
    <w:pPr>
      <w:snapToGrid w:val="0"/>
      <w:jc w:val="left"/>
    </w:pPr>
    <w:rPr>
      <w:sz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styleId="15">
    <w:name w:val="footnote reference"/>
    <w:basedOn w:val="11"/>
    <w:semiHidden/>
    <w:unhideWhenUsed/>
    <w:qFormat/>
    <w:uiPriority w:val="99"/>
    <w:rPr>
      <w:vertAlign w:val="superscript"/>
    </w:rPr>
  </w:style>
  <w:style w:type="paragraph" w:styleId="16">
    <w:name w:val="List Paragraph"/>
    <w:basedOn w:val="1"/>
    <w:qFormat/>
    <w:uiPriority w:val="34"/>
    <w:pPr>
      <w:ind w:left="720"/>
      <w:contextualSpacing/>
    </w:pPr>
  </w:style>
  <w:style w:type="table" w:customStyle="1" w:styleId="17">
    <w:name w:val="Table Grid1"/>
    <w:basedOn w:val="9"/>
    <w:qFormat/>
    <w:uiPriority w:val="59"/>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er Char"/>
    <w:basedOn w:val="11"/>
    <w:link w:val="6"/>
    <w:qFormat/>
    <w:uiPriority w:val="99"/>
    <w:rPr>
      <w:rFonts w:ascii="Arial" w:hAnsi="Arial" w:eastAsia="Times New Roman" w:cs="Times New Roman"/>
      <w:szCs w:val="24"/>
      <w:lang w:eastAsia="en-GB"/>
    </w:rPr>
  </w:style>
  <w:style w:type="character" w:customStyle="1" w:styleId="19">
    <w:name w:val="Footer Char"/>
    <w:basedOn w:val="11"/>
    <w:link w:val="5"/>
    <w:qFormat/>
    <w:uiPriority w:val="99"/>
    <w:rPr>
      <w:rFonts w:ascii="Arial" w:hAnsi="Arial" w:eastAsia="Times New Roman" w:cs="Times New Roman"/>
      <w:szCs w:val="24"/>
      <w:lang w:eastAsia="en-GB"/>
    </w:rPr>
  </w:style>
  <w:style w:type="paragraph" w:customStyle="1" w:styleId="20">
    <w:name w:val="paragraph"/>
    <w:basedOn w:val="1"/>
    <w:qFormat/>
    <w:uiPriority w:val="0"/>
    <w:pPr>
      <w:spacing w:before="100" w:beforeAutospacing="1" w:after="100" w:afterAutospacing="1" w:line="240" w:lineRule="auto"/>
    </w:pPr>
    <w:rPr>
      <w:rFonts w:ascii="Times New Roman" w:hAnsi="Times New Roman"/>
      <w:sz w:val="24"/>
    </w:rPr>
  </w:style>
  <w:style w:type="character" w:customStyle="1" w:styleId="21">
    <w:name w:val="normaltextrun"/>
    <w:basedOn w:val="11"/>
    <w:qFormat/>
    <w:uiPriority w:val="0"/>
  </w:style>
  <w:style w:type="character" w:customStyle="1" w:styleId="22">
    <w:name w:val="eop"/>
    <w:basedOn w:val="1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4946</Words>
  <Characters>26676</Characters>
  <Lines>7</Lines>
  <Paragraphs>2</Paragraphs>
  <TotalTime>47</TotalTime>
  <ScaleCrop>false</ScaleCrop>
  <LinksUpToDate>false</LinksUpToDate>
  <CharactersWithSpaces>31505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2024-10-04T14:21:00Z</dcterms:created>
  <dc:creator>Philip Coupland</dc:creator>
  <cp:lastModifiedBy>lucky</cp:lastModifiedBy>
  <dcterms:modified xsi:type="dcterms:W3CDTF">2026-03-21T17:29:05Z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0x010100B5190E697853E7419223DD6E574BEF29</vt:lpwstr>
  </property>
  <property fmtid="{D5CDD505-2E9C-101B-9397-08002B2CF9AE}" pid="3" name="MediaServiceImageTags">
    <vt:lpwstr/>
  </property>
  <property fmtid="{D5CDD505-2E9C-101B-9397-08002B2CF9AE}" pid="4" name="KSOProductBuildVer">
    <vt:lpwstr>2052-12.1.0.25225</vt:lpwstr>
  </property>
  <property fmtid="{D5CDD505-2E9C-101B-9397-08002B2CF9AE}" pid="5" name="ICV">
    <vt:lpwstr>FB79A5939B59451280735DA9CD9722EB_13</vt:lpwstr>
  </property>
  <property fmtid="{D5CDD505-2E9C-101B-9397-08002B2CF9AE}" pid="6" name="KSOTemplateDocerSaveRecord">
    <vt:lpwstr>eyJoZGlkIjoiN2YzNjBkOTgyNWQ1YTMxYzM3MzMwNWFiODNmOWIzYWMiLCJ1c2VySWQiOiIxMDM3NTg3OTQ4In0=</vt:lpwstr>
  </property>
</Properties>
</file>