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DBFFA">
      <w:r>
        <w:rPr>
          <w:i/>
          <w:iCs/>
        </w:rPr>
        <w:t>Dear [Name],</w:t>
      </w:r>
    </w:p>
    <w:p w14:paraId="3FEED218"/>
    <w:p w14:paraId="42126DF0">
      <w:r>
        <w:rPr>
          <w:i/>
          <w:iCs/>
        </w:rPr>
        <w:t>You have asked me to look into the following points ahead of the call with Juan Carlos:</w:t>
      </w:r>
    </w:p>
    <w:p w14:paraId="41D6B1D3"/>
    <w:p w14:paraId="2BE86C32">
      <w:pPr>
        <w:pStyle w:val="14"/>
        <w:numPr>
          <w:ilvl w:val="0"/>
          <w:numId w:val="1"/>
        </w:numPr>
      </w:pPr>
      <w:r>
        <w:rPr>
          <w:i/>
          <w:iCs/>
        </w:rPr>
        <w:t>Issues in the drafting of MSC's Supply Contract with CML and/or its Delivery Contract with ATI which may have contributed to the disputes with those parties;</w:t>
      </w:r>
    </w:p>
    <w:p w14:paraId="6F8C6142">
      <w:pPr>
        <w:pStyle w:val="14"/>
        <w:numPr>
          <w:ilvl w:val="0"/>
          <w:numId w:val="1"/>
        </w:numPr>
      </w:pPr>
      <w:r>
        <w:rPr>
          <w:i/>
          <w:iCs/>
        </w:rPr>
        <w:t>Potential arguments available to MSC in respect of its claim against ATI and/or in resisting CML's indemnity claim; and</w:t>
      </w:r>
    </w:p>
    <w:p w14:paraId="6989D946">
      <w:pPr>
        <w:pStyle w:val="14"/>
        <w:numPr>
          <w:ilvl w:val="0"/>
          <w:numId w:val="1"/>
        </w:numPr>
      </w:pPr>
      <w:r>
        <w:rPr>
          <w:i/>
          <w:iCs/>
        </w:rPr>
        <w:t>Suggestions for improving these SLCs for future orders.</w:t>
      </w:r>
    </w:p>
    <w:p w14:paraId="393D011E"/>
    <w:p w14:paraId="57478834">
      <w:r>
        <w:rPr>
          <w:i/>
          <w:iCs/>
        </w:rPr>
        <w:t>I appreciate that a more detailed note may be needed in due course. For now, please find a high-level summary below. Capitalised terms carry the meanings given to them in the Supply Contract or Delivery Contract (as applicable).</w:t>
      </w:r>
    </w:p>
    <w:p w14:paraId="561CE446"/>
    <w:p w14:paraId="385C33F3">
      <w:r>
        <w:rPr>
          <w:b/>
          <w:bCs/>
          <w:i/>
          <w:iCs/>
        </w:rPr>
        <w:t>1. Drafting Issues in the Supply Contract / Delivery Contract Contributing to the Dispute</w:t>
      </w:r>
    </w:p>
    <w:p w14:paraId="0EB30D8E"/>
    <w:p w14:paraId="14DEB874">
      <w:pPr>
        <w:pStyle w:val="14"/>
        <w:numPr>
          <w:ilvl w:val="0"/>
          <w:numId w:val="1"/>
        </w:numPr>
      </w:pPr>
      <w:r>
        <w:rPr>
          <w:b/>
          <w:bCs/>
          <w:i/>
          <w:iCs/>
        </w:rPr>
        <w:t>Delivery Contract</w:t>
      </w:r>
    </w:p>
    <w:p w14:paraId="454403EA">
      <w:pPr>
        <w:pStyle w:val="14"/>
        <w:numPr>
          <w:ilvl w:val="0"/>
          <w:numId w:val="2"/>
        </w:numPr>
      </w:pPr>
      <w:r>
        <w:rPr>
          <w:i/>
          <w:iCs/>
        </w:rPr>
        <w:t>Clause 5 requires MSC to pay ATI's Delivery Fee upon the Docking Station accepting the Order (per clause 2). The issue is that this payment is triggered before CML carries out its sample testing under the Supply Contract. In other words, ATI gets paid even though it has not yet been confirmed that the delivery is actually compliant. This misalignment in timing is a core source of MSC's current predicament.</w:t>
      </w:r>
    </w:p>
    <w:p w14:paraId="7660AD34">
      <w:pPr>
        <w:pStyle w:val="14"/>
        <w:numPr>
          <w:ilvl w:val="0"/>
          <w:numId w:val="2"/>
        </w:numPr>
      </w:pPr>
      <w:r>
        <w:rPr>
          <w:i/>
          <w:iCs/>
        </w:rPr>
        <w:t>Clause 6, which sets out MSC's rights against ATI, only activates where the Order is not accepted “in accordance with clause 4”. Clause 4 in turn requires the Temperature Sensor to have recorded sub-4°C temperatures throughout the Delivery Period. Since the sensor readings here showed compliant temperatures and the Docking Station accepted the Order, the clause 6 trigger is technically not satisfied — even if the goods were in fact spoiled in transit. This creates a significant gap in MSC’s contractual protection.</w:t>
      </w:r>
    </w:p>
    <w:p w14:paraId="6EAC3C92">
      <w:pPr>
        <w:pStyle w:val="14"/>
        <w:numPr>
          <w:ilvl w:val="0"/>
          <w:numId w:val="2"/>
        </w:numPr>
      </w:pPr>
      <w:r>
        <w:rPr>
          <w:i/>
          <w:iCs/>
        </w:rPr>
        <w:t>The combined effect of the above is that MSC is left having to challenge both parties simultaneously: resisting CML’s indemnity on one front while pursuing ATI on another, with the automated payment mechanisms having already moved funds against MSC’s interests.</w:t>
      </w:r>
    </w:p>
    <w:p w14:paraId="68470E25">
      <w:pPr>
        <w:pStyle w:val="14"/>
        <w:numPr>
          <w:ilvl w:val="0"/>
          <w:numId w:val="1"/>
        </w:numPr>
      </w:pPr>
      <w:r>
        <w:rPr>
          <w:b/>
          <w:bCs/>
          <w:i/>
          <w:iCs/>
        </w:rPr>
        <w:t>Supply Contract</w:t>
      </w:r>
    </w:p>
    <w:p w14:paraId="5694BF94">
      <w:pPr>
        <w:pStyle w:val="14"/>
        <w:numPr>
          <w:ilvl w:val="0"/>
          <w:numId w:val="2"/>
        </w:numPr>
      </w:pPr>
      <w:r>
        <w:rPr>
          <w:i/>
          <w:iCs/>
        </w:rPr>
        <w:t>Clause 8 provides that MSC must repay the full Price if CML finds that the Medical Supplies do not comply with clauses 5 and 6. Two problems stand out. First, the test is entirely subjective — the clause says “found by CML”, with no requirement to act reasonably or follow any prescribed procedure. This makes it harder for MSC to challenge whether the indemnity trigger conditions were actually met. Second, CML can activate the indemnity immediately and unilaterally, leaving MSC no opportunity to discuss alternative remedies or dispute the finding before funds are transferred.</w:t>
      </w:r>
    </w:p>
    <w:p w14:paraId="00335C6F">
      <w:pPr>
        <w:pStyle w:val="14"/>
        <w:numPr>
          <w:ilvl w:val="0"/>
          <w:numId w:val="2"/>
        </w:numPr>
      </w:pPr>
      <w:r>
        <w:rPr>
          <w:i/>
          <w:iCs/>
        </w:rPr>
        <w:t>Clause 7 allows sample testing to take place up to 3 hours after delivery. The Supply Contract makes no provision for who is responsible for storing the Medical Supplies properly during that window. If CML failed to maintain adequate conditions between unloading and testing, the contract does not clearly allocate responsibility for any resulting deterioration — yet the indemnity could still be triggered on the basis of that test result.</w:t>
      </w:r>
    </w:p>
    <w:p w14:paraId="158C0118">
      <w:pPr>
        <w:pStyle w:val="14"/>
        <w:numPr>
          <w:ilvl w:val="0"/>
          <w:numId w:val="2"/>
        </w:numPr>
      </w:pPr>
      <w:r>
        <w:rPr>
          <w:i/>
          <w:iCs/>
        </w:rPr>
        <w:t>Clause 8 also triggers repayment of the full Price on the basis of a sample test only. There is no mechanism for testing the entire Order to identify whether all Medical Supplies — or only a portion — are non-compliant, despite only 15% having been found to be compromised.</w:t>
      </w:r>
    </w:p>
    <w:p w14:paraId="47CC1DA3"/>
    <w:p w14:paraId="066E2CEE">
      <w:r>
        <w:rPr>
          <w:b/>
          <w:bCs/>
          <w:i/>
          <w:iCs/>
        </w:rPr>
        <w:t>2. Potential Arguments Available to MSC</w:t>
      </w:r>
    </w:p>
    <w:p w14:paraId="3829D5C7"/>
    <w:p w14:paraId="34BB953E">
      <w:pPr>
        <w:pStyle w:val="14"/>
        <w:numPr>
          <w:ilvl w:val="0"/>
          <w:numId w:val="1"/>
        </w:numPr>
      </w:pPr>
      <w:r>
        <w:rPr>
          <w:b/>
          <w:bCs/>
          <w:i/>
          <w:iCs/>
        </w:rPr>
        <w:t>Arguments Against ATI</w:t>
      </w:r>
    </w:p>
    <w:p w14:paraId="2E8A04B5">
      <w:pPr>
        <w:pStyle w:val="14"/>
        <w:numPr>
          <w:ilvl w:val="0"/>
          <w:numId w:val="2"/>
        </w:numPr>
      </w:pPr>
      <w:r>
        <w:rPr>
          <w:i/>
          <w:iCs/>
        </w:rPr>
        <w:t>MSC can argue that the Temperature Sensor was tampered with (e.g. using ice purchased at the refuelling stop) and that the actual ambient temperature in the truck did in fact reach or exceed 4°C during transit. MSC would need to obtain supporting evidence, such as CCTV footage from the fuelling station and records of the driver’s purchases, to substantiate this.</w:t>
      </w:r>
    </w:p>
    <w:p w14:paraId="1995B366">
      <w:pPr>
        <w:pStyle w:val="14"/>
        <w:numPr>
          <w:ilvl w:val="0"/>
          <w:numId w:val="2"/>
        </w:numPr>
      </w:pPr>
      <w:r>
        <w:rPr>
          <w:i/>
          <w:iCs/>
        </w:rPr>
        <w:t>Even if clause 6 is not technically triggered (because the sensor showed compliant readings), it cannot have been the parties’ intention that ATI escapes liability simply because the Temperature Sensor was manipulated. MSC can argue that clause 6 should be interpreted to apply wherever the goods were in fact spoiled in transit, regardless of what the sensor recorded.</w:t>
      </w:r>
    </w:p>
    <w:p w14:paraId="166FD470">
      <w:pPr>
        <w:pStyle w:val="14"/>
        <w:numPr>
          <w:ilvl w:val="0"/>
          <w:numId w:val="2"/>
        </w:numPr>
      </w:pPr>
      <w:r>
        <w:rPr>
          <w:i/>
          <w:iCs/>
        </w:rPr>
        <w:t>In any event, clause 3 of the Delivery Contract requires ATI to ensure that the temperature of the Medical Supplies remained below 4°C during the Delivery Period. Importantly, this clause is not expressed by reference to the Temperature Sensor reading. MSC can therefore pursue a claim for breach of clause 3 independently of the clause 6 mechanism, seeking damages on that basis.</w:t>
      </w:r>
    </w:p>
    <w:p w14:paraId="03A9866A">
      <w:pPr>
        <w:pStyle w:val="14"/>
        <w:numPr>
          <w:ilvl w:val="0"/>
          <w:numId w:val="2"/>
        </w:numPr>
      </w:pPr>
      <w:r>
        <w:rPr>
          <w:i/>
          <w:iCs/>
        </w:rPr>
        <w:t>If ATI’s breach of clause 3 is sufficiently serious, MSC might also argue that it constitutes a repudiatory breach — entitling MSC to terminate the Delivery Contract for future deliveries. This could at minimum give MSC useful leverage in any settlement discussions with ATI.</w:t>
      </w:r>
    </w:p>
    <w:p w14:paraId="069B2142">
      <w:pPr>
        <w:pStyle w:val="14"/>
        <w:numPr>
          <w:ilvl w:val="0"/>
          <w:numId w:val="1"/>
        </w:numPr>
      </w:pPr>
      <w:r>
        <w:rPr>
          <w:b/>
          <w:bCs/>
          <w:i/>
          <w:iCs/>
        </w:rPr>
        <w:t>Challenging CML’s Use of the Indemnity</w:t>
      </w:r>
    </w:p>
    <w:p w14:paraId="6D8F5724">
      <w:pPr>
        <w:pStyle w:val="14"/>
        <w:numPr>
          <w:ilvl w:val="0"/>
          <w:numId w:val="2"/>
        </w:numPr>
      </w:pPr>
      <w:r>
        <w:rPr>
          <w:i/>
          <w:iCs/>
        </w:rPr>
        <w:t>MSC can argue that the Medical Supplies were damaged during the 3-hour window between delivery at the Docking Station and CML’s sample testing — not while in transit. If CML failed to maintain proper refrigeration conditions after unloading, then the failure of the sample test is attributable to CML’s own conduct, and the indemnity should not have been triggered.</w:t>
      </w:r>
    </w:p>
    <w:p w14:paraId="7C8EC98A">
      <w:pPr>
        <w:pStyle w:val="14"/>
        <w:numPr>
          <w:ilvl w:val="0"/>
          <w:numId w:val="2"/>
        </w:numPr>
      </w:pPr>
      <w:r>
        <w:rPr>
          <w:i/>
          <w:iCs/>
        </w:rPr>
        <w:t>MSC may also argue that the Price repayable under clause 8 should be limited to the proportion of Medical Supplies actually found to be non-compliant (15%), rather than the full amount. This will depend on how the Price is defined in the Order — if it is divisible by batch or product line, there may be scope to limit the indemnity payment accordingly.</w:t>
      </w:r>
    </w:p>
    <w:p w14:paraId="2AD374DF"/>
    <w:p w14:paraId="07B6002D">
      <w:r>
        <w:rPr>
          <w:b/>
          <w:bCs/>
          <w:i/>
          <w:iCs/>
        </w:rPr>
        <w:t>3. Suggestions for Improving the SLCs for Future Orders</w:t>
      </w:r>
    </w:p>
    <w:p w14:paraId="7BFFE460"/>
    <w:p w14:paraId="268AFB7D">
      <w:pPr>
        <w:pStyle w:val="14"/>
        <w:numPr>
          <w:ilvl w:val="0"/>
          <w:numId w:val="1"/>
        </w:numPr>
      </w:pPr>
      <w:r>
        <w:rPr>
          <w:b/>
          <w:bCs/>
          <w:i/>
          <w:iCs/>
        </w:rPr>
        <w:t>Delivery Contract</w:t>
      </w:r>
    </w:p>
    <w:p w14:paraId="1BB1AD02">
      <w:pPr>
        <w:pStyle w:val="14"/>
        <w:numPr>
          <w:ilvl w:val="0"/>
          <w:numId w:val="2"/>
        </w:numPr>
      </w:pPr>
      <w:r>
        <w:rPr>
          <w:i/>
          <w:iCs/>
        </w:rPr>
        <w:t>Payment to ATI under clause 5 should be deferred until after CML has completed its sample testing and confirmed compliance. This would align the payment trigger with the verification step, ensuring ATI is not paid before it is clear th</w:t>
      </w:r>
      <w:bookmarkStart w:id="0" w:name="_GoBack"/>
      <w:bookmarkEnd w:id="0"/>
      <w:r>
        <w:rPr>
          <w:i/>
          <w:iCs/>
        </w:rPr>
        <w:t>at the delivery is actually acceptable.</w:t>
      </w:r>
    </w:p>
    <w:p w14:paraId="4644D17E">
      <w:pPr>
        <w:pStyle w:val="14"/>
        <w:numPr>
          <w:ilvl w:val="0"/>
          <w:numId w:val="2"/>
        </w:numPr>
      </w:pPr>
      <w:r>
        <w:rPr>
          <w:i/>
          <w:iCs/>
        </w:rPr>
        <w:t>Alternatively, clause 6 could be redrafted so that MSC’s right to claim is not solely dependent on the Docking Station rejecting the Order, but also applies where the goods fail CML’s subsequent sample testing — particularly where this is attributable to conditions during transit.</w:t>
      </w:r>
    </w:p>
    <w:p w14:paraId="4B9CB34B">
      <w:pPr>
        <w:pStyle w:val="14"/>
        <w:numPr>
          <w:ilvl w:val="0"/>
          <w:numId w:val="2"/>
        </w:numPr>
      </w:pPr>
      <w:r>
        <w:rPr>
          <w:i/>
          <w:iCs/>
        </w:rPr>
        <w:t>The reference to “by reference to the Temperature Sensor” in clause 4 could be removed, so that whether the temperature threshold was breached is assessed on more objective grounds rather than solely by reference to the sensor reading.</w:t>
      </w:r>
    </w:p>
    <w:p w14:paraId="3289E2D4">
      <w:pPr>
        <w:pStyle w:val="14"/>
        <w:numPr>
          <w:ilvl w:val="0"/>
          <w:numId w:val="2"/>
        </w:numPr>
      </w:pPr>
      <w:r>
        <w:rPr>
          <w:i/>
          <w:iCs/>
        </w:rPr>
        <w:t>A certification or pre-delivery check procedure should be introduced to verify that the Temperature Sensor is in proper working condition before each delivery. Additional safeguards, such as cameras inside ATI’s vehicles, could also be considered as a deterrent against tampering.</w:t>
      </w:r>
    </w:p>
    <w:p w14:paraId="29560E78">
      <w:pPr>
        <w:pStyle w:val="14"/>
        <w:numPr>
          <w:ilvl w:val="0"/>
          <w:numId w:val="1"/>
        </w:numPr>
      </w:pPr>
      <w:r>
        <w:rPr>
          <w:b/>
          <w:bCs/>
          <w:i/>
          <w:iCs/>
        </w:rPr>
        <w:t>Supply Contract</w:t>
      </w:r>
    </w:p>
    <w:p w14:paraId="6BE74704">
      <w:pPr>
        <w:pStyle w:val="14"/>
        <w:numPr>
          <w:ilvl w:val="0"/>
          <w:numId w:val="2"/>
        </w:numPr>
      </w:pPr>
      <w:r>
        <w:rPr>
          <w:i/>
          <w:iCs/>
        </w:rPr>
        <w:t>CML should be made expressly responsible for maintaining the Medical Supplies below 4°C during the 3-hour period between delivery and sample testing. The indemnity under clause 8 should only be capable of being triggered once CML has confirmed that proper storage conditions were maintained during this window.</w:t>
      </w:r>
    </w:p>
    <w:p w14:paraId="708A9777">
      <w:pPr>
        <w:pStyle w:val="14"/>
        <w:numPr>
          <w:ilvl w:val="0"/>
          <w:numId w:val="2"/>
        </w:numPr>
      </w:pPr>
      <w:r>
        <w:rPr>
          <w:i/>
          <w:iCs/>
        </w:rPr>
        <w:t>Sample testing could be moved to take place at the Docking Station, prior to unloading, so that acceptance only occurs once compliance is confirmed. This would also allow the timing of ATI’s payment under the Delivery Contract to align with a properly verified acceptance.</w:t>
      </w:r>
    </w:p>
    <w:p w14:paraId="358CBD66">
      <w:pPr>
        <w:pStyle w:val="14"/>
        <w:numPr>
          <w:ilvl w:val="0"/>
          <w:numId w:val="2"/>
        </w:numPr>
      </w:pPr>
      <w:r>
        <w:rPr>
          <w:i/>
          <w:iCs/>
        </w:rPr>
        <w:t>Clause 8 could be amended to require full testing of the Order before the full Price becomes repayable, so that only non-compliant goods are captured by the indemnity. Provision could also be introduced to require CML to act reasonably in conducting the testing, and to give MSC an opportunity to consult before any automatic payment is triggered.</w:t>
      </w:r>
    </w:p>
    <w:p w14:paraId="2AE1B9A3"/>
    <w:p w14:paraId="067D52F9">
      <w:r>
        <w:rPr>
          <w:i/>
          <w:iCs/>
        </w:rPr>
        <w:t>Please let me know if you have any questions or would like me to look into any of the above points in more detail.</w:t>
      </w:r>
    </w:p>
    <w:p w14:paraId="3AFA33E8"/>
    <w:p w14:paraId="7C09E360">
      <w:r>
        <w:rPr>
          <w:i/>
          <w:iCs/>
        </w:rPr>
        <w:t>Kind regards,</w:t>
      </w:r>
    </w:p>
    <w:p w14:paraId="225E4CF7"/>
    <w:p w14:paraId="1A9E2B8E">
      <w:pPr>
        <w:rPr>
          <w:rFonts w:hint="default" w:eastAsia="宋体"/>
          <w:lang w:val="en-US" w:eastAsia="zh-CN"/>
        </w:rPr>
      </w:pPr>
      <w:r>
        <w:rPr>
          <w:rFonts w:hint="eastAsia" w:eastAsia="宋体"/>
          <w:i/>
          <w:iCs/>
          <w:lang w:val="en-US" w:eastAsia="zh-CN"/>
        </w:rPr>
        <w:t>Claire Zhang</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o"/>
      <w:lvlJc w:val="left"/>
      <w:pPr>
        <w:ind w:left="14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289778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1249</Words>
  <Characters>6473</Characters>
  <TotalTime>2</TotalTime>
  <ScaleCrop>false</ScaleCrop>
  <LinksUpToDate>false</LinksUpToDate>
  <CharactersWithSpaces>7685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2026-03-30T16:33:00Z</dcterms:created>
  <dc:creator>Un-named</dc:creator>
  <cp:lastModifiedBy>lucky</cp:lastModifiedBy>
  <dcterms:modified xsi:type="dcterms:W3CDTF">2026-03-30T16:36:45Z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eyJoZGlkIjoiN2YzNjBkOTgyNWQ1YTMxYzM3MzMwNWFiODNmOWIzYWMiLCJ1c2VySWQiOiIxMDM3NTg3OTQ4In0=</vt:lpwstr>
  </property>
  <property fmtid="{D5CDD505-2E9C-101B-9397-08002B2CF9AE}" pid="3" name="KSOProductBuildVer">
    <vt:lpwstr>2052-12.1.0.25225</vt:lpwstr>
  </property>
  <property fmtid="{D5CDD505-2E9C-101B-9397-08002B2CF9AE}" pid="4" name="ICV">
    <vt:lpwstr>6EC999A47D3C4692B2C3AA1E95340A0D_12</vt:lpwstr>
  </property>
</Properties>
</file>