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t xml:space="preserve">PNGCJE</w:t>
      </w:r>
    </w:p>
    <w:p>
      <w:pPr>
        <w:pStyle w:val="Subtitle"/>
      </w:pPr>
      <w:r>
        <w:rPr/>
        <w:t xml:space="preserve">Papua New Guinea Centre for Judicial Excellence</w:t>
      </w:r>
    </w:p>
    <w:p>
      <w:pPr>
        <w:pStyle w:val="Heading1"/>
      </w:pPr>
      <w:r>
        <w:rPr/>
        <w:t xml:space="preserve">WordPress Admin Management Guide</w:t>
      </w:r>
    </w:p>
    <w:p>
      <w:pPr/>
      <w:r>
        <w:rPr/>
        <w:t xml:space="preserve">Prepared by: ZACQ Industries / WEBMASTA</w:t>
      </w:r>
    </w:p>
    <w:p>
      <w:pPr/>
      <w:r>
        <w:rPr/>
        <w:t xml:space="preserve">Date: May 2026</w:t>
      </w:r>
    </w:p>
    <w:p>
      <w:pPr/>
      <w:r>
        <w:rPr/>
        <w:t xml:space="preserve">Website: https://pngcje.gov.pg</w:t>
      </w:r>
    </w:p>
    <w:p>
      <w:pPr>
        <w:pStyle w:val="Callout"/>
      </w:pPr>
      <w:r>
        <w:rPr>
          <w:b/>
          <w:color w:val="1A5C2A"/>
        </w:rPr>
        <w:t>Purpose: </w:t>
      </w:r>
      <w:r>
        <w:t>This document is written as a practical handover reference for PNGCJE administrators and decision makers. It explains what has been built, where it is managed, and how each part of the website should be maintained.</w:t>
      </w:r>
    </w:p>
    <w:p>
      <w:r>
        <w:br w:type="page"/>
      </w:r>
    </w:p>
    <w:p>
      <w:pPr>
        <w:pStyle w:val="Heading1"/>
        <w:keepNext/>
      </w:pPr>
      <w:r>
        <w:rPr/>
        <w:t xml:space="preserve">1. First Orientation</w:t>
      </w:r>
    </w:p>
    <w:p>
      <w:pPr/>
      <w:r>
        <w:rPr/>
        <w:t xml:space="preserve">The PNGCJE website is powered by a custom WordPress theme built for the Centre's content, governance structure, publications, training calendar, forms, newsletters, popups, and homepage controls. The admin area is designed so day-to-day updates can be made without code.</w:t>
      </w:r>
    </w:p>
    <w:p>
      <w:pPr>
        <w:pStyle w:val="Heading2"/>
        <w:keepNext/>
      </w:pPr>
      <w:r>
        <w:rPr/>
        <w:t xml:space="preserve">1.1 Login and Dashboard</w:t>
      </w:r>
    </w:p>
    <w:p>
      <w:pPr>
        <w:pStyle w:val="ListParagraph"/>
        <w:numPr>
          <w:ilvl w:val="0"/>
          <w:numId w:val="2"/>
        </w:numPr>
      </w:pPr>
      <w:r>
        <w:t xml:space="preserve">Go to https://pngcje.gov.pg/wp-admin.</w:t>
      </w:r>
    </w:p>
    <w:p>
      <w:pPr>
        <w:pStyle w:val="ListParagraph"/>
        <w:numPr>
          <w:ilvl w:val="0"/>
          <w:numId w:val="2"/>
        </w:numPr>
      </w:pPr>
      <w:r>
        <w:t xml:space="preserve">Enter your assigned username and password.</w:t>
      </w:r>
    </w:p>
    <w:p>
      <w:pPr>
        <w:pStyle w:val="ListParagraph"/>
        <w:numPr>
          <w:ilvl w:val="0"/>
          <w:numId w:val="2"/>
        </w:numPr>
      </w:pPr>
      <w:r>
        <w:t xml:space="preserve">Use the left admin sidebar as your main control panel.</w:t>
      </w:r>
    </w:p>
    <w:p>
      <w:pPr>
        <w:pStyle w:val="ListParagraph"/>
        <w:numPr>
          <w:ilvl w:val="0"/>
          <w:numId w:val="2"/>
        </w:numPr>
      </w:pPr>
      <w:r>
        <w:t xml:space="preserve">Use the top admin bar link labelled PNGCJE to return to the public website.</w:t>
      </w:r>
    </w:p>
    <w:p>
      <w:pPr>
        <w:pStyle w:val="ListParagraph"/>
        <w:numPr>
          <w:ilvl w:val="0"/>
          <w:numId w:val="2"/>
        </w:numPr>
      </w:pPr>
      <w:r>
        <w:t xml:space="preserve">If a password is forgotten, use the Lost your password link on the login screen.</w:t>
      </w:r>
    </w:p>
    <w:p>
      <w:pPr>
        <w:pStyle w:val="Callout"/>
      </w:pPr>
      <w:r>
        <w:rPr>
          <w:b/>
          <w:color w:val="1A5C2A"/>
        </w:rPr>
        <w:t>Dashboard widget: </w:t>
      </w:r>
      <w:r>
        <w:t>The PNGCJE Theme - Quick Status widget shows theme version, plugin status for Gravity Forms, Popup Maker and The Events Calendar, and live content counts for news, resources, staff, board members, program officers, Pacific members and events.</w:t>
      </w:r>
    </w:p>
    <w:tbl>
      <w:tblPr>
        <w:tblW w:w="9360" w:type="dxa"/>
        <w:tblInd w:w="0" w:type="dxa"/>
        <w:tblBorders>
          <w:top w:val="single" w:sz="4" w:color="DADCE0"/>
          <w:left w:val="single" w:sz="4" w:color="DADCE0"/>
          <w:bottom w:val="single" w:sz="4" w:color="DADCE0"/>
          <w:right w:val="single" w:sz="4" w:color="DADCE0"/>
          <w:insideH w:val="single" w:sz="4" w:color="DADCE0"/>
          <w:insideV w:val="single" w:sz="4" w:color="DADCE0"/>
        </w:tblBorders>
        <w:tblLook w:firstRow="1" w:noHBand="0" w:noVBand="1"/>
      </w:tblPr>
      <w:tblGrid>
        <w:gridCol w:w="1800"/>
        <w:gridCol w:w="3600"/>
        <w:gridCol w:w="3960"/>
      </w:tblGrid>
      <w:tr>
        <w:tc>
          <w:tcPr>
            <w:tcW w:w="1800" w:type="dxa"/>
            <w:shd w:fill="EAF3EC"/>
            <w:tcMar>
              <w:top w:w="100" w:type="dxa"/>
              <w:left w:w="120" w:type="dxa"/>
              <w:bottom w:w="100" w:type="dxa"/>
              <w:right w:w="120" w:type="dxa"/>
            </w:tcMar>
          </w:tcPr>
          <w:p>
            <w:r>
              <w:rPr>
                <w:b/>
              </w:rPr>
              <w:t xml:space="preserve">Admin Menu</w:t>
            </w:r>
          </w:p>
        </w:tc>
        <w:tc>
          <w:tcPr>
            <w:tcW w:w="3600" w:type="dxa"/>
            <w:shd w:fill="EAF3EC"/>
            <w:tcMar>
              <w:top w:w="100" w:type="dxa"/>
              <w:left w:w="120" w:type="dxa"/>
              <w:bottom w:w="100" w:type="dxa"/>
              <w:right w:w="120" w:type="dxa"/>
            </w:tcMar>
          </w:tcPr>
          <w:p>
            <w:r>
              <w:rPr>
                <w:b/>
              </w:rPr>
              <w:t xml:space="preserve">What it manages</w:t>
            </w:r>
          </w:p>
        </w:tc>
        <w:tc>
          <w:tcPr>
            <w:tcW w:w="3960" w:type="dxa"/>
            <w:shd w:fill="EAF3EC"/>
            <w:tcMar>
              <w:top w:w="100" w:type="dxa"/>
              <w:left w:w="120" w:type="dxa"/>
              <w:bottom w:w="100" w:type="dxa"/>
              <w:right w:w="120" w:type="dxa"/>
            </w:tcMar>
          </w:tcPr>
          <w:p>
            <w:r>
              <w:rPr>
                <w:b/>
              </w:rPr>
              <w:t xml:space="preserve">Where it appears on the public website</w:t>
            </w:r>
          </w:p>
        </w:tc>
      </w:tr>
      <w:tr>
        <w:tc>
          <w:tcPr>
            <w:tcW w:w="1800" w:type="dxa"/>
            <w:tcMar>
              <w:top w:w="100" w:type="dxa"/>
              <w:left w:w="120" w:type="dxa"/>
              <w:bottom w:w="100" w:type="dxa"/>
              <w:right w:w="120" w:type="dxa"/>
            </w:tcMar>
          </w:tcPr>
          <w:p>
            <w:r>
              <w:rPr/>
              <w:t xml:space="preserve">Posts</w:t>
            </w:r>
          </w:p>
        </w:tc>
        <w:tc>
          <w:tcPr>
            <w:tcW w:w="3600" w:type="dxa"/>
            <w:tcMar>
              <w:top w:w="100" w:type="dxa"/>
              <w:left w:w="120" w:type="dxa"/>
              <w:bottom w:w="100" w:type="dxa"/>
              <w:right w:w="120" w:type="dxa"/>
            </w:tcMar>
          </w:tcPr>
          <w:p>
            <w:r>
              <w:rPr/>
              <w:t xml:space="preserve">News articles and general updates.</w:t>
            </w:r>
          </w:p>
        </w:tc>
        <w:tc>
          <w:tcPr>
            <w:tcW w:w="3960" w:type="dxa"/>
            <w:tcMar>
              <w:top w:w="100" w:type="dxa"/>
              <w:left w:w="120" w:type="dxa"/>
              <w:bottom w:w="100" w:type="dxa"/>
              <w:right w:w="120" w:type="dxa"/>
            </w:tcMar>
          </w:tcPr>
          <w:p>
            <w:r>
              <w:rPr/>
              <w:t xml:space="preserve">News landing page, latest news homepage block, archives and single news pages.</w:t>
            </w:r>
          </w:p>
        </w:tc>
      </w:tr>
      <w:tr>
        <w:tc>
          <w:tcPr>
            <w:tcW w:w="1800" w:type="dxa"/>
            <w:tcMar>
              <w:top w:w="100" w:type="dxa"/>
              <w:left w:w="120" w:type="dxa"/>
              <w:bottom w:w="100" w:type="dxa"/>
              <w:right w:w="120" w:type="dxa"/>
            </w:tcMar>
          </w:tcPr>
          <w:p>
            <w:r>
              <w:rPr/>
              <w:t xml:space="preserve">Media</w:t>
            </w:r>
          </w:p>
        </w:tc>
        <w:tc>
          <w:tcPr>
            <w:tcW w:w="3600" w:type="dxa"/>
            <w:tcMar>
              <w:top w:w="100" w:type="dxa"/>
              <w:left w:w="120" w:type="dxa"/>
              <w:bottom w:w="100" w:type="dxa"/>
              <w:right w:w="120" w:type="dxa"/>
            </w:tcMar>
          </w:tcPr>
          <w:p>
            <w:r>
              <w:rPr/>
              <w:t xml:space="preserve">Images, PDFs, files, video thumbnails and uploaded documents.</w:t>
            </w:r>
          </w:p>
        </w:tc>
        <w:tc>
          <w:tcPr>
            <w:tcW w:w="3960" w:type="dxa"/>
            <w:tcMar>
              <w:top w:w="100" w:type="dxa"/>
              <w:left w:w="120" w:type="dxa"/>
              <w:bottom w:w="100" w:type="dxa"/>
              <w:right w:w="120" w:type="dxa"/>
            </w:tcMar>
          </w:tcPr>
          <w:p>
            <w:r>
              <w:rPr/>
              <w:t xml:space="preserve">Used throughout pages, resources, newsletters, staff profiles and event logos.</w:t>
            </w:r>
          </w:p>
        </w:tc>
      </w:tr>
      <w:tr>
        <w:tc>
          <w:tcPr>
            <w:tcW w:w="1800" w:type="dxa"/>
            <w:tcMar>
              <w:top w:w="100" w:type="dxa"/>
              <w:left w:w="120" w:type="dxa"/>
              <w:bottom w:w="100" w:type="dxa"/>
              <w:right w:w="120" w:type="dxa"/>
            </w:tcMar>
          </w:tcPr>
          <w:p>
            <w:r>
              <w:rPr/>
              <w:t xml:space="preserve">Pages</w:t>
            </w:r>
          </w:p>
        </w:tc>
        <w:tc>
          <w:tcPr>
            <w:tcW w:w="3600" w:type="dxa"/>
            <w:tcMar>
              <w:top w:w="100" w:type="dxa"/>
              <w:left w:w="120" w:type="dxa"/>
              <w:bottom w:w="100" w:type="dxa"/>
              <w:right w:w="120" w:type="dxa"/>
            </w:tcMar>
          </w:tcPr>
          <w:p>
            <w:r>
              <w:rPr/>
              <w:t xml:space="preserve">Static public pages and their assigned templates.</w:t>
            </w:r>
          </w:p>
        </w:tc>
        <w:tc>
          <w:tcPr>
            <w:tcW w:w="3960" w:type="dxa"/>
            <w:tcMar>
              <w:top w:w="100" w:type="dxa"/>
              <w:left w:w="120" w:type="dxa"/>
              <w:bottom w:w="100" w:type="dxa"/>
              <w:right w:w="120" w:type="dxa"/>
            </w:tcMar>
          </w:tcPr>
          <w:p>
            <w:r>
              <w:rPr/>
              <w:t xml:space="preserve">About, Governance, Our Work, Contact, resource landing pages and policy pages.</w:t>
            </w:r>
          </w:p>
        </w:tc>
      </w:tr>
      <w:tr>
        <w:tc>
          <w:tcPr>
            <w:tcW w:w="1800" w:type="dxa"/>
            <w:tcMar>
              <w:top w:w="100" w:type="dxa"/>
              <w:left w:w="120" w:type="dxa"/>
              <w:bottom w:w="100" w:type="dxa"/>
              <w:right w:w="120" w:type="dxa"/>
            </w:tcMar>
          </w:tcPr>
          <w:p>
            <w:r>
              <w:rPr/>
              <w:t xml:space="preserve">Hero Slides</w:t>
            </w:r>
          </w:p>
        </w:tc>
        <w:tc>
          <w:tcPr>
            <w:tcW w:w="3600" w:type="dxa"/>
            <w:tcMar>
              <w:top w:w="100" w:type="dxa"/>
              <w:left w:w="120" w:type="dxa"/>
              <w:bottom w:w="100" w:type="dxa"/>
              <w:right w:w="120" w:type="dxa"/>
            </w:tcMar>
          </w:tcPr>
          <w:p>
            <w:r>
              <w:rPr/>
              <w:t xml:space="preserve">Homepage rotating banner slides.</w:t>
            </w:r>
          </w:p>
        </w:tc>
        <w:tc>
          <w:tcPr>
            <w:tcW w:w="3960" w:type="dxa"/>
            <w:tcMar>
              <w:top w:w="100" w:type="dxa"/>
              <w:left w:w="120" w:type="dxa"/>
              <w:bottom w:w="100" w:type="dxa"/>
              <w:right w:w="120" w:type="dxa"/>
            </w:tcMar>
          </w:tcPr>
          <w:p>
            <w:r>
              <w:rPr/>
              <w:t xml:space="preserve">First screen of the homepage.</w:t>
            </w:r>
          </w:p>
        </w:tc>
      </w:tr>
      <w:tr>
        <w:tc>
          <w:tcPr>
            <w:tcW w:w="1800" w:type="dxa"/>
            <w:tcMar>
              <w:top w:w="100" w:type="dxa"/>
              <w:left w:w="120" w:type="dxa"/>
              <w:bottom w:w="100" w:type="dxa"/>
              <w:right w:w="120" w:type="dxa"/>
            </w:tcMar>
          </w:tcPr>
          <w:p>
            <w:r>
              <w:rPr/>
              <w:t xml:space="preserve">Resources</w:t>
            </w:r>
          </w:p>
        </w:tc>
        <w:tc>
          <w:tcPr>
            <w:tcW w:w="3600" w:type="dxa"/>
            <w:tcMar>
              <w:top w:w="100" w:type="dxa"/>
              <w:left w:w="120" w:type="dxa"/>
              <w:bottom w:w="100" w:type="dxa"/>
              <w:right w:w="120" w:type="dxa"/>
            </w:tcMar>
          </w:tcPr>
          <w:p>
            <w:r>
              <w:rPr/>
              <w:t xml:space="preserve">PDF/document library items by Resource Type.</w:t>
            </w:r>
          </w:p>
        </w:tc>
        <w:tc>
          <w:tcPr>
            <w:tcW w:w="3960" w:type="dxa"/>
            <w:tcMar>
              <w:top w:w="100" w:type="dxa"/>
              <w:left w:w="120" w:type="dxa"/>
              <w:bottom w:w="100" w:type="dxa"/>
              <w:right w:w="120" w:type="dxa"/>
            </w:tcMar>
          </w:tcPr>
          <w:p>
            <w:r>
              <w:rPr/>
              <w:t xml:space="preserve">Resources archive and resource category pages.</w:t>
            </w:r>
          </w:p>
        </w:tc>
      </w:tr>
      <w:tr>
        <w:tc>
          <w:tcPr>
            <w:tcW w:w="1800" w:type="dxa"/>
            <w:tcMar>
              <w:top w:w="100" w:type="dxa"/>
              <w:left w:w="120" w:type="dxa"/>
              <w:bottom w:w="100" w:type="dxa"/>
              <w:right w:w="120" w:type="dxa"/>
            </w:tcMar>
          </w:tcPr>
          <w:p>
            <w:r>
              <w:rPr/>
              <w:t xml:space="preserve">Annual Reports</w:t>
            </w:r>
          </w:p>
        </w:tc>
        <w:tc>
          <w:tcPr>
            <w:tcW w:w="3600" w:type="dxa"/>
            <w:tcMar>
              <w:top w:w="100" w:type="dxa"/>
              <w:left w:w="120" w:type="dxa"/>
              <w:bottom w:w="100" w:type="dxa"/>
              <w:right w:w="120" w:type="dxa"/>
            </w:tcMar>
          </w:tcPr>
          <w:p>
            <w:r>
              <w:rPr/>
              <w:t xml:space="preserve">Annual report records with cover, year and file link.</w:t>
            </w:r>
          </w:p>
        </w:tc>
        <w:tc>
          <w:tcPr>
            <w:tcW w:w="3960" w:type="dxa"/>
            <w:tcMar>
              <w:top w:w="100" w:type="dxa"/>
              <w:left w:w="120" w:type="dxa"/>
              <w:bottom w:w="100" w:type="dxa"/>
              <w:right w:w="120" w:type="dxa"/>
            </w:tcMar>
          </w:tcPr>
          <w:p>
            <w:r>
              <w:rPr/>
              <w:t xml:space="preserve">Annual Reports page.</w:t>
            </w:r>
          </w:p>
        </w:tc>
      </w:tr>
      <w:tr>
        <w:tc>
          <w:tcPr>
            <w:tcW w:w="1800" w:type="dxa"/>
            <w:tcMar>
              <w:top w:w="100" w:type="dxa"/>
              <w:left w:w="120" w:type="dxa"/>
              <w:bottom w:w="100" w:type="dxa"/>
              <w:right w:w="120" w:type="dxa"/>
            </w:tcMar>
          </w:tcPr>
          <w:p>
            <w:r>
              <w:rPr/>
              <w:t xml:space="preserve">Staff Members</w:t>
            </w:r>
          </w:p>
        </w:tc>
        <w:tc>
          <w:tcPr>
            <w:tcW w:w="3600" w:type="dxa"/>
            <w:tcMar>
              <w:top w:w="100" w:type="dxa"/>
              <w:left w:w="120" w:type="dxa"/>
              <w:bottom w:w="100" w:type="dxa"/>
              <w:right w:w="120" w:type="dxa"/>
            </w:tcMar>
          </w:tcPr>
          <w:p>
            <w:r>
              <w:rPr/>
              <w:t xml:space="preserve">Staff directory profiles.</w:t>
            </w:r>
          </w:p>
        </w:tc>
        <w:tc>
          <w:tcPr>
            <w:tcW w:w="3960" w:type="dxa"/>
            <w:tcMar>
              <w:top w:w="100" w:type="dxa"/>
              <w:left w:w="120" w:type="dxa"/>
              <w:bottom w:w="100" w:type="dxa"/>
              <w:right w:w="120" w:type="dxa"/>
            </w:tcMar>
          </w:tcPr>
          <w:p>
            <w:r>
              <w:rPr/>
              <w:t xml:space="preserve">Staff page and individual staff profile pages.</w:t>
            </w:r>
          </w:p>
        </w:tc>
      </w:tr>
      <w:tr>
        <w:tc>
          <w:tcPr>
            <w:tcW w:w="1800" w:type="dxa"/>
            <w:tcMar>
              <w:top w:w="100" w:type="dxa"/>
              <w:left w:w="120" w:type="dxa"/>
              <w:bottom w:w="100" w:type="dxa"/>
              <w:right w:w="120" w:type="dxa"/>
            </w:tcMar>
          </w:tcPr>
          <w:p>
            <w:r>
              <w:rPr/>
              <w:t xml:space="preserve">Board Members</w:t>
            </w:r>
          </w:p>
        </w:tc>
        <w:tc>
          <w:tcPr>
            <w:tcW w:w="3600" w:type="dxa"/>
            <w:tcMar>
              <w:top w:w="100" w:type="dxa"/>
              <w:left w:w="120" w:type="dxa"/>
              <w:bottom w:w="100" w:type="dxa"/>
              <w:right w:w="120" w:type="dxa"/>
            </w:tcMar>
          </w:tcPr>
          <w:p>
            <w:r>
              <w:rPr/>
              <w:t xml:space="preserve">Governance board profiles.</w:t>
            </w:r>
          </w:p>
        </w:tc>
        <w:tc>
          <w:tcPr>
            <w:tcW w:w="3960" w:type="dxa"/>
            <w:tcMar>
              <w:top w:w="100" w:type="dxa"/>
              <w:left w:w="120" w:type="dxa"/>
              <w:bottom w:w="100" w:type="dxa"/>
              <w:right w:w="120" w:type="dxa"/>
            </w:tcMar>
          </w:tcPr>
          <w:p>
            <w:r>
              <w:rPr/>
              <w:t xml:space="preserve">Governance page and individual board member pages.</w:t>
            </w:r>
          </w:p>
        </w:tc>
      </w:tr>
      <w:tr>
        <w:tc>
          <w:tcPr>
            <w:tcW w:w="1800" w:type="dxa"/>
            <w:tcMar>
              <w:top w:w="100" w:type="dxa"/>
              <w:left w:w="120" w:type="dxa"/>
              <w:bottom w:w="100" w:type="dxa"/>
              <w:right w:w="120" w:type="dxa"/>
            </w:tcMar>
          </w:tcPr>
          <w:p>
            <w:r>
              <w:rPr/>
              <w:t xml:space="preserve">Program Officers</w:t>
            </w:r>
          </w:p>
        </w:tc>
        <w:tc>
          <w:tcPr>
            <w:tcW w:w="3600" w:type="dxa"/>
            <w:tcMar>
              <w:top w:w="100" w:type="dxa"/>
              <w:left w:w="120" w:type="dxa"/>
              <w:bottom w:w="100" w:type="dxa"/>
              <w:right w:w="120" w:type="dxa"/>
            </w:tcMar>
          </w:tcPr>
          <w:p>
            <w:r>
              <w:rPr/>
              <w:t xml:space="preserve">Customer Service program officer profiles.</w:t>
            </w:r>
          </w:p>
        </w:tc>
        <w:tc>
          <w:tcPr>
            <w:tcW w:w="3960" w:type="dxa"/>
            <w:tcMar>
              <w:top w:w="100" w:type="dxa"/>
              <w:left w:w="120" w:type="dxa"/>
              <w:bottom w:w="100" w:type="dxa"/>
              <w:right w:w="120" w:type="dxa"/>
            </w:tcMar>
          </w:tcPr>
          <w:p>
            <w:r>
              <w:rPr/>
              <w:t xml:space="preserve">Customer Service page.</w:t>
            </w:r>
          </w:p>
        </w:tc>
      </w:tr>
      <w:tr>
        <w:tc>
          <w:tcPr>
            <w:tcW w:w="1800" w:type="dxa"/>
            <w:tcMar>
              <w:top w:w="100" w:type="dxa"/>
              <w:left w:w="120" w:type="dxa"/>
              <w:bottom w:w="100" w:type="dxa"/>
              <w:right w:w="120" w:type="dxa"/>
            </w:tcMar>
          </w:tcPr>
          <w:p>
            <w:r>
              <w:rPr/>
              <w:t xml:space="preserve">Announcements</w:t>
            </w:r>
          </w:p>
        </w:tc>
        <w:tc>
          <w:tcPr>
            <w:tcW w:w="3600" w:type="dxa"/>
            <w:tcMar>
              <w:top w:w="100" w:type="dxa"/>
              <w:left w:w="120" w:type="dxa"/>
              <w:bottom w:w="100" w:type="dxa"/>
              <w:right w:w="120" w:type="dxa"/>
            </w:tcMar>
          </w:tcPr>
          <w:p>
            <w:r>
              <w:rPr/>
              <w:t xml:space="preserve">Simple announcement content records.</w:t>
            </w:r>
          </w:p>
        </w:tc>
        <w:tc>
          <w:tcPr>
            <w:tcW w:w="3960" w:type="dxa"/>
            <w:tcMar>
              <w:top w:w="100" w:type="dxa"/>
              <w:left w:w="120" w:type="dxa"/>
              <w:bottom w:w="100" w:type="dxa"/>
              <w:right w:w="120" w:type="dxa"/>
            </w:tcMar>
          </w:tcPr>
          <w:p>
            <w:r>
              <w:rPr/>
              <w:t xml:space="preserve">Available for future notices and structured announcements.</w:t>
            </w:r>
          </w:p>
        </w:tc>
      </w:tr>
      <w:tr>
        <w:tc>
          <w:tcPr>
            <w:tcW w:w="1800" w:type="dxa"/>
            <w:tcMar>
              <w:top w:w="100" w:type="dxa"/>
              <w:left w:w="120" w:type="dxa"/>
              <w:bottom w:w="100" w:type="dxa"/>
              <w:right w:w="120" w:type="dxa"/>
            </w:tcMar>
          </w:tcPr>
          <w:p>
            <w:r>
              <w:rPr/>
              <w:t xml:space="preserve">Pacific Members</w:t>
            </w:r>
          </w:p>
        </w:tc>
        <w:tc>
          <w:tcPr>
            <w:tcW w:w="3600" w:type="dxa"/>
            <w:tcMar>
              <w:top w:w="100" w:type="dxa"/>
              <w:left w:w="120" w:type="dxa"/>
              <w:bottom w:w="100" w:type="dxa"/>
              <w:right w:w="120" w:type="dxa"/>
            </w:tcMar>
          </w:tcPr>
          <w:p>
            <w:r>
              <w:rPr/>
              <w:t xml:space="preserve">Pacific Centre member country entries.</w:t>
            </w:r>
          </w:p>
        </w:tc>
        <w:tc>
          <w:tcPr>
            <w:tcW w:w="3960" w:type="dxa"/>
            <w:tcMar>
              <w:top w:w="100" w:type="dxa"/>
              <w:left w:w="120" w:type="dxa"/>
              <w:bottom w:w="100" w:type="dxa"/>
              <w:right w:w="120" w:type="dxa"/>
            </w:tcMar>
          </w:tcPr>
          <w:p>
            <w:r>
              <w:rPr/>
              <w:t xml:space="preserve">Pacific Centre page.</w:t>
            </w:r>
          </w:p>
        </w:tc>
      </w:tr>
      <w:tr>
        <w:tc>
          <w:tcPr>
            <w:tcW w:w="1800" w:type="dxa"/>
            <w:tcMar>
              <w:top w:w="100" w:type="dxa"/>
              <w:left w:w="120" w:type="dxa"/>
              <w:bottom w:w="100" w:type="dxa"/>
              <w:right w:w="120" w:type="dxa"/>
            </w:tcMar>
          </w:tcPr>
          <w:p>
            <w:r>
              <w:rPr/>
              <w:t xml:space="preserve">Newsletter</w:t>
            </w:r>
          </w:p>
        </w:tc>
        <w:tc>
          <w:tcPr>
            <w:tcW w:w="3600" w:type="dxa"/>
            <w:tcMar>
              <w:top w:w="100" w:type="dxa"/>
              <w:left w:w="120" w:type="dxa"/>
              <w:bottom w:w="100" w:type="dxa"/>
              <w:right w:w="120" w:type="dxa"/>
            </w:tcMar>
          </w:tcPr>
          <w:p>
            <w:r>
              <w:rPr/>
              <w:t xml:space="preserve">Newsletter issues, subscribers and email sends.</w:t>
            </w:r>
          </w:p>
        </w:tc>
        <w:tc>
          <w:tcPr>
            <w:tcW w:w="3960" w:type="dxa"/>
            <w:tcMar>
              <w:top w:w="100" w:type="dxa"/>
              <w:left w:w="120" w:type="dxa"/>
              <w:bottom w:w="100" w:type="dxa"/>
              <w:right w:w="120" w:type="dxa"/>
            </w:tcMar>
          </w:tcPr>
          <w:p>
            <w:r>
              <w:rPr/>
              <w:t xml:space="preserve">Newsletters page and subscriber management.</w:t>
            </w:r>
          </w:p>
        </w:tc>
      </w:tr>
      <w:tr>
        <w:tc>
          <w:tcPr>
            <w:tcW w:w="1800" w:type="dxa"/>
            <w:tcMar>
              <w:top w:w="100" w:type="dxa"/>
              <w:left w:w="120" w:type="dxa"/>
              <w:bottom w:w="100" w:type="dxa"/>
              <w:right w:w="120" w:type="dxa"/>
            </w:tcMar>
          </w:tcPr>
          <w:p>
            <w:r>
              <w:rPr/>
              <w:t xml:space="preserve">Forms</w:t>
            </w:r>
          </w:p>
        </w:tc>
        <w:tc>
          <w:tcPr>
            <w:tcW w:w="3600" w:type="dxa"/>
            <w:tcMar>
              <w:top w:w="100" w:type="dxa"/>
              <w:left w:w="120" w:type="dxa"/>
              <w:bottom w:w="100" w:type="dxa"/>
              <w:right w:w="120" w:type="dxa"/>
            </w:tcMar>
          </w:tcPr>
          <w:p>
            <w:r>
              <w:rPr/>
              <w:t xml:space="preserve">Custom form builder and submissions.</w:t>
            </w:r>
          </w:p>
        </w:tc>
        <w:tc>
          <w:tcPr>
            <w:tcW w:w="3960" w:type="dxa"/>
            <w:tcMar>
              <w:top w:w="100" w:type="dxa"/>
              <w:left w:w="120" w:type="dxa"/>
              <w:bottom w:w="100" w:type="dxa"/>
              <w:right w:w="120" w:type="dxa"/>
            </w:tcMar>
          </w:tcPr>
          <w:p>
            <w:r>
              <w:rPr/>
              <w:t xml:space="preserve">Contact page, newsletter signup, event registrations and any shortcode embed.</w:t>
            </w:r>
          </w:p>
        </w:tc>
      </w:tr>
      <w:tr>
        <w:tc>
          <w:tcPr>
            <w:tcW w:w="1800" w:type="dxa"/>
            <w:tcMar>
              <w:top w:w="100" w:type="dxa"/>
              <w:left w:w="120" w:type="dxa"/>
              <w:bottom w:w="100" w:type="dxa"/>
              <w:right w:w="120" w:type="dxa"/>
            </w:tcMar>
          </w:tcPr>
          <w:p>
            <w:r>
              <w:rPr/>
              <w:t xml:space="preserve">Popups</w:t>
            </w:r>
          </w:p>
        </w:tc>
        <w:tc>
          <w:tcPr>
            <w:tcW w:w="3600" w:type="dxa"/>
            <w:tcMar>
              <w:top w:w="100" w:type="dxa"/>
              <w:left w:w="120" w:type="dxa"/>
              <w:bottom w:w="100" w:type="dxa"/>
              <w:right w:w="120" w:type="dxa"/>
            </w:tcMar>
          </w:tcPr>
          <w:p>
            <w:r>
              <w:rPr/>
              <w:t xml:space="preserve">Modal announcements and promotional notices.</w:t>
            </w:r>
          </w:p>
        </w:tc>
        <w:tc>
          <w:tcPr>
            <w:tcW w:w="3960" w:type="dxa"/>
            <w:tcMar>
              <w:top w:w="100" w:type="dxa"/>
              <w:left w:w="120" w:type="dxa"/>
              <w:bottom w:w="100" w:type="dxa"/>
              <w:right w:w="120" w:type="dxa"/>
            </w:tcMar>
          </w:tcPr>
          <w:p>
            <w:r>
              <w:rPr/>
              <w:t xml:space="preserve">Frontend popup system.</w:t>
            </w:r>
          </w:p>
        </w:tc>
      </w:tr>
      <w:tr>
        <w:tc>
          <w:tcPr>
            <w:tcW w:w="1800" w:type="dxa"/>
            <w:tcMar>
              <w:top w:w="100" w:type="dxa"/>
              <w:left w:w="120" w:type="dxa"/>
              <w:bottom w:w="100" w:type="dxa"/>
              <w:right w:w="120" w:type="dxa"/>
            </w:tcMar>
          </w:tcPr>
          <w:p>
            <w:r>
              <w:rPr/>
              <w:t xml:space="preserve">Events</w:t>
            </w:r>
          </w:p>
        </w:tc>
        <w:tc>
          <w:tcPr>
            <w:tcW w:w="3600" w:type="dxa"/>
            <w:tcMar>
              <w:top w:w="100" w:type="dxa"/>
              <w:left w:w="120" w:type="dxa"/>
              <w:bottom w:w="100" w:type="dxa"/>
              <w:right w:w="120" w:type="dxa"/>
            </w:tcMar>
          </w:tcPr>
          <w:p>
            <w:r>
              <w:rPr/>
              <w:t xml:space="preserve">Training calendar events.</w:t>
            </w:r>
          </w:p>
        </w:tc>
        <w:tc>
          <w:tcPr>
            <w:tcW w:w="3960" w:type="dxa"/>
            <w:tcMar>
              <w:top w:w="100" w:type="dxa"/>
              <w:left w:w="120" w:type="dxa"/>
              <w:bottom w:w="100" w:type="dxa"/>
              <w:right w:w="120" w:type="dxa"/>
            </w:tcMar>
          </w:tcPr>
          <w:p>
            <w:r>
              <w:rPr/>
              <w:t xml:space="preserve">Events archive, single event pages, homepage events strip and iCal feed.</w:t>
            </w:r>
          </w:p>
        </w:tc>
      </w:tr>
      <w:tr>
        <w:tc>
          <w:tcPr>
            <w:tcW w:w="1800" w:type="dxa"/>
            <w:tcMar>
              <w:top w:w="100" w:type="dxa"/>
              <w:left w:w="120" w:type="dxa"/>
              <w:bottom w:w="100" w:type="dxa"/>
              <w:right w:w="120" w:type="dxa"/>
            </w:tcMar>
          </w:tcPr>
          <w:p>
            <w:r>
              <w:rPr/>
              <w:t xml:space="preserve">YouTube</w:t>
            </w:r>
          </w:p>
        </w:tc>
        <w:tc>
          <w:tcPr>
            <w:tcW w:w="3600" w:type="dxa"/>
            <w:tcMar>
              <w:top w:w="100" w:type="dxa"/>
              <w:left w:w="120" w:type="dxa"/>
              <w:bottom w:w="100" w:type="dxa"/>
              <w:right w:w="120" w:type="dxa"/>
            </w:tcMar>
          </w:tcPr>
          <w:p>
            <w:r>
              <w:rPr/>
              <w:t xml:space="preserve">Homepage video or livestream URL.</w:t>
            </w:r>
          </w:p>
        </w:tc>
        <w:tc>
          <w:tcPr>
            <w:tcW w:w="3960" w:type="dxa"/>
            <w:tcMar>
              <w:top w:w="100" w:type="dxa"/>
              <w:left w:w="120" w:type="dxa"/>
              <w:bottom w:w="100" w:type="dxa"/>
              <w:right w:w="120" w:type="dxa"/>
            </w:tcMar>
          </w:tcPr>
          <w:p>
            <w:r>
              <w:rPr/>
              <w:t xml:space="preserve">Homepage welcome/video block.</w:t>
            </w:r>
          </w:p>
        </w:tc>
      </w:tr>
      <w:tr>
        <w:tc>
          <w:tcPr>
            <w:tcW w:w="1800" w:type="dxa"/>
            <w:tcMar>
              <w:top w:w="100" w:type="dxa"/>
              <w:left w:w="120" w:type="dxa"/>
              <w:bottom w:w="100" w:type="dxa"/>
              <w:right w:w="120" w:type="dxa"/>
            </w:tcMar>
          </w:tcPr>
          <w:p>
            <w:r>
              <w:rPr/>
              <w:t xml:space="preserve">Counters</w:t>
            </w:r>
          </w:p>
        </w:tc>
        <w:tc>
          <w:tcPr>
            <w:tcW w:w="3600" w:type="dxa"/>
            <w:tcMar>
              <w:top w:w="100" w:type="dxa"/>
              <w:left w:w="120" w:type="dxa"/>
              <w:bottom w:w="100" w:type="dxa"/>
              <w:right w:w="120" w:type="dxa"/>
            </w:tcMar>
          </w:tcPr>
          <w:p>
            <w:r>
              <w:rPr/>
              <w:t xml:space="preserve">Four homepage statistics.</w:t>
            </w:r>
          </w:p>
        </w:tc>
        <w:tc>
          <w:tcPr>
            <w:tcW w:w="3960" w:type="dxa"/>
            <w:tcMar>
              <w:top w:w="100" w:type="dxa"/>
              <w:left w:w="120" w:type="dxa"/>
              <w:bottom w:w="100" w:type="dxa"/>
              <w:right w:w="120" w:type="dxa"/>
            </w:tcMar>
          </w:tcPr>
          <w:p>
            <w:r>
              <w:rPr/>
              <w:t xml:space="preserve">Homepage stats strip.</w:t>
            </w:r>
          </w:p>
        </w:tc>
      </w:tr>
      <w:tr>
        <w:tc>
          <w:tcPr>
            <w:tcW w:w="1800" w:type="dxa"/>
            <w:tcMar>
              <w:top w:w="100" w:type="dxa"/>
              <w:left w:w="120" w:type="dxa"/>
              <w:bottom w:w="100" w:type="dxa"/>
              <w:right w:w="120" w:type="dxa"/>
            </w:tcMar>
          </w:tcPr>
          <w:p>
            <w:r>
              <w:rPr/>
              <w:t xml:space="preserve">Appearance</w:t>
            </w:r>
          </w:p>
        </w:tc>
        <w:tc>
          <w:tcPr>
            <w:tcW w:w="3600" w:type="dxa"/>
            <w:tcMar>
              <w:top w:w="100" w:type="dxa"/>
              <w:left w:w="120" w:type="dxa"/>
              <w:bottom w:w="100" w:type="dxa"/>
              <w:right w:w="120" w:type="dxa"/>
            </w:tcMar>
          </w:tcPr>
          <w:p>
            <w:r>
              <w:rPr/>
              <w:t xml:space="preserve">Menus, Customizer and widgets.</w:t>
            </w:r>
          </w:p>
        </w:tc>
        <w:tc>
          <w:tcPr>
            <w:tcW w:w="3960" w:type="dxa"/>
            <w:tcMar>
              <w:top w:w="100" w:type="dxa"/>
              <w:left w:w="120" w:type="dxa"/>
              <w:bottom w:w="100" w:type="dxa"/>
              <w:right w:w="120" w:type="dxa"/>
            </w:tcMar>
          </w:tcPr>
          <w:p>
            <w:r>
              <w:rPr/>
              <w:t xml:space="preserve">Global navigation, footer, contact details and theme options.</w:t>
            </w:r>
          </w:p>
        </w:tc>
      </w:tr>
    </w:tbl>
    <w:p>
      <w:pPr>
        <w:pStyle w:val="Heading1"/>
        <w:keepNext/>
      </w:pPr>
      <w:r>
        <w:rPr/>
        <w:t xml:space="preserve">2. Managing the Homepage</w:t>
      </w:r>
    </w:p>
    <w:p>
      <w:pPr>
        <w:pStyle w:val="Heading2"/>
        <w:keepNext/>
      </w:pPr>
      <w:r>
        <w:rPr/>
        <w:t xml:space="preserve">2.1 Hero Slides</w:t>
      </w:r>
    </w:p>
    <w:p>
      <w:pPr/>
      <w:r>
        <w:rPr/>
        <w:t xml:space="preserve">The homepage carousel pulls up to five published Hero Slides. Slides are ordered by Page Attributes &gt; Order first, then by date descending when order values match.</w:t>
      </w:r>
    </w:p>
    <w:p>
      <w:pPr>
        <w:pStyle w:val="ListParagraph"/>
        <w:numPr>
          <w:ilvl w:val="0"/>
          <w:numId w:val="2"/>
        </w:numPr>
      </w:pPr>
      <w:r>
        <w:t xml:space="preserve">Open Hero Slides &gt; Add New.</w:t>
      </w:r>
    </w:p>
    <w:p>
      <w:pPr>
        <w:pStyle w:val="ListParagraph"/>
        <w:numPr>
          <w:ilvl w:val="0"/>
          <w:numId w:val="2"/>
        </w:numPr>
      </w:pPr>
      <w:r>
        <w:t xml:space="preserve">Enter an internal slide title. This helps administrators identify the slide.</w:t>
      </w:r>
    </w:p>
    <w:p>
      <w:pPr>
        <w:pStyle w:val="ListParagraph"/>
        <w:numPr>
          <w:ilvl w:val="0"/>
          <w:numId w:val="2"/>
        </w:numPr>
      </w:pPr>
      <w:r>
        <w:t xml:space="preserve">Set the Featured Image. Use a wide, high-quality banner image. The theme creates a 1920 x 960 hero image size.</w:t>
      </w:r>
    </w:p>
    <w:p>
      <w:pPr>
        <w:pStyle w:val="ListParagraph"/>
        <w:numPr>
          <w:ilvl w:val="0"/>
          <w:numId w:val="2"/>
        </w:numPr>
      </w:pPr>
      <w:r>
        <w:t xml:space="preserve">Complete Hero Slide Content: Subheading, Heading, Intro Text, Button Text and Button URL.</w:t>
      </w:r>
    </w:p>
    <w:p>
      <w:pPr>
        <w:pStyle w:val="ListParagraph"/>
        <w:numPr>
          <w:ilvl w:val="0"/>
          <w:numId w:val="2"/>
        </w:numPr>
      </w:pPr>
      <w:r>
        <w:t xml:space="preserve">Use Page Attributes &gt; Order to control slide order. Lower numbers appear first.</w:t>
      </w:r>
    </w:p>
    <w:p>
      <w:pPr>
        <w:pStyle w:val="ListParagraph"/>
        <w:numPr>
          <w:ilvl w:val="0"/>
          <w:numId w:val="2"/>
        </w:numPr>
      </w:pPr>
      <w:r>
        <w:t xml:space="preserve">Publish or Update the slide. View the homepage to confirm the image, text and button are clear.</w:t>
      </w:r>
    </w:p>
    <w:p>
      <w:pPr>
        <w:pStyle w:val="Heading2"/>
        <w:keepNext/>
      </w:pPr>
      <w:r>
        <w:rPr/>
        <w:t xml:space="preserve">2.2 YouTube and Livestream Block</w:t>
      </w:r>
    </w:p>
    <w:p>
      <w:pPr/>
      <w:r>
        <w:rPr/>
        <w:t xml:space="preserve">The YouTube admin screen controls the video embedded above the Video Messages section on the homepage. It accepts normal YouTube links, youtu.be links, Shorts links, embed links and channel live links.</w:t>
      </w:r>
    </w:p>
    <w:p>
      <w:pPr>
        <w:pStyle w:val="ListParagraph"/>
        <w:numPr>
          <w:ilvl w:val="0"/>
          <w:numId w:val="2"/>
        </w:numPr>
      </w:pPr>
      <w:r>
        <w:t xml:space="preserve">Open YouTube in the admin menu.</w:t>
      </w:r>
    </w:p>
    <w:p>
      <w:pPr>
        <w:pStyle w:val="ListParagraph"/>
        <w:numPr>
          <w:ilvl w:val="0"/>
          <w:numId w:val="2"/>
        </w:numPr>
      </w:pPr>
      <w:r>
        <w:t xml:space="preserve">Paste the YouTube URL.</w:t>
      </w:r>
    </w:p>
    <w:p>
      <w:pPr>
        <w:pStyle w:val="ListParagraph"/>
        <w:numPr>
          <w:ilvl w:val="0"/>
          <w:numId w:val="2"/>
        </w:numPr>
      </w:pPr>
      <w:r>
        <w:t xml:space="preserve">Tick This video is currently a live stream when the video is live. The homepage shows a live indicator.</w:t>
      </w:r>
    </w:p>
    <w:p>
      <w:pPr>
        <w:pStyle w:val="ListParagraph"/>
        <w:numPr>
          <w:ilvl w:val="0"/>
          <w:numId w:val="2"/>
        </w:numPr>
      </w:pPr>
      <w:r>
        <w:t xml:space="preserve">Save changes and check the homepage video block.</w:t>
      </w:r>
    </w:p>
    <w:p>
      <w:pPr>
        <w:pStyle w:val="Heading2"/>
        <w:keepNext/>
      </w:pPr>
      <w:r>
        <w:rPr/>
        <w:t xml:space="preserve">2.3 Homepage Counters</w:t>
      </w:r>
    </w:p>
    <w:p>
      <w:pPr/>
      <w:r>
        <w:rPr/>
        <w:t xml:space="preserve">The Counters menu controls the four homepage statistic blocks. Each counter has a Number and a Metric label. Defaults are 2010 Established, 15 Pacific Jurisdictions, 500 Officers Trained Annually, and 6 International Partners.</w:t>
      </w:r>
    </w:p>
    <w:p>
      <w:pPr>
        <w:pStyle w:val="Heading2"/>
        <w:keepNext/>
      </w:pPr>
      <w:r>
        <w:rPr/>
        <w:t xml:space="preserve">2.4 Homepage Content Blocks</w:t>
      </w:r>
    </w:p>
    <w:p>
      <w:pPr/>
      <w:r>
        <w:rPr/>
        <w:t xml:space="preserve">The homepage also includes welcome text, video message links, Quick Access tiles, Latest News, Upcoming Events, Three Key Objectives, International Partners, partner links and a Newsletter form. Most of these are driven by templates and theme settings; day-to-day dynamic areas are Hero Slides, YouTube, Counters, Posts, Events and the selected Newsletter form.</w:t>
      </w:r>
    </w:p>
    <w:p>
      <w:pPr>
        <w:pStyle w:val="Heading1"/>
        <w:keepNext/>
      </w:pPr>
      <w:r>
        <w:rPr/>
        <w:t xml:space="preserve">3. Posts - News and Updates</w:t>
      </w:r>
    </w:p>
    <w:p>
      <w:pPr>
        <w:pStyle w:val="ListParagraph"/>
        <w:numPr>
          <w:ilvl w:val="0"/>
          <w:numId w:val="2"/>
        </w:numPr>
      </w:pPr>
      <w:r>
        <w:t xml:space="preserve">Open Posts &gt; Add New.</w:t>
      </w:r>
    </w:p>
    <w:p>
      <w:pPr>
        <w:pStyle w:val="ListParagraph"/>
        <w:numPr>
          <w:ilvl w:val="0"/>
          <w:numId w:val="2"/>
        </w:numPr>
      </w:pPr>
      <w:r>
        <w:t xml:space="preserve">Enter the news headline as the title.</w:t>
      </w:r>
    </w:p>
    <w:p>
      <w:pPr>
        <w:pStyle w:val="ListParagraph"/>
        <w:numPr>
          <w:ilvl w:val="0"/>
          <w:numId w:val="2"/>
        </w:numPr>
      </w:pPr>
      <w:r>
        <w:t xml:space="preserve">Write the article in the editor. Use headings for long articles and keep paragraphs short.</w:t>
      </w:r>
    </w:p>
    <w:p>
      <w:pPr>
        <w:pStyle w:val="ListParagraph"/>
        <w:numPr>
          <w:ilvl w:val="0"/>
          <w:numId w:val="2"/>
        </w:numPr>
      </w:pPr>
      <w:r>
        <w:t xml:space="preserve">Choose or create a Category so visitors can browse related news.</w:t>
      </w:r>
    </w:p>
    <w:p>
      <w:pPr>
        <w:pStyle w:val="ListParagraph"/>
        <w:numPr>
          <w:ilvl w:val="0"/>
          <w:numId w:val="2"/>
        </w:numPr>
      </w:pPr>
      <w:r>
        <w:t xml:space="preserve">Set a Featured Image. This is used on news cards and the article page.</w:t>
      </w:r>
    </w:p>
    <w:p>
      <w:pPr>
        <w:pStyle w:val="ListParagraph"/>
        <w:numPr>
          <w:ilvl w:val="0"/>
          <w:numId w:val="2"/>
        </w:numPr>
      </w:pPr>
      <w:r>
        <w:t xml:space="preserve">Use Excerpt for a concise summary if the automatic excerpt is not ideal.</w:t>
      </w:r>
    </w:p>
    <w:p>
      <w:pPr>
        <w:pStyle w:val="ListParagraph"/>
        <w:numPr>
          <w:ilvl w:val="0"/>
          <w:numId w:val="2"/>
        </w:numPr>
      </w:pPr>
      <w:r>
        <w:t xml:space="preserve">Publish when ready. The newest published posts appear first on the News page and homepage.</w:t>
      </w:r>
    </w:p>
    <w:p>
      <w:pPr>
        <w:pStyle w:val="Heading1"/>
        <w:keepNext/>
      </w:pPr>
      <w:r>
        <w:rPr/>
        <w:t xml:space="preserve">4. Media Library</w:t>
      </w:r>
    </w:p>
    <w:p>
      <w:pPr/>
      <w:r>
        <w:rPr/>
        <w:t xml:space="preserve">Media stores all uploaded images and files. Use clear file names before upload, because file names can become part of URLs and accessibility labels. For PDFs, upload the file once and reuse it from the Media Library rather than uploading duplicates.</w:t>
      </w:r>
    </w:p>
    <w:p>
      <w:pPr>
        <w:pStyle w:val="ListParagraph"/>
        <w:numPr>
          <w:ilvl w:val="0"/>
          <w:numId w:val="1"/>
        </w:numPr>
      </w:pPr>
      <w:r>
        <w:t xml:space="preserve">Images for hero slides should be wide and high quality.</w:t>
      </w:r>
    </w:p>
    <w:p>
      <w:pPr>
        <w:pStyle w:val="ListParagraph"/>
        <w:numPr>
          <w:ilvl w:val="0"/>
          <w:numId w:val="1"/>
        </w:numPr>
      </w:pPr>
      <w:r>
        <w:t xml:space="preserve">Staff, board and program officer portraits should be clear, front-facing and consistently cropped.</w:t>
      </w:r>
    </w:p>
    <w:p>
      <w:pPr>
        <w:pStyle w:val="ListParagraph"/>
        <w:numPr>
          <w:ilvl w:val="0"/>
          <w:numId w:val="1"/>
        </w:numPr>
      </w:pPr>
      <w:r>
        <w:t xml:space="preserve">Resource PDFs should have readable names, correct file size and a matching Resource record.</w:t>
      </w:r>
    </w:p>
    <w:p>
      <w:pPr>
        <w:pStyle w:val="ListParagraph"/>
        <w:numPr>
          <w:ilvl w:val="0"/>
          <w:numId w:val="1"/>
        </w:numPr>
      </w:pPr>
      <w:r>
        <w:t xml:space="preserve">Event partner logos are selected through the event's Logo Carousel fields.</w:t>
      </w:r>
    </w:p>
    <w:p>
      <w:pPr>
        <w:pStyle w:val="Heading1"/>
        <w:keepNext/>
      </w:pPr>
      <w:r>
        <w:rPr/>
        <w:t xml:space="preserve">5. Pages and Page Templates</w:t>
      </w:r>
    </w:p>
    <w:p>
      <w:pPr/>
      <w:r>
        <w:rPr/>
        <w:t xml:space="preserve">Pages hold static sections of the website. Many important pages use dedicated templates so the layout stays consistent even when content is edited. Do not delete important pages unless a replacement has already been prepared.</w:t>
      </w:r>
    </w:p>
    <w:tbl>
      <w:tblPr>
        <w:tblW w:w="9360" w:type="dxa"/>
        <w:tblInd w:w="0" w:type="dxa"/>
        <w:tblBorders>
          <w:top w:val="single" w:sz="4" w:color="DADCE0"/>
          <w:left w:val="single" w:sz="4" w:color="DADCE0"/>
          <w:bottom w:val="single" w:sz="4" w:color="DADCE0"/>
          <w:right w:val="single" w:sz="4" w:color="DADCE0"/>
          <w:insideH w:val="single" w:sz="4" w:color="DADCE0"/>
          <w:insideV w:val="single" w:sz="4" w:color="DADCE0"/>
        </w:tblBorders>
        <w:tblLook w:firstRow="1" w:noHBand="0" w:noVBand="1"/>
      </w:tblPr>
      <w:tblGrid>
        <w:gridCol w:w="3000"/>
        <w:gridCol w:w="6360"/>
      </w:tblGrid>
      <w:tr>
        <w:tc>
          <w:tcPr>
            <w:tcW w:w="3000" w:type="dxa"/>
            <w:shd w:fill="EAF3EC"/>
            <w:tcMar>
              <w:top w:w="100" w:type="dxa"/>
              <w:left w:w="120" w:type="dxa"/>
              <w:bottom w:w="100" w:type="dxa"/>
              <w:right w:w="120" w:type="dxa"/>
            </w:tcMar>
          </w:tcPr>
          <w:p>
            <w:r>
              <w:rPr>
                <w:b/>
              </w:rPr>
              <w:t xml:space="preserve">Template</w:t>
            </w:r>
          </w:p>
        </w:tc>
        <w:tc>
          <w:tcPr>
            <w:tcW w:w="6360" w:type="dxa"/>
            <w:shd w:fill="EAF3EC"/>
            <w:tcMar>
              <w:top w:w="100" w:type="dxa"/>
              <w:left w:w="120" w:type="dxa"/>
              <w:bottom w:w="100" w:type="dxa"/>
              <w:right w:w="120" w:type="dxa"/>
            </w:tcMar>
          </w:tcPr>
          <w:p>
            <w:r>
              <w:rPr>
                <w:b/>
              </w:rPr>
              <w:t xml:space="preserve">Purpose</w:t>
            </w:r>
          </w:p>
        </w:tc>
      </w:tr>
      <w:tr>
        <w:tc>
          <w:tcPr>
            <w:tcW w:w="3000" w:type="dxa"/>
            <w:tcMar>
              <w:top w:w="100" w:type="dxa"/>
              <w:left w:w="120" w:type="dxa"/>
              <w:bottom w:w="100" w:type="dxa"/>
              <w:right w:w="120" w:type="dxa"/>
            </w:tcMar>
          </w:tcPr>
          <w:p>
            <w:r>
              <w:rPr/>
              <w:t xml:space="preserve">About Page</w:t>
            </w:r>
          </w:p>
        </w:tc>
        <w:tc>
          <w:tcPr>
            <w:tcW w:w="6360" w:type="dxa"/>
            <w:tcMar>
              <w:top w:w="100" w:type="dxa"/>
              <w:left w:w="120" w:type="dxa"/>
              <w:bottom w:w="100" w:type="dxa"/>
              <w:right w:w="120" w:type="dxa"/>
            </w:tcMar>
          </w:tcPr>
          <w:p>
            <w:r>
              <w:rPr/>
              <w:t xml:space="preserve">Institutional About page.</w:t>
            </w:r>
          </w:p>
        </w:tc>
      </w:tr>
      <w:tr>
        <w:tc>
          <w:tcPr>
            <w:tcW w:w="3000" w:type="dxa"/>
            <w:tcMar>
              <w:top w:w="100" w:type="dxa"/>
              <w:left w:w="120" w:type="dxa"/>
              <w:bottom w:w="100" w:type="dxa"/>
              <w:right w:w="120" w:type="dxa"/>
            </w:tcMar>
          </w:tcPr>
          <w:p>
            <w:r>
              <w:rPr/>
              <w:t xml:space="preserve">Governance</w:t>
            </w:r>
          </w:p>
        </w:tc>
        <w:tc>
          <w:tcPr>
            <w:tcW w:w="6360" w:type="dxa"/>
            <w:tcMar>
              <w:top w:w="100" w:type="dxa"/>
              <w:left w:w="120" w:type="dxa"/>
              <w:bottom w:w="100" w:type="dxa"/>
              <w:right w:w="120" w:type="dxa"/>
            </w:tcMar>
          </w:tcPr>
          <w:p>
            <w:r>
              <w:rPr/>
              <w:t xml:space="preserve">Governance framework and board membership.</w:t>
            </w:r>
          </w:p>
        </w:tc>
      </w:tr>
      <w:tr>
        <w:tc>
          <w:tcPr>
            <w:tcW w:w="3000" w:type="dxa"/>
            <w:tcMar>
              <w:top w:w="100" w:type="dxa"/>
              <w:left w:w="120" w:type="dxa"/>
              <w:bottom w:w="100" w:type="dxa"/>
              <w:right w:w="120" w:type="dxa"/>
            </w:tcMar>
          </w:tcPr>
          <w:p>
            <w:r>
              <w:rPr/>
              <w:t xml:space="preserve">Our Work Hub</w:t>
            </w:r>
          </w:p>
        </w:tc>
        <w:tc>
          <w:tcPr>
            <w:tcW w:w="6360" w:type="dxa"/>
            <w:tcMar>
              <w:top w:w="100" w:type="dxa"/>
              <w:left w:w="120" w:type="dxa"/>
              <w:bottom w:w="100" w:type="dxa"/>
              <w:right w:w="120" w:type="dxa"/>
            </w:tcMar>
          </w:tcPr>
          <w:p>
            <w:r>
              <w:rPr/>
              <w:t xml:space="preserve">Overview of PNGCJE program areas.</w:t>
            </w:r>
          </w:p>
        </w:tc>
      </w:tr>
      <w:tr>
        <w:tc>
          <w:tcPr>
            <w:tcW w:w="3000" w:type="dxa"/>
            <w:tcMar>
              <w:top w:w="100" w:type="dxa"/>
              <w:left w:w="120" w:type="dxa"/>
              <w:bottom w:w="100" w:type="dxa"/>
              <w:right w:w="120" w:type="dxa"/>
            </w:tcMar>
          </w:tcPr>
          <w:p>
            <w:r>
              <w:rPr/>
              <w:t xml:space="preserve">Staff Directory</w:t>
            </w:r>
          </w:p>
        </w:tc>
        <w:tc>
          <w:tcPr>
            <w:tcW w:w="6360" w:type="dxa"/>
            <w:tcMar>
              <w:top w:w="100" w:type="dxa"/>
              <w:left w:w="120" w:type="dxa"/>
              <w:bottom w:w="100" w:type="dxa"/>
              <w:right w:w="120" w:type="dxa"/>
            </w:tcMar>
          </w:tcPr>
          <w:p>
            <w:r>
              <w:rPr/>
              <w:t xml:space="preserve">Staff profiles, leadership grouping and department filter tabs.</w:t>
            </w:r>
          </w:p>
        </w:tc>
      </w:tr>
      <w:tr>
        <w:tc>
          <w:tcPr>
            <w:tcW w:w="3000" w:type="dxa"/>
            <w:tcMar>
              <w:top w:w="100" w:type="dxa"/>
              <w:left w:w="120" w:type="dxa"/>
              <w:bottom w:w="100" w:type="dxa"/>
              <w:right w:w="120" w:type="dxa"/>
            </w:tcMar>
          </w:tcPr>
          <w:p>
            <w:r>
              <w:rPr/>
              <w:t xml:space="preserve">Contact Page</w:t>
            </w:r>
          </w:p>
        </w:tc>
        <w:tc>
          <w:tcPr>
            <w:tcW w:w="6360" w:type="dxa"/>
            <w:tcMar>
              <w:top w:w="100" w:type="dxa"/>
              <w:left w:w="120" w:type="dxa"/>
              <w:bottom w:w="100" w:type="dxa"/>
              <w:right w:w="120" w:type="dxa"/>
            </w:tcMar>
          </w:tcPr>
          <w:p>
            <w:r>
              <w:rPr/>
              <w:t xml:space="preserve">Contact information and selected contact form.</w:t>
            </w:r>
          </w:p>
        </w:tc>
      </w:tr>
      <w:tr>
        <w:tc>
          <w:tcPr>
            <w:tcW w:w="3000" w:type="dxa"/>
            <w:tcMar>
              <w:top w:w="100" w:type="dxa"/>
              <w:left w:w="120" w:type="dxa"/>
              <w:bottom w:w="100" w:type="dxa"/>
              <w:right w:w="120" w:type="dxa"/>
            </w:tcMar>
          </w:tcPr>
          <w:p>
            <w:r>
              <w:rPr/>
              <w:t xml:space="preserve">Training Calendar</w:t>
            </w:r>
          </w:p>
        </w:tc>
        <w:tc>
          <w:tcPr>
            <w:tcW w:w="6360" w:type="dxa"/>
            <w:tcMar>
              <w:top w:w="100" w:type="dxa"/>
              <w:left w:w="120" w:type="dxa"/>
              <w:bottom w:w="100" w:type="dxa"/>
              <w:right w:w="120" w:type="dxa"/>
            </w:tcMar>
          </w:tcPr>
          <w:p>
            <w:r>
              <w:rPr/>
              <w:t xml:space="preserve">Events and training calendar entry point.</w:t>
            </w:r>
          </w:p>
        </w:tc>
      </w:tr>
      <w:tr>
        <w:tc>
          <w:tcPr>
            <w:tcW w:w="3000" w:type="dxa"/>
            <w:tcMar>
              <w:top w:w="100" w:type="dxa"/>
              <w:left w:w="120" w:type="dxa"/>
              <w:bottom w:w="100" w:type="dxa"/>
              <w:right w:w="120" w:type="dxa"/>
            </w:tcMar>
          </w:tcPr>
          <w:p>
            <w:r>
              <w:rPr/>
              <w:t xml:space="preserve">Resources Hub</w:t>
            </w:r>
          </w:p>
        </w:tc>
        <w:tc>
          <w:tcPr>
            <w:tcW w:w="6360" w:type="dxa"/>
            <w:tcMar>
              <w:top w:w="100" w:type="dxa"/>
              <w:left w:w="120" w:type="dxa"/>
              <w:bottom w:w="100" w:type="dxa"/>
              <w:right w:w="120" w:type="dxa"/>
            </w:tcMar>
          </w:tcPr>
          <w:p>
            <w:r>
              <w:rPr/>
              <w:t xml:space="preserve">Main resource library.</w:t>
            </w:r>
          </w:p>
        </w:tc>
      </w:tr>
      <w:tr>
        <w:tc>
          <w:tcPr>
            <w:tcW w:w="3000" w:type="dxa"/>
            <w:tcMar>
              <w:top w:w="100" w:type="dxa"/>
              <w:left w:w="120" w:type="dxa"/>
              <w:bottom w:w="100" w:type="dxa"/>
              <w:right w:w="120" w:type="dxa"/>
            </w:tcMar>
          </w:tcPr>
          <w:p>
            <w:r>
              <w:rPr/>
              <w:t xml:space="preserve">Bench Books, Judicial Handbook, Case Notes, CPD Lectures, ED Speeches, Prospectus, Lecture Series</w:t>
            </w:r>
          </w:p>
        </w:tc>
        <w:tc>
          <w:tcPr>
            <w:tcW w:w="6360" w:type="dxa"/>
            <w:tcMar>
              <w:top w:w="100" w:type="dxa"/>
              <w:left w:w="120" w:type="dxa"/>
              <w:bottom w:w="100" w:type="dxa"/>
              <w:right w:w="120" w:type="dxa"/>
            </w:tcMar>
          </w:tcPr>
          <w:p>
            <w:r>
              <w:rPr/>
              <w:t xml:space="preserve">Specialized resource landing pages connected to resource types.</w:t>
            </w:r>
          </w:p>
        </w:tc>
      </w:tr>
      <w:tr>
        <w:tc>
          <w:tcPr>
            <w:tcW w:w="3000" w:type="dxa"/>
            <w:tcMar>
              <w:top w:w="100" w:type="dxa"/>
              <w:left w:w="120" w:type="dxa"/>
              <w:bottom w:w="100" w:type="dxa"/>
              <w:right w:w="120" w:type="dxa"/>
            </w:tcMar>
          </w:tcPr>
          <w:p>
            <w:r>
              <w:rPr/>
              <w:t xml:space="preserve">Annual Reports</w:t>
            </w:r>
          </w:p>
        </w:tc>
        <w:tc>
          <w:tcPr>
            <w:tcW w:w="6360" w:type="dxa"/>
            <w:tcMar>
              <w:top w:w="100" w:type="dxa"/>
              <w:left w:w="120" w:type="dxa"/>
              <w:bottom w:w="100" w:type="dxa"/>
              <w:right w:w="120" w:type="dxa"/>
            </w:tcMar>
          </w:tcPr>
          <w:p>
            <w:r>
              <w:rPr/>
              <w:t xml:space="preserve">Annual report archive.</w:t>
            </w:r>
          </w:p>
        </w:tc>
      </w:tr>
      <w:tr>
        <w:tc>
          <w:tcPr>
            <w:tcW w:w="3000" w:type="dxa"/>
            <w:tcMar>
              <w:top w:w="100" w:type="dxa"/>
              <w:left w:w="120" w:type="dxa"/>
              <w:bottom w:w="100" w:type="dxa"/>
              <w:right w:w="120" w:type="dxa"/>
            </w:tcMar>
          </w:tcPr>
          <w:p>
            <w:r>
              <w:rPr/>
              <w:t xml:space="preserve">Newsletters</w:t>
            </w:r>
          </w:p>
        </w:tc>
        <w:tc>
          <w:tcPr>
            <w:tcW w:w="6360" w:type="dxa"/>
            <w:tcMar>
              <w:top w:w="100" w:type="dxa"/>
              <w:left w:w="120" w:type="dxa"/>
              <w:bottom w:w="100" w:type="dxa"/>
              <w:right w:w="120" w:type="dxa"/>
            </w:tcMar>
          </w:tcPr>
          <w:p>
            <w:r>
              <w:rPr/>
              <w:t xml:space="preserve">Published newsletters.</w:t>
            </w:r>
          </w:p>
        </w:tc>
      </w:tr>
      <w:tr>
        <w:tc>
          <w:tcPr>
            <w:tcW w:w="3000" w:type="dxa"/>
            <w:tcMar>
              <w:top w:w="100" w:type="dxa"/>
              <w:left w:w="120" w:type="dxa"/>
              <w:bottom w:w="100" w:type="dxa"/>
              <w:right w:w="120" w:type="dxa"/>
            </w:tcMar>
          </w:tcPr>
          <w:p>
            <w:r>
              <w:rPr/>
              <w:t xml:space="preserve">Pacific Centre</w:t>
            </w:r>
          </w:p>
        </w:tc>
        <w:tc>
          <w:tcPr>
            <w:tcW w:w="6360" w:type="dxa"/>
            <w:tcMar>
              <w:top w:w="100" w:type="dxa"/>
              <w:left w:w="120" w:type="dxa"/>
              <w:bottom w:w="100" w:type="dxa"/>
              <w:right w:w="120" w:type="dxa"/>
            </w:tcMar>
          </w:tcPr>
          <w:p>
            <w:r>
              <w:rPr/>
              <w:t xml:space="preserve">Pacific Island Centre for Judicial Excellence content and member countries.</w:t>
            </w:r>
          </w:p>
        </w:tc>
      </w:tr>
      <w:tr>
        <w:tc>
          <w:tcPr>
            <w:tcW w:w="3000" w:type="dxa"/>
            <w:tcMar>
              <w:top w:w="100" w:type="dxa"/>
              <w:left w:w="120" w:type="dxa"/>
              <w:bottom w:w="100" w:type="dxa"/>
              <w:right w:w="120" w:type="dxa"/>
            </w:tcMar>
          </w:tcPr>
          <w:p>
            <w:r>
              <w:rPr/>
              <w:t xml:space="preserve">Customer Service</w:t>
            </w:r>
          </w:p>
        </w:tc>
        <w:tc>
          <w:tcPr>
            <w:tcW w:w="6360" w:type="dxa"/>
            <w:tcMar>
              <w:top w:w="100" w:type="dxa"/>
              <w:left w:w="120" w:type="dxa"/>
              <w:bottom w:w="100" w:type="dxa"/>
              <w:right w:w="120" w:type="dxa"/>
            </w:tcMar>
          </w:tcPr>
          <w:p>
            <w:r>
              <w:rPr/>
              <w:t xml:space="preserve">Customer Service content and Program Officers.</w:t>
            </w:r>
          </w:p>
        </w:tc>
      </w:tr>
      <w:tr>
        <w:tc>
          <w:tcPr>
            <w:tcW w:w="3000" w:type="dxa"/>
            <w:tcMar>
              <w:top w:w="100" w:type="dxa"/>
              <w:left w:w="120" w:type="dxa"/>
              <w:bottom w:w="100" w:type="dxa"/>
              <w:right w:w="120" w:type="dxa"/>
            </w:tcMar>
          </w:tcPr>
          <w:p>
            <w:r>
              <w:rPr/>
              <w:t xml:space="preserve">Accessibility, Privacy Policy, Terms of Use, Sitemap</w:t>
            </w:r>
          </w:p>
        </w:tc>
        <w:tc>
          <w:tcPr>
            <w:tcW w:w="6360" w:type="dxa"/>
            <w:tcMar>
              <w:top w:w="100" w:type="dxa"/>
              <w:left w:w="120" w:type="dxa"/>
              <w:bottom w:w="100" w:type="dxa"/>
              <w:right w:w="120" w:type="dxa"/>
            </w:tcMar>
          </w:tcPr>
          <w:p>
            <w:r>
              <w:rPr/>
              <w:t xml:space="preserve">Compliance and utility pages.</w:t>
            </w:r>
          </w:p>
        </w:tc>
      </w:tr>
    </w:tbl>
    <w:p>
      <w:pPr>
        <w:pStyle w:val="Heading1"/>
        <w:keepNext/>
      </w:pPr>
      <w:r>
        <w:rPr/>
        <w:t xml:space="preserve">6. Resources and Publications</w:t>
      </w:r>
    </w:p>
    <w:p>
      <w:pPr/>
      <w:r>
        <w:rPr/>
        <w:t xml:space="preserve">Resources are managed as a custom Resource post type. They are grouped by Resource Type so the same system can serve Bench Books, Judicial Handbook, Case Notes, CPD Lectures, Executive Director Speeches, Prospectus, Lecture Series and Customer Service material.</w:t>
      </w:r>
    </w:p>
    <w:p>
      <w:pPr>
        <w:pStyle w:val="ListParagraph"/>
        <w:numPr>
          <w:ilvl w:val="0"/>
          <w:numId w:val="2"/>
        </w:numPr>
      </w:pPr>
      <w:r>
        <w:t xml:space="preserve">Open Resources &gt; Add New.</w:t>
      </w:r>
    </w:p>
    <w:p>
      <w:pPr>
        <w:pStyle w:val="ListParagraph"/>
        <w:numPr>
          <w:ilvl w:val="0"/>
          <w:numId w:val="2"/>
        </w:numPr>
      </w:pPr>
      <w:r>
        <w:t xml:space="preserve">Enter the resource title exactly as it should appear publicly.</w:t>
      </w:r>
    </w:p>
    <w:p>
      <w:pPr>
        <w:pStyle w:val="ListParagraph"/>
        <w:numPr>
          <w:ilvl w:val="0"/>
          <w:numId w:val="2"/>
        </w:numPr>
      </w:pPr>
      <w:r>
        <w:t xml:space="preserve">Add a short description in the editor or excerpt.</w:t>
      </w:r>
    </w:p>
    <w:p>
      <w:pPr>
        <w:pStyle w:val="ListParagraph"/>
        <w:numPr>
          <w:ilvl w:val="0"/>
          <w:numId w:val="2"/>
        </w:numPr>
      </w:pPr>
      <w:r>
        <w:t xml:space="preserve">Assign the correct Resource Type in the sidebar.</w:t>
      </w:r>
    </w:p>
    <w:p>
      <w:pPr>
        <w:pStyle w:val="ListParagraph"/>
        <w:numPr>
          <w:ilvl w:val="0"/>
          <w:numId w:val="2"/>
        </w:numPr>
      </w:pPr>
      <w:r>
        <w:t xml:space="preserve">Use Resource Details to add the File URL or choose Upload to select a Media Library file.</w:t>
      </w:r>
    </w:p>
    <w:p>
      <w:pPr>
        <w:pStyle w:val="ListParagraph"/>
        <w:numPr>
          <w:ilvl w:val="0"/>
          <w:numId w:val="2"/>
        </w:numPr>
      </w:pPr>
      <w:r>
        <w:t xml:space="preserve">Set Publication Year, File Type and File Size when known.</w:t>
      </w:r>
    </w:p>
    <w:p>
      <w:pPr>
        <w:pStyle w:val="ListParagraph"/>
        <w:numPr>
          <w:ilvl w:val="0"/>
          <w:numId w:val="2"/>
        </w:numPr>
      </w:pPr>
      <w:r>
        <w:t xml:space="preserve">Set Featured Image if the resource needs a cover or visual card.</w:t>
      </w:r>
    </w:p>
    <w:p>
      <w:pPr>
        <w:pStyle w:val="ListParagraph"/>
        <w:numPr>
          <w:ilvl w:val="0"/>
          <w:numId w:val="2"/>
        </w:numPr>
      </w:pPr>
      <w:r>
        <w:t xml:space="preserve">Publish and open the relevant public resource page to confirm it appears.</w:t>
      </w:r>
    </w:p>
    <w:p>
      <w:pPr>
        <w:pStyle w:val="Callout"/>
      </w:pPr>
      <w:r>
        <w:rPr>
          <w:b/>
          <w:color w:val="1A5C2A"/>
        </w:rPr>
        <w:t>Annual reports: </w:t>
      </w:r>
      <w:r>
        <w:t>Annual Reports have their own post type instead of being mixed with normal Resources. This keeps the Annual Reports page clean and prevents reports from appearing in ordinary resource library queries.</w:t>
      </w:r>
    </w:p>
    <w:p>
      <w:pPr/>
      <w:r>
        <w:rPr/>
        <w:t xml:space="preserve">The theme also handles legacy resource paths. For example, old handbook-style page paths can resolve to the correct resource taxonomy archive when the term exists.</w:t>
      </w:r>
    </w:p>
    <w:p>
      <w:pPr>
        <w:pStyle w:val="Heading1"/>
        <w:keepNext/>
      </w:pPr>
      <w:r>
        <w:rPr/>
        <w:t xml:space="preserve">7. Staff Members</w:t>
      </w:r>
    </w:p>
    <w:p>
      <w:pPr/>
      <w:r>
        <w:rPr/>
        <w:t xml:space="preserve">Staff Members power the Staff Directory. Staff are ordered by Page Attributes &gt; Order in ascending order. The Leadership group is shown first when the staff member is assigned to the department slug leadership; all other staff appear after leadership.</w:t>
      </w:r>
    </w:p>
    <w:p>
      <w:pPr>
        <w:pStyle w:val="ListParagraph"/>
        <w:numPr>
          <w:ilvl w:val="0"/>
          <w:numId w:val="2"/>
        </w:numPr>
      </w:pPr>
      <w:r>
        <w:t xml:space="preserve">Open Staff Members &gt; Add Staff Member.</w:t>
      </w:r>
    </w:p>
    <w:p>
      <w:pPr>
        <w:pStyle w:val="ListParagraph"/>
        <w:numPr>
          <w:ilvl w:val="0"/>
          <w:numId w:val="2"/>
        </w:numPr>
      </w:pPr>
      <w:r>
        <w:t xml:space="preserve">Use the person's full name as the title.</w:t>
      </w:r>
    </w:p>
    <w:p>
      <w:pPr>
        <w:pStyle w:val="ListParagraph"/>
        <w:numPr>
          <w:ilvl w:val="0"/>
          <w:numId w:val="2"/>
        </w:numPr>
      </w:pPr>
      <w:r>
        <w:t xml:space="preserve">Set Featured Image for the profile photo.</w:t>
      </w:r>
    </w:p>
    <w:p>
      <w:pPr>
        <w:pStyle w:val="ListParagraph"/>
        <w:numPr>
          <w:ilvl w:val="0"/>
          <w:numId w:val="2"/>
        </w:numPr>
      </w:pPr>
      <w:r>
        <w:t xml:space="preserve">Complete Staff Member Details: Job Title / Role, Email Address and Phone Number.</w:t>
      </w:r>
    </w:p>
    <w:p>
      <w:pPr>
        <w:pStyle w:val="ListParagraph"/>
        <w:numPr>
          <w:ilvl w:val="0"/>
          <w:numId w:val="2"/>
        </w:numPr>
      </w:pPr>
      <w:r>
        <w:t xml:space="preserve">Assign Department terms. Use leadership for Executive Team members.</w:t>
      </w:r>
    </w:p>
    <w:p>
      <w:pPr>
        <w:pStyle w:val="ListParagraph"/>
        <w:numPr>
          <w:ilvl w:val="0"/>
          <w:numId w:val="2"/>
        </w:numPr>
      </w:pPr>
      <w:r>
        <w:t xml:space="preserve">Use Page Attributes &gt; Order to control the order on the page. Lower numbers appear first.</w:t>
      </w:r>
    </w:p>
    <w:p>
      <w:pPr>
        <w:pStyle w:val="ListParagraph"/>
        <w:numPr>
          <w:ilvl w:val="0"/>
          <w:numId w:val="2"/>
        </w:numPr>
      </w:pPr>
      <w:r>
        <w:t xml:space="preserve">Publish and check the Staff page.</w:t>
      </w:r>
    </w:p>
    <w:p>
      <w:pPr>
        <w:pStyle w:val="Heading1"/>
        <w:keepNext/>
      </w:pPr>
      <w:r>
        <w:rPr/>
        <w:t xml:space="preserve">8. Board Members</w:t>
      </w:r>
    </w:p>
    <w:p>
      <w:pPr/>
      <w:r>
        <w:rPr/>
        <w:t xml:space="preserve">Board Members appear in the Board Membership section of the Governance page. They are ordered by Page Attributes &gt; Order first, then alphabetically by title when order values match.</w:t>
      </w:r>
    </w:p>
    <w:p>
      <w:pPr>
        <w:pStyle w:val="ListParagraph"/>
        <w:numPr>
          <w:ilvl w:val="0"/>
          <w:numId w:val="2"/>
        </w:numPr>
      </w:pPr>
      <w:r>
        <w:t xml:space="preserve">Open Board Members &gt; Add Board Member.</w:t>
      </w:r>
    </w:p>
    <w:p>
      <w:pPr>
        <w:pStyle w:val="ListParagraph"/>
        <w:numPr>
          <w:ilvl w:val="0"/>
          <w:numId w:val="2"/>
        </w:numPr>
      </w:pPr>
      <w:r>
        <w:t xml:space="preserve">Enter the member name as the title.</w:t>
      </w:r>
    </w:p>
    <w:p>
      <w:pPr>
        <w:pStyle w:val="ListParagraph"/>
        <w:numPr>
          <w:ilvl w:val="0"/>
          <w:numId w:val="2"/>
        </w:numPr>
      </w:pPr>
      <w:r>
        <w:t xml:space="preserve">Set the board member photo as Featured Image.</w:t>
      </w:r>
    </w:p>
    <w:p>
      <w:pPr>
        <w:pStyle w:val="ListParagraph"/>
        <w:numPr>
          <w:ilvl w:val="0"/>
          <w:numId w:val="2"/>
        </w:numPr>
      </w:pPr>
      <w:r>
        <w:t xml:space="preserve">Complete Board Member Details: Board Role / Position, Organisation / Representation, Email Address and Phone Number.</w:t>
      </w:r>
    </w:p>
    <w:p>
      <w:pPr>
        <w:pStyle w:val="ListParagraph"/>
        <w:numPr>
          <w:ilvl w:val="0"/>
          <w:numId w:val="2"/>
        </w:numPr>
      </w:pPr>
      <w:r>
        <w:t xml:space="preserve">Use the editor for biography or notes.</w:t>
      </w:r>
    </w:p>
    <w:p>
      <w:pPr>
        <w:pStyle w:val="ListParagraph"/>
        <w:numPr>
          <w:ilvl w:val="0"/>
          <w:numId w:val="2"/>
        </w:numPr>
      </w:pPr>
      <w:r>
        <w:t xml:space="preserve">Use Page Attributes &gt; Order to control display order. Lower numbers appear first.</w:t>
      </w:r>
    </w:p>
    <w:p>
      <w:pPr>
        <w:pStyle w:val="ListParagraph"/>
        <w:numPr>
          <w:ilvl w:val="0"/>
          <w:numId w:val="2"/>
        </w:numPr>
      </w:pPr>
      <w:r>
        <w:t xml:space="preserve">Publish and review /governance/.</w:t>
      </w:r>
    </w:p>
    <w:p>
      <w:pPr>
        <w:pStyle w:val="Heading1"/>
        <w:keepNext/>
      </w:pPr>
      <w:r>
        <w:rPr/>
        <w:t xml:space="preserve">9. Program Officers</w:t>
      </w:r>
    </w:p>
    <w:p>
      <w:pPr/>
      <w:r>
        <w:rPr/>
        <w:t xml:space="preserve">Program Officers support the Customer Service page. Each profile stores Program Area / Role, Email Address, Phone Number, photo and optional notes. Ordering is controlled by Page Attributes &gt; Order.</w:t>
      </w:r>
    </w:p>
    <w:p>
      <w:pPr>
        <w:pStyle w:val="Heading1"/>
        <w:keepNext/>
      </w:pPr>
      <w:r>
        <w:rPr/>
        <w:t xml:space="preserve">10. Pacific Members</w:t>
      </w:r>
    </w:p>
    <w:p>
      <w:pPr/>
      <w:r>
        <w:rPr/>
        <w:t xml:space="preserve">Pacific Members appear on the Pacific Centre page. Each entry can store a flag emoji, country name and optional link URL. Use Page Attributes &gt; Order to arrange countries.</w:t>
      </w:r>
    </w:p>
    <w:p>
      <w:pPr>
        <w:pStyle w:val="Heading1"/>
        <w:keepNext/>
      </w:pPr>
      <w:r>
        <w:rPr/>
        <w:t xml:space="preserve">11. Events and Training Calendar</w:t>
      </w:r>
    </w:p>
    <w:p>
      <w:pPr/>
      <w:r>
        <w:rPr/>
        <w:t xml:space="preserve">The theme includes a custom Events system. If The Events Calendar plugin is active, the theme can fall back gracefully to TEC for event output. Without TEC, PNGCJE Events handle the training calendar directly.</w:t>
      </w:r>
    </w:p>
    <w:p>
      <w:pPr>
        <w:pStyle w:val="ListParagraph"/>
        <w:numPr>
          <w:ilvl w:val="0"/>
          <w:numId w:val="2"/>
        </w:numPr>
      </w:pPr>
      <w:r>
        <w:t xml:space="preserve">Open Events &gt; Add New Event.</w:t>
      </w:r>
    </w:p>
    <w:p>
      <w:pPr>
        <w:pStyle w:val="ListParagraph"/>
        <w:numPr>
          <w:ilvl w:val="0"/>
          <w:numId w:val="2"/>
        </w:numPr>
      </w:pPr>
      <w:r>
        <w:t xml:space="preserve">Enter the event title and main description.</w:t>
      </w:r>
    </w:p>
    <w:p>
      <w:pPr>
        <w:pStyle w:val="ListParagraph"/>
        <w:numPr>
          <w:ilvl w:val="0"/>
          <w:numId w:val="2"/>
        </w:numPr>
      </w:pPr>
      <w:r>
        <w:t xml:space="preserve">Use Event Categories to group events.</w:t>
      </w:r>
    </w:p>
    <w:p>
      <w:pPr>
        <w:pStyle w:val="ListParagraph"/>
        <w:numPr>
          <w:ilvl w:val="0"/>
          <w:numId w:val="2"/>
        </w:numPr>
      </w:pPr>
      <w:r>
        <w:t xml:space="preserve">Complete Event Details: start date, start time, end date, end time, venue, city/location, address, organiser, organiser email, cost, website and status.</w:t>
      </w:r>
    </w:p>
    <w:p>
      <w:pPr>
        <w:pStyle w:val="ListParagraph"/>
        <w:numPr>
          <w:ilvl w:val="0"/>
          <w:numId w:val="2"/>
        </w:numPr>
      </w:pPr>
      <w:r>
        <w:t xml:space="preserve">Add Logo Carousel entries for Organised By, Supported By and Sponsored By. You may select logos or enter names.</w:t>
      </w:r>
    </w:p>
    <w:p>
      <w:pPr>
        <w:pStyle w:val="ListParagraph"/>
        <w:numPr>
          <w:ilvl w:val="0"/>
          <w:numId w:val="2"/>
        </w:numPr>
      </w:pPr>
      <w:r>
        <w:t xml:space="preserve">In Registration &amp; Capacity, enable the built-in registration form if needed.</w:t>
      </w:r>
    </w:p>
    <w:p>
      <w:pPr>
        <w:pStyle w:val="ListParagraph"/>
        <w:numPr>
          <w:ilvl w:val="0"/>
          <w:numId w:val="2"/>
        </w:numPr>
      </w:pPr>
      <w:r>
        <w:t xml:space="preserve">Enter a PNGCJE Form ID for registration or leave blank to use the default event registration form.</w:t>
      </w:r>
    </w:p>
    <w:p>
      <w:pPr>
        <w:pStyle w:val="ListParagraph"/>
        <w:numPr>
          <w:ilvl w:val="0"/>
          <w:numId w:val="2"/>
        </w:numPr>
      </w:pPr>
      <w:r>
        <w:t xml:space="preserve">Set capacity if required, or use an External Registration URL when registration happens on another site.</w:t>
      </w:r>
    </w:p>
    <w:p>
      <w:pPr>
        <w:pStyle w:val="ListParagraph"/>
        <w:numPr>
          <w:ilvl w:val="0"/>
          <w:numId w:val="2"/>
        </w:numPr>
      </w:pPr>
      <w:r>
        <w:t xml:space="preserve">Publish the event. The event date controls archive and homepage ordering.</w:t>
      </w:r>
    </w:p>
    <w:p>
      <w:pPr>
        <w:pStyle w:val="ListParagraph"/>
        <w:numPr>
          <w:ilvl w:val="0"/>
          <w:numId w:val="2"/>
        </w:numPr>
      </w:pPr>
      <w:r>
        <w:t xml:space="preserve">Use the iCal panel after publishing to copy the event link, download .ics, or add to Google Calendar.</w:t>
      </w:r>
    </w:p>
    <w:p>
      <w:pPr>
        <w:pStyle w:val="Callout"/>
      </w:pPr>
      <w:r>
        <w:rPr>
          <w:b/>
          <w:color w:val="1A5C2A"/>
        </w:rPr>
        <w:t>Ordering: </w:t>
      </w:r>
      <w:r>
        <w:t>Event lists are ordered by the saved event start timestamp, not by publish date. Upcoming events show future events first in ascending event date order.</w:t>
      </w:r>
    </w:p>
    <w:p>
      <w:pPr>
        <w:pStyle w:val="Heading1"/>
        <w:keepNext/>
      </w:pPr>
      <w:r>
        <w:rPr/>
        <w:t xml:space="preserve">12. Forms</w:t>
      </w:r>
    </w:p>
    <w:p>
      <w:pPr/>
      <w:r>
        <w:rPr/>
        <w:t xml:space="preserve">The PNGCJE Forms system is a custom form builder. Forms are embedded with shortcodes such as [pngcje_form id="124"]. Submissions are stored in WordPress and email notifications can be sent to administrators and submitters.</w:t>
      </w:r>
    </w:p>
    <w:p>
      <w:pPr>
        <w:pStyle w:val="Heading2"/>
        <w:keepNext/>
      </w:pPr>
      <w:r>
        <w:rPr/>
        <w:t xml:space="preserve">12.1 Building a Form</w:t>
      </w:r>
    </w:p>
    <w:p>
      <w:pPr>
        <w:pStyle w:val="ListParagraph"/>
        <w:numPr>
          <w:ilvl w:val="0"/>
          <w:numId w:val="2"/>
        </w:numPr>
      </w:pPr>
      <w:r>
        <w:t xml:space="preserve">Open Forms &gt; Add New Form.</w:t>
      </w:r>
    </w:p>
    <w:p>
      <w:pPr>
        <w:pStyle w:val="ListParagraph"/>
        <w:numPr>
          <w:ilvl w:val="0"/>
          <w:numId w:val="2"/>
        </w:numPr>
      </w:pPr>
      <w:r>
        <w:t xml:space="preserve">Enter the form name.</w:t>
      </w:r>
    </w:p>
    <w:p>
      <w:pPr>
        <w:pStyle w:val="ListParagraph"/>
        <w:numPr>
          <w:ilvl w:val="0"/>
          <w:numId w:val="2"/>
        </w:numPr>
      </w:pPr>
      <w:r>
        <w:t xml:space="preserve">Use Form Fields Builder to add fields. Available field types include Text, Email, Phone, Textarea, Dropdown, Radio Buttons, Checkboxes, Number, Date, File Upload, Hidden Field, H1 Heading, Section Heading, Paragraph, Divider and Line Break.</w:t>
      </w:r>
    </w:p>
    <w:p>
      <w:pPr>
        <w:pStyle w:val="ListParagraph"/>
        <w:numPr>
          <w:ilvl w:val="0"/>
          <w:numId w:val="2"/>
        </w:numPr>
      </w:pPr>
      <w:r>
        <w:t xml:space="preserve">Open each field row with Edit. Set the label, field key, width, placeholder, default value, options, help text and required setting.</w:t>
      </w:r>
    </w:p>
    <w:p>
      <w:pPr>
        <w:pStyle w:val="ListParagraph"/>
        <w:numPr>
          <w:ilvl w:val="0"/>
          <w:numId w:val="2"/>
        </w:numPr>
      </w:pPr>
      <w:r>
        <w:t xml:space="preserve">Use display elements such as headings, paragraph text, dividers and line breaks to make long forms readable.</w:t>
      </w:r>
    </w:p>
    <w:p>
      <w:pPr>
        <w:pStyle w:val="ListParagraph"/>
        <w:numPr>
          <w:ilvl w:val="0"/>
          <w:numId w:val="2"/>
        </w:numPr>
      </w:pPr>
      <w:r>
        <w:t xml:space="preserve">Drag rows to reorder fields.</w:t>
      </w:r>
    </w:p>
    <w:p>
      <w:pPr>
        <w:pStyle w:val="ListParagraph"/>
        <w:numPr>
          <w:ilvl w:val="0"/>
          <w:numId w:val="2"/>
        </w:numPr>
      </w:pPr>
      <w:r>
        <w:t xml:space="preserve">Use Form Settings for notification email, subject, success message or redirect, auto-reply, submit label, layout and visual styling.</w:t>
      </w:r>
    </w:p>
    <w:p>
      <w:pPr>
        <w:pStyle w:val="ListParagraph"/>
        <w:numPr>
          <w:ilvl w:val="0"/>
          <w:numId w:val="2"/>
        </w:numPr>
      </w:pPr>
      <w:r>
        <w:t xml:space="preserve">Copy the shortcode from the Shortcode box and place it in a page, popup or event registration setting.</w:t>
      </w:r>
    </w:p>
    <w:p>
      <w:pPr>
        <w:pStyle w:val="Heading2"/>
        <w:keepNext/>
      </w:pPr>
      <w:r>
        <w:rPr/>
        <w:t xml:space="preserve">12.2 Form Settings Explained</w:t>
      </w:r>
    </w:p>
    <w:tbl>
      <w:tblPr>
        <w:tblW w:w="9360" w:type="dxa"/>
        <w:tblInd w:w="0" w:type="dxa"/>
        <w:tblBorders>
          <w:top w:val="single" w:sz="4" w:color="DADCE0"/>
          <w:left w:val="single" w:sz="4" w:color="DADCE0"/>
          <w:bottom w:val="single" w:sz="4" w:color="DADCE0"/>
          <w:right w:val="single" w:sz="4" w:color="DADCE0"/>
          <w:insideH w:val="single" w:sz="4" w:color="DADCE0"/>
          <w:insideV w:val="single" w:sz="4" w:color="DADCE0"/>
        </w:tblBorders>
        <w:tblLook w:firstRow="1" w:noHBand="0" w:noVBand="1"/>
      </w:tblPr>
      <w:tblGrid>
        <w:gridCol w:w="2400"/>
        <w:gridCol w:w="6960"/>
      </w:tblGrid>
      <w:tr>
        <w:tc>
          <w:tcPr>
            <w:tcW w:w="2400" w:type="dxa"/>
            <w:shd w:fill="EAF3EC"/>
            <w:tcMar>
              <w:top w:w="100" w:type="dxa"/>
              <w:left w:w="120" w:type="dxa"/>
              <w:bottom w:w="100" w:type="dxa"/>
              <w:right w:w="120" w:type="dxa"/>
            </w:tcMar>
          </w:tcPr>
          <w:p>
            <w:r>
              <w:rPr>
                <w:b/>
              </w:rPr>
              <w:t xml:space="preserve">Setting area</w:t>
            </w:r>
          </w:p>
        </w:tc>
        <w:tc>
          <w:tcPr>
            <w:tcW w:w="6960" w:type="dxa"/>
            <w:shd w:fill="EAF3EC"/>
            <w:tcMar>
              <w:top w:w="100" w:type="dxa"/>
              <w:left w:w="120" w:type="dxa"/>
              <w:bottom w:w="100" w:type="dxa"/>
              <w:right w:w="120" w:type="dxa"/>
            </w:tcMar>
          </w:tcPr>
          <w:p>
            <w:r>
              <w:rPr>
                <w:b/>
              </w:rPr>
              <w:t xml:space="preserve">What it controls</w:t>
            </w:r>
          </w:p>
        </w:tc>
      </w:tr>
      <w:tr>
        <w:tc>
          <w:tcPr>
            <w:tcW w:w="2400" w:type="dxa"/>
            <w:tcMar>
              <w:top w:w="100" w:type="dxa"/>
              <w:left w:w="120" w:type="dxa"/>
              <w:bottom w:w="100" w:type="dxa"/>
              <w:right w:w="120" w:type="dxa"/>
            </w:tcMar>
          </w:tcPr>
          <w:p>
            <w:r>
              <w:rPr/>
              <w:t xml:space="preserve">Notifications</w:t>
            </w:r>
          </w:p>
        </w:tc>
        <w:tc>
          <w:tcPr>
            <w:tcW w:w="6960" w:type="dxa"/>
            <w:tcMar>
              <w:top w:w="100" w:type="dxa"/>
              <w:left w:w="120" w:type="dxa"/>
              <w:bottom w:w="100" w:type="dxa"/>
              <w:right w:w="120" w:type="dxa"/>
            </w:tcMar>
          </w:tcPr>
          <w:p>
            <w:r>
              <w:rPr/>
              <w:t xml:space="preserve">Admin recipient email addresses and email subject.</w:t>
            </w:r>
          </w:p>
        </w:tc>
      </w:tr>
      <w:tr>
        <w:tc>
          <w:tcPr>
            <w:tcW w:w="2400" w:type="dxa"/>
            <w:tcMar>
              <w:top w:w="100" w:type="dxa"/>
              <w:left w:w="120" w:type="dxa"/>
              <w:bottom w:w="100" w:type="dxa"/>
              <w:right w:w="120" w:type="dxa"/>
            </w:tcMar>
          </w:tcPr>
          <w:p>
            <w:r>
              <w:rPr/>
              <w:t xml:space="preserve">After Submission</w:t>
            </w:r>
          </w:p>
        </w:tc>
        <w:tc>
          <w:tcPr>
            <w:tcW w:w="6960" w:type="dxa"/>
            <w:tcMar>
              <w:top w:w="100" w:type="dxa"/>
              <w:left w:w="120" w:type="dxa"/>
              <w:bottom w:w="100" w:type="dxa"/>
              <w:right w:w="120" w:type="dxa"/>
            </w:tcMar>
          </w:tcPr>
          <w:p>
            <w:r>
              <w:rPr/>
              <w:t xml:space="preserve">Show a success message or redirect to a URL.</w:t>
            </w:r>
          </w:p>
        </w:tc>
      </w:tr>
      <w:tr>
        <w:tc>
          <w:tcPr>
            <w:tcW w:w="2400" w:type="dxa"/>
            <w:tcMar>
              <w:top w:w="100" w:type="dxa"/>
              <w:left w:w="120" w:type="dxa"/>
              <w:bottom w:w="100" w:type="dxa"/>
              <w:right w:w="120" w:type="dxa"/>
            </w:tcMar>
          </w:tcPr>
          <w:p>
            <w:r>
              <w:rPr/>
              <w:t xml:space="preserve">Auto-reply to Submitter</w:t>
            </w:r>
          </w:p>
        </w:tc>
        <w:tc>
          <w:tcPr>
            <w:tcW w:w="6960" w:type="dxa"/>
            <w:tcMar>
              <w:top w:w="100" w:type="dxa"/>
              <w:left w:w="120" w:type="dxa"/>
              <w:bottom w:w="100" w:type="dxa"/>
              <w:right w:w="120" w:type="dxa"/>
            </w:tcMar>
          </w:tcPr>
          <w:p>
            <w:r>
              <w:rPr/>
              <w:t xml:space="preserve">Optional confirmation email when the form includes an Email field.</w:t>
            </w:r>
          </w:p>
        </w:tc>
      </w:tr>
      <w:tr>
        <w:tc>
          <w:tcPr>
            <w:tcW w:w="2400" w:type="dxa"/>
            <w:tcMar>
              <w:top w:w="100" w:type="dxa"/>
              <w:left w:w="120" w:type="dxa"/>
              <w:bottom w:w="100" w:type="dxa"/>
              <w:right w:w="120" w:type="dxa"/>
            </w:tcMar>
          </w:tcPr>
          <w:p>
            <w:r>
              <w:rPr/>
              <w:t xml:space="preserve">Form Appearance</w:t>
            </w:r>
          </w:p>
        </w:tc>
        <w:tc>
          <w:tcPr>
            <w:tcW w:w="6960" w:type="dxa"/>
            <w:tcMar>
              <w:top w:w="100" w:type="dxa"/>
              <w:left w:w="120" w:type="dxa"/>
              <w:bottom w:w="100" w:type="dxa"/>
              <w:right w:w="120" w:type="dxa"/>
            </w:tcMar>
          </w:tcPr>
          <w:p>
            <w:r>
              <w:rPr/>
              <w:t xml:space="preserve">Submit label, button width, alignment, button color, layout, form style, background, outline, corner radius and padding.</w:t>
            </w:r>
          </w:p>
        </w:tc>
      </w:tr>
      <w:tr>
        <w:tc>
          <w:tcPr>
            <w:tcW w:w="2400" w:type="dxa"/>
            <w:tcMar>
              <w:top w:w="100" w:type="dxa"/>
              <w:left w:w="120" w:type="dxa"/>
              <w:bottom w:w="100" w:type="dxa"/>
              <w:right w:w="120" w:type="dxa"/>
            </w:tcMar>
          </w:tcPr>
          <w:p>
            <w:r>
              <w:rPr/>
              <w:t xml:space="preserve">Default Field Appearance</w:t>
            </w:r>
          </w:p>
        </w:tc>
        <w:tc>
          <w:tcPr>
            <w:tcW w:w="6960" w:type="dxa"/>
            <w:tcMar>
              <w:top w:w="100" w:type="dxa"/>
              <w:left w:w="120" w:type="dxa"/>
              <w:bottom w:w="100" w:type="dxa"/>
              <w:right w:w="120" w:type="dxa"/>
            </w:tcMar>
          </w:tcPr>
          <w:p>
            <w:r>
              <w:rPr/>
              <w:t xml:space="preserve">Default input style for all fields, with per-field overrides.</w:t>
            </w:r>
          </w:p>
        </w:tc>
      </w:tr>
    </w:tbl>
    <w:p>
      <w:pPr/>
      <w:r>
        <w:rPr/>
        <w:t xml:space="preserve">Forms include nonce protection, honeypot protection, AJAX submission and non-JavaScript fallback submission. Submissions can be filtered by form from the Forms dashboard.</w:t>
      </w:r>
    </w:p>
    <w:p>
      <w:pPr>
        <w:pStyle w:val="Heading1"/>
        <w:keepNext/>
      </w:pPr>
      <w:r>
        <w:rPr/>
        <w:t xml:space="preserve">13. Newsletter</w:t>
      </w:r>
    </w:p>
    <w:p>
      <w:pPr/>
      <w:r>
        <w:rPr/>
        <w:t xml:space="preserve">The Newsletter system manages newsletter issues, subscribers and send history. Published newsletters can be emailed automatically to active subscribers when first published.</w:t>
      </w:r>
    </w:p>
    <w:p>
      <w:pPr>
        <w:pStyle w:val="ListParagraph"/>
        <w:numPr>
          <w:ilvl w:val="0"/>
          <w:numId w:val="2"/>
        </w:numPr>
      </w:pPr>
      <w:r>
        <w:t xml:space="preserve">Open Newsletter &gt; Add New.</w:t>
      </w:r>
    </w:p>
    <w:p>
      <w:pPr>
        <w:pStyle w:val="ListParagraph"/>
        <w:numPr>
          <w:ilvl w:val="0"/>
          <w:numId w:val="2"/>
        </w:numPr>
      </w:pPr>
      <w:r>
        <w:t xml:space="preserve">Enter the newsletter title.</w:t>
      </w:r>
    </w:p>
    <w:p>
      <w:pPr>
        <w:pStyle w:val="ListParagraph"/>
        <w:numPr>
          <w:ilvl w:val="0"/>
          <w:numId w:val="2"/>
        </w:numPr>
      </w:pPr>
      <w:r>
        <w:t xml:space="preserve">Add newsletter content in the editor.</w:t>
      </w:r>
    </w:p>
    <w:p>
      <w:pPr>
        <w:pStyle w:val="ListParagraph"/>
        <w:numPr>
          <w:ilvl w:val="0"/>
          <w:numId w:val="2"/>
        </w:numPr>
      </w:pPr>
      <w:r>
        <w:t xml:space="preserve">Set Featured Image as the newsletter cover.</w:t>
      </w:r>
    </w:p>
    <w:p>
      <w:pPr>
        <w:pStyle w:val="ListParagraph"/>
        <w:numPr>
          <w:ilvl w:val="0"/>
          <w:numId w:val="2"/>
        </w:numPr>
      </w:pPr>
      <w:r>
        <w:t xml:space="preserve">Complete Newsletter Details: Year, Issue Number and Volume Number.</w:t>
      </w:r>
    </w:p>
    <w:p>
      <w:pPr>
        <w:pStyle w:val="ListParagraph"/>
        <w:numPr>
          <w:ilvl w:val="0"/>
          <w:numId w:val="2"/>
        </w:numPr>
      </w:pPr>
      <w:r>
        <w:t xml:space="preserve">Use Newsletter Downloads for downloadable PDF or file links. Enter one per line as Label | URL.</w:t>
      </w:r>
    </w:p>
    <w:p>
      <w:pPr>
        <w:pStyle w:val="ListParagraph"/>
        <w:numPr>
          <w:ilvl w:val="0"/>
          <w:numId w:val="2"/>
        </w:numPr>
      </w:pPr>
      <w:r>
        <w:t xml:space="preserve">Publish. On first publish, the newsletter is emailed to active subscribers and send counts are stored.</w:t>
      </w:r>
    </w:p>
    <w:p>
      <w:pPr/>
      <w:r>
        <w:rPr/>
        <w:t xml:space="preserve">Subscribers can be added manually under Newsletter &gt; Subscribers. Subscriber records store email, first name, last name, status and source. Newsletter subscription form submissions are captured automatically when the configured form or page indicates newsletter signup.</w:t>
      </w:r>
    </w:p>
    <w:p>
      <w:pPr>
        <w:pStyle w:val="Heading1"/>
        <w:keepNext/>
      </w:pPr>
      <w:r>
        <w:rPr/>
        <w:t xml:space="preserve">14. Popups</w:t>
      </w:r>
    </w:p>
    <w:p>
      <w:pPr/>
      <w:r>
        <w:rPr/>
        <w:t xml:space="preserve">Popups are used for modal notices, event promotions, position vacancies and focused calls to action. The Popup Maker plugin can coexist; if it is active, the theme disables its own popup output to avoid duplicates.</w:t>
      </w:r>
    </w:p>
    <w:p>
      <w:pPr>
        <w:pStyle w:val="ListParagraph"/>
        <w:numPr>
          <w:ilvl w:val="0"/>
          <w:numId w:val="2"/>
        </w:numPr>
      </w:pPr>
      <w:r>
        <w:t xml:space="preserve">Open Popups &gt; Add New.</w:t>
      </w:r>
    </w:p>
    <w:p>
      <w:pPr>
        <w:pStyle w:val="ListParagraph"/>
        <w:numPr>
          <w:ilvl w:val="0"/>
          <w:numId w:val="2"/>
        </w:numPr>
      </w:pPr>
      <w:r>
        <w:t xml:space="preserve">Enter the popup title and edit the main popup content in the WordPress editor.</w:t>
      </w:r>
    </w:p>
    <w:p>
      <w:pPr>
        <w:pStyle w:val="ListParagraph"/>
        <w:numPr>
          <w:ilvl w:val="0"/>
          <w:numId w:val="2"/>
        </w:numPr>
      </w:pPr>
      <w:r>
        <w:t xml:space="preserve">In Popup Settings, keep Popup is Active ticked only when the notice should appear.</w:t>
      </w:r>
    </w:p>
    <w:p>
      <w:pPr>
        <w:pStyle w:val="ListParagraph"/>
        <w:numPr>
          <w:ilvl w:val="0"/>
          <w:numId w:val="2"/>
        </w:numPr>
      </w:pPr>
      <w:r>
        <w:t xml:space="preserve">Choose trigger: Page Load, Exit Intent, Scroll Depth, On Click or Manual.</w:t>
      </w:r>
    </w:p>
    <w:p>
      <w:pPr>
        <w:pStyle w:val="ListParagraph"/>
        <w:numPr>
          <w:ilvl w:val="0"/>
          <w:numId w:val="2"/>
        </w:numPr>
      </w:pPr>
      <w:r>
        <w:t xml:space="preserve">Choose display condition: All Pages, Front Page Only, Specific Page/Post, Specific Post Type or Events Pages.</w:t>
      </w:r>
    </w:p>
    <w:p>
      <w:pPr>
        <w:pStyle w:val="ListParagraph"/>
        <w:numPr>
          <w:ilvl w:val="0"/>
          <w:numId w:val="2"/>
        </w:numPr>
      </w:pPr>
      <w:r>
        <w:t xml:space="preserve">Choose frequency: once per session, once per day, once per week, every page load or once ever.</w:t>
      </w:r>
    </w:p>
    <w:p>
      <w:pPr>
        <w:pStyle w:val="ListParagraph"/>
        <w:numPr>
          <w:ilvl w:val="0"/>
          <w:numId w:val="2"/>
        </w:numPr>
      </w:pPr>
      <w:r>
        <w:t xml:space="preserve">Choose close behaviour: close button and overlay click.</w:t>
      </w:r>
    </w:p>
    <w:p>
      <w:pPr>
        <w:pStyle w:val="ListParagraph"/>
        <w:numPr>
          <w:ilvl w:val="0"/>
          <w:numId w:val="2"/>
        </w:numPr>
      </w:pPr>
      <w:r>
        <w:t xml:space="preserve">In Design &amp; Style, set width, height, position, theme, animation, overlay and blur.</w:t>
      </w:r>
    </w:p>
    <w:p>
      <w:pPr>
        <w:pStyle w:val="ListParagraph"/>
        <w:numPr>
          <w:ilvl w:val="0"/>
          <w:numId w:val="2"/>
        </w:numPr>
      </w:pPr>
      <w:r>
        <w:t xml:space="preserve">Use the preview box to check content before publishing.</w:t>
      </w:r>
    </w:p>
    <w:p>
      <w:pPr/>
      <w:r>
        <w:rPr/>
        <w:t xml:space="preserve">A form can be embedded inside a popup with [pngcje_form id="1"]. Manual popups can be opened with [pngcje_popup_trigger id="N" label="Open"].</w:t>
      </w:r>
    </w:p>
    <w:p>
      <w:pPr>
        <w:pStyle w:val="Heading1"/>
        <w:keepNext/>
      </w:pPr>
      <w:r>
        <w:rPr/>
        <w:t xml:space="preserve">15. Appearance, Menus and Customizer</w:t>
      </w:r>
    </w:p>
    <w:p>
      <w:pPr>
        <w:pStyle w:val="Heading2"/>
        <w:keepNext/>
      </w:pPr>
      <w:r>
        <w:rPr/>
        <w:t xml:space="preserve">15.1 Menus</w:t>
      </w:r>
    </w:p>
    <w:p>
      <w:pPr/>
      <w:r>
        <w:rPr/>
        <w:t xml:space="preserve">The theme registers six menu locations: Primary Navigation, Pacific Centre Menu, Footer: Quick Links, Footer: Our Work, Footer: Pacific and Top Bar Links. Manage them under Appearance &gt; Menus.</w:t>
      </w:r>
    </w:p>
    <w:p>
      <w:pPr>
        <w:pStyle w:val="Heading2"/>
        <w:keepNext/>
      </w:pPr>
      <w:r>
        <w:rPr/>
        <w:t xml:space="preserve">15.2 Customizer</w:t>
      </w:r>
    </w:p>
    <w:p>
      <w:pPr/>
      <w:r>
        <w:rPr/>
        <w:t xml:space="preserve">Appearance &gt; Customize &gt; PNGCJE Theme Settings contains key global settings.</w:t>
      </w:r>
    </w:p>
    <w:tbl>
      <w:tblPr>
        <w:tblW w:w="9360" w:type="dxa"/>
        <w:tblInd w:w="0" w:type="dxa"/>
        <w:tblBorders>
          <w:top w:val="single" w:sz="4" w:color="DADCE0"/>
          <w:left w:val="single" w:sz="4" w:color="DADCE0"/>
          <w:bottom w:val="single" w:sz="4" w:color="DADCE0"/>
          <w:right w:val="single" w:sz="4" w:color="DADCE0"/>
          <w:insideH w:val="single" w:sz="4" w:color="DADCE0"/>
          <w:insideV w:val="single" w:sz="4" w:color="DADCE0"/>
        </w:tblBorders>
        <w:tblLook w:firstRow="1" w:noHBand="0" w:noVBand="1"/>
      </w:tblPr>
      <w:tblGrid>
        <w:gridCol w:w="2600"/>
        <w:gridCol w:w="6760"/>
      </w:tblGrid>
      <w:tr>
        <w:tc>
          <w:tcPr>
            <w:tcW w:w="2600" w:type="dxa"/>
            <w:shd w:fill="EAF3EC"/>
            <w:tcMar>
              <w:top w:w="100" w:type="dxa"/>
              <w:left w:w="120" w:type="dxa"/>
              <w:bottom w:w="100" w:type="dxa"/>
              <w:right w:w="120" w:type="dxa"/>
            </w:tcMar>
          </w:tcPr>
          <w:p>
            <w:r>
              <w:rPr>
                <w:b/>
              </w:rPr>
              <w:t xml:space="preserve">Customizer section</w:t>
            </w:r>
          </w:p>
        </w:tc>
        <w:tc>
          <w:tcPr>
            <w:tcW w:w="6760" w:type="dxa"/>
            <w:shd w:fill="EAF3EC"/>
            <w:tcMar>
              <w:top w:w="100" w:type="dxa"/>
              <w:left w:w="120" w:type="dxa"/>
              <w:bottom w:w="100" w:type="dxa"/>
              <w:right w:w="120" w:type="dxa"/>
            </w:tcMar>
          </w:tcPr>
          <w:p>
            <w:r>
              <w:rPr>
                <w:b/>
              </w:rPr>
              <w:t xml:space="preserve">Fields</w:t>
            </w:r>
          </w:p>
        </w:tc>
      </w:tr>
      <w:tr>
        <w:tc>
          <w:tcPr>
            <w:tcW w:w="2600" w:type="dxa"/>
            <w:tcMar>
              <w:top w:w="100" w:type="dxa"/>
              <w:left w:w="120" w:type="dxa"/>
              <w:bottom w:w="100" w:type="dxa"/>
              <w:right w:w="120" w:type="dxa"/>
            </w:tcMar>
          </w:tcPr>
          <w:p>
            <w:r>
              <w:rPr/>
              <w:t xml:space="preserve">Announcement Bar</w:t>
            </w:r>
          </w:p>
        </w:tc>
        <w:tc>
          <w:tcPr>
            <w:tcW w:w="6760" w:type="dxa"/>
            <w:tcMar>
              <w:top w:w="100" w:type="dxa"/>
              <w:left w:w="120" w:type="dxa"/>
              <w:bottom w:w="100" w:type="dxa"/>
              <w:right w:w="120" w:type="dxa"/>
            </w:tcMar>
          </w:tcPr>
          <w:p>
            <w:r>
              <w:rPr/>
              <w:t xml:space="preserve">Show Announcement Bar, Announcement Text and Announcement Link URL.</w:t>
            </w:r>
          </w:p>
        </w:tc>
      </w:tr>
      <w:tr>
        <w:tc>
          <w:tcPr>
            <w:tcW w:w="2600" w:type="dxa"/>
            <w:tcMar>
              <w:top w:w="100" w:type="dxa"/>
              <w:left w:w="120" w:type="dxa"/>
              <w:bottom w:w="100" w:type="dxa"/>
              <w:right w:w="120" w:type="dxa"/>
            </w:tcMar>
          </w:tcPr>
          <w:p>
            <w:r>
              <w:rPr/>
              <w:t xml:space="preserve">Homepage Hero</w:t>
            </w:r>
          </w:p>
        </w:tc>
        <w:tc>
          <w:tcPr>
            <w:tcW w:w="6760" w:type="dxa"/>
            <w:tcMar>
              <w:top w:w="100" w:type="dxa"/>
              <w:left w:w="120" w:type="dxa"/>
              <w:bottom w:w="100" w:type="dxa"/>
              <w:right w:w="120" w:type="dxa"/>
            </w:tcMar>
          </w:tcPr>
          <w:p>
            <w:r>
              <w:rPr/>
              <w:t xml:space="preserve">Legacy hero title and subtitle settings, retained for theme compatibility.</w:t>
            </w:r>
          </w:p>
        </w:tc>
      </w:tr>
      <w:tr>
        <w:tc>
          <w:tcPr>
            <w:tcW w:w="2600" w:type="dxa"/>
            <w:tcMar>
              <w:top w:w="100" w:type="dxa"/>
              <w:left w:w="120" w:type="dxa"/>
              <w:bottom w:w="100" w:type="dxa"/>
              <w:right w:w="120" w:type="dxa"/>
            </w:tcMar>
          </w:tcPr>
          <w:p>
            <w:r>
              <w:rPr/>
              <w:t xml:space="preserve">Forms</w:t>
            </w:r>
          </w:p>
        </w:tc>
        <w:tc>
          <w:tcPr>
            <w:tcW w:w="6760" w:type="dxa"/>
            <w:tcMar>
              <w:top w:w="100" w:type="dxa"/>
              <w:left w:w="120" w:type="dxa"/>
              <w:bottom w:w="100" w:type="dxa"/>
              <w:right w:w="120" w:type="dxa"/>
            </w:tcMar>
          </w:tcPr>
          <w:p>
            <w:r>
              <w:rPr/>
              <w:t xml:space="preserve">Homepage newsletter Gravity Forms ID, Homepage newsletter PNGCJE form ID, Contact page Gravity Forms ID and Contact page PNGCJE form ID.</w:t>
            </w:r>
          </w:p>
        </w:tc>
      </w:tr>
      <w:tr>
        <w:tc>
          <w:tcPr>
            <w:tcW w:w="2600" w:type="dxa"/>
            <w:tcMar>
              <w:top w:w="100" w:type="dxa"/>
              <w:left w:w="120" w:type="dxa"/>
              <w:bottom w:w="100" w:type="dxa"/>
              <w:right w:w="120" w:type="dxa"/>
            </w:tcMar>
          </w:tcPr>
          <w:p>
            <w:r>
              <w:rPr/>
              <w:t xml:space="preserve">Contact Information</w:t>
            </w:r>
          </w:p>
        </w:tc>
        <w:tc>
          <w:tcPr>
            <w:tcW w:w="6760" w:type="dxa"/>
            <w:tcMar>
              <w:top w:w="100" w:type="dxa"/>
              <w:left w:w="120" w:type="dxa"/>
              <w:bottom w:w="100" w:type="dxa"/>
              <w:right w:w="120" w:type="dxa"/>
            </w:tcMar>
          </w:tcPr>
          <w:p>
            <w:r>
              <w:rPr/>
              <w:t xml:space="preserve">Phone number, email address and address used in the footer and contact areas.</w:t>
            </w:r>
          </w:p>
        </w:tc>
      </w:tr>
      <w:tr>
        <w:tc>
          <w:tcPr>
            <w:tcW w:w="2600" w:type="dxa"/>
            <w:tcMar>
              <w:top w:w="100" w:type="dxa"/>
              <w:left w:w="120" w:type="dxa"/>
              <w:bottom w:w="100" w:type="dxa"/>
              <w:right w:w="120" w:type="dxa"/>
            </w:tcMar>
          </w:tcPr>
          <w:p>
            <w:r>
              <w:rPr/>
              <w:t xml:space="preserve">Social Media Links</w:t>
            </w:r>
          </w:p>
        </w:tc>
        <w:tc>
          <w:tcPr>
            <w:tcW w:w="6760" w:type="dxa"/>
            <w:tcMar>
              <w:top w:w="100" w:type="dxa"/>
              <w:left w:w="120" w:type="dxa"/>
              <w:bottom w:w="100" w:type="dxa"/>
              <w:right w:w="120" w:type="dxa"/>
            </w:tcMar>
          </w:tcPr>
          <w:p>
            <w:r>
              <w:rPr/>
              <w:t xml:space="preserve">Facebook, X/Twitter, LinkedIn and YouTube URLs.</w:t>
            </w:r>
          </w:p>
        </w:tc>
      </w:tr>
    </w:tbl>
    <w:p>
      <w:pPr>
        <w:pStyle w:val="Heading2"/>
        <w:keepNext/>
      </w:pPr>
      <w:r>
        <w:rPr/>
        <w:t xml:space="preserve">15.3 Widgets and Sidebars</w:t>
      </w:r>
    </w:p>
    <w:p>
      <w:pPr/>
      <w:r>
        <w:rPr/>
        <w:t xml:space="preserve">The theme registers Blog Sidebar, Resources Sidebar and Footer Widget Area. Use widgets only where needed; most key pages are purpose-built templates.</w:t>
      </w:r>
    </w:p>
    <w:p>
      <w:pPr>
        <w:pStyle w:val="Heading1"/>
        <w:keepNext/>
      </w:pPr>
      <w:r>
        <w:rPr/>
        <w:t xml:space="preserve">16. Shortcodes Reference</w:t>
      </w:r>
    </w:p>
    <w:tbl>
      <w:tblPr>
        <w:tblW w:w="9360" w:type="dxa"/>
        <w:tblInd w:w="0" w:type="dxa"/>
        <w:tblBorders>
          <w:top w:val="single" w:sz="4" w:color="DADCE0"/>
          <w:left w:val="single" w:sz="4" w:color="DADCE0"/>
          <w:bottom w:val="single" w:sz="4" w:color="DADCE0"/>
          <w:right w:val="single" w:sz="4" w:color="DADCE0"/>
          <w:insideH w:val="single" w:sz="4" w:color="DADCE0"/>
          <w:insideV w:val="single" w:sz="4" w:color="DADCE0"/>
        </w:tblBorders>
        <w:tblLook w:firstRow="1" w:noHBand="0" w:noVBand="1"/>
      </w:tblPr>
      <w:tblGrid>
        <w:gridCol w:w="3600"/>
        <w:gridCol w:w="5760"/>
      </w:tblGrid>
      <w:tr>
        <w:tc>
          <w:tcPr>
            <w:tcW w:w="3600" w:type="dxa"/>
            <w:shd w:fill="EAF3EC"/>
            <w:tcMar>
              <w:top w:w="100" w:type="dxa"/>
              <w:left w:w="120" w:type="dxa"/>
              <w:bottom w:w="100" w:type="dxa"/>
              <w:right w:w="120" w:type="dxa"/>
            </w:tcMar>
          </w:tcPr>
          <w:p>
            <w:r>
              <w:rPr>
                <w:b/>
              </w:rPr>
              <w:t xml:space="preserve">Shortcode</w:t>
            </w:r>
          </w:p>
        </w:tc>
        <w:tc>
          <w:tcPr>
            <w:tcW w:w="5760" w:type="dxa"/>
            <w:shd w:fill="EAF3EC"/>
            <w:tcMar>
              <w:top w:w="100" w:type="dxa"/>
              <w:left w:w="120" w:type="dxa"/>
              <w:bottom w:w="100" w:type="dxa"/>
              <w:right w:w="120" w:type="dxa"/>
            </w:tcMar>
          </w:tcPr>
          <w:p>
            <w:r>
              <w:rPr>
                <w:b/>
              </w:rPr>
              <w:t xml:space="preserve">Purpose</w:t>
            </w:r>
          </w:p>
        </w:tc>
      </w:tr>
      <w:tr>
        <w:tc>
          <w:tcPr>
            <w:tcW w:w="3600" w:type="dxa"/>
            <w:tcMar>
              <w:top w:w="100" w:type="dxa"/>
              <w:left w:w="120" w:type="dxa"/>
              <w:bottom w:w="100" w:type="dxa"/>
              <w:right w:w="120" w:type="dxa"/>
            </w:tcMar>
          </w:tcPr>
          <w:p>
            <w:r>
              <w:rPr/>
              <w:t xml:space="preserve">[pngcje_form id="N"]</w:t>
            </w:r>
          </w:p>
        </w:tc>
        <w:tc>
          <w:tcPr>
            <w:tcW w:w="5760" w:type="dxa"/>
            <w:tcMar>
              <w:top w:w="100" w:type="dxa"/>
              <w:left w:w="120" w:type="dxa"/>
              <w:bottom w:w="100" w:type="dxa"/>
              <w:right w:w="120" w:type="dxa"/>
            </w:tcMar>
          </w:tcPr>
          <w:p>
            <w:r>
              <w:rPr/>
              <w:t xml:space="preserve">Embed a PNGCJE form.</w:t>
            </w:r>
          </w:p>
        </w:tc>
      </w:tr>
      <w:tr>
        <w:tc>
          <w:tcPr>
            <w:tcW w:w="3600" w:type="dxa"/>
            <w:tcMar>
              <w:top w:w="100" w:type="dxa"/>
              <w:left w:w="120" w:type="dxa"/>
              <w:bottom w:w="100" w:type="dxa"/>
              <w:right w:w="120" w:type="dxa"/>
            </w:tcMar>
          </w:tcPr>
          <w:p>
            <w:r>
              <w:rPr/>
              <w:t xml:space="preserve">[pngcje_popup_trigger id="N" label="Open"]</w:t>
            </w:r>
          </w:p>
        </w:tc>
        <w:tc>
          <w:tcPr>
            <w:tcW w:w="5760" w:type="dxa"/>
            <w:tcMar>
              <w:top w:w="100" w:type="dxa"/>
              <w:left w:w="120" w:type="dxa"/>
              <w:bottom w:w="100" w:type="dxa"/>
              <w:right w:w="120" w:type="dxa"/>
            </w:tcMar>
          </w:tcPr>
          <w:p>
            <w:r>
              <w:rPr/>
              <w:t xml:space="preserve">Create a button/link that opens a manual popup.</w:t>
            </w:r>
          </w:p>
        </w:tc>
      </w:tr>
      <w:tr>
        <w:tc>
          <w:tcPr>
            <w:tcW w:w="3600" w:type="dxa"/>
            <w:tcMar>
              <w:top w:w="100" w:type="dxa"/>
              <w:left w:w="120" w:type="dxa"/>
              <w:bottom w:w="100" w:type="dxa"/>
              <w:right w:w="120" w:type="dxa"/>
            </w:tcMar>
          </w:tcPr>
          <w:p>
            <w:r>
              <w:rPr/>
              <w:t xml:space="preserve">[pngcje_events count="3"]</w:t>
            </w:r>
          </w:p>
        </w:tc>
        <w:tc>
          <w:tcPr>
            <w:tcW w:w="5760" w:type="dxa"/>
            <w:tcMar>
              <w:top w:w="100" w:type="dxa"/>
              <w:left w:w="120" w:type="dxa"/>
              <w:bottom w:w="100" w:type="dxa"/>
              <w:right w:w="120" w:type="dxa"/>
            </w:tcMar>
          </w:tcPr>
          <w:p>
            <w:r>
              <w:rPr/>
              <w:t xml:space="preserve">Show upcoming event cards.</w:t>
            </w:r>
          </w:p>
        </w:tc>
      </w:tr>
      <w:tr>
        <w:tc>
          <w:tcPr>
            <w:tcW w:w="3600" w:type="dxa"/>
            <w:tcMar>
              <w:top w:w="100" w:type="dxa"/>
              <w:left w:w="120" w:type="dxa"/>
              <w:bottom w:w="100" w:type="dxa"/>
              <w:right w:w="120" w:type="dxa"/>
            </w:tcMar>
          </w:tcPr>
          <w:p>
            <w:r>
              <w:rPr/>
              <w:t xml:space="preserve">[pngcje_events count="5" style="list"]</w:t>
            </w:r>
          </w:p>
        </w:tc>
        <w:tc>
          <w:tcPr>
            <w:tcW w:w="5760" w:type="dxa"/>
            <w:tcMar>
              <w:top w:w="100" w:type="dxa"/>
              <w:left w:w="120" w:type="dxa"/>
              <w:bottom w:w="100" w:type="dxa"/>
              <w:right w:w="120" w:type="dxa"/>
            </w:tcMar>
          </w:tcPr>
          <w:p>
            <w:r>
              <w:rPr/>
              <w:t xml:space="preserve">Show upcoming events as a list.</w:t>
            </w:r>
          </w:p>
        </w:tc>
      </w:tr>
      <w:tr>
        <w:tc>
          <w:tcPr>
            <w:tcW w:w="3600" w:type="dxa"/>
            <w:tcMar>
              <w:top w:w="100" w:type="dxa"/>
              <w:left w:w="120" w:type="dxa"/>
              <w:bottom w:w="100" w:type="dxa"/>
              <w:right w:w="120" w:type="dxa"/>
            </w:tcMar>
          </w:tcPr>
          <w:p>
            <w:r>
              <w:rPr/>
              <w:t xml:space="preserve">[pngcje_events count="3" style="mini"]</w:t>
            </w:r>
          </w:p>
        </w:tc>
        <w:tc>
          <w:tcPr>
            <w:tcW w:w="5760" w:type="dxa"/>
            <w:tcMar>
              <w:top w:w="100" w:type="dxa"/>
              <w:left w:w="120" w:type="dxa"/>
              <w:bottom w:w="100" w:type="dxa"/>
              <w:right w:w="120" w:type="dxa"/>
            </w:tcMar>
          </w:tcPr>
          <w:p>
            <w:r>
              <w:rPr/>
              <w:t xml:space="preserve">Show compact upcoming events.</w:t>
            </w:r>
          </w:p>
        </w:tc>
      </w:tr>
      <w:tr>
        <w:tc>
          <w:tcPr>
            <w:tcW w:w="3600" w:type="dxa"/>
            <w:tcMar>
              <w:top w:w="100" w:type="dxa"/>
              <w:left w:w="120" w:type="dxa"/>
              <w:bottom w:w="100" w:type="dxa"/>
              <w:right w:w="120" w:type="dxa"/>
            </w:tcMar>
          </w:tcPr>
          <w:p>
            <w:r>
              <w:rPr/>
              <w:t xml:space="preserve">[pngcje_events category="training"]</w:t>
            </w:r>
          </w:p>
        </w:tc>
        <w:tc>
          <w:tcPr>
            <w:tcW w:w="5760" w:type="dxa"/>
            <w:tcMar>
              <w:top w:w="100" w:type="dxa"/>
              <w:left w:w="120" w:type="dxa"/>
              <w:bottom w:w="100" w:type="dxa"/>
              <w:right w:w="120" w:type="dxa"/>
            </w:tcMar>
          </w:tcPr>
          <w:p>
            <w:r>
              <w:rPr/>
              <w:t xml:space="preserve">Show events filtered by event category slug.</w:t>
            </w:r>
          </w:p>
        </w:tc>
      </w:tr>
      <w:tr>
        <w:tc>
          <w:tcPr>
            <w:tcW w:w="3600" w:type="dxa"/>
            <w:tcMar>
              <w:top w:w="100" w:type="dxa"/>
              <w:left w:w="120" w:type="dxa"/>
              <w:bottom w:w="100" w:type="dxa"/>
              <w:right w:w="120" w:type="dxa"/>
            </w:tcMar>
          </w:tcPr>
          <w:p>
            <w:r>
              <w:rPr/>
              <w:t xml:space="preserve">[pngcje_calendar_link]</w:t>
            </w:r>
          </w:p>
        </w:tc>
        <w:tc>
          <w:tcPr>
            <w:tcW w:w="5760" w:type="dxa"/>
            <w:tcMar>
              <w:top w:w="100" w:type="dxa"/>
              <w:left w:w="120" w:type="dxa"/>
              <w:bottom w:w="100" w:type="dxa"/>
              <w:right w:w="120" w:type="dxa"/>
            </w:tcMar>
          </w:tcPr>
          <w:p>
            <w:r>
              <w:rPr/>
              <w:t xml:space="preserve">Show a button to download/subscribe to the training calendar iCal feed.</w:t>
            </w:r>
          </w:p>
        </w:tc>
      </w:tr>
      <w:tr>
        <w:tc>
          <w:tcPr>
            <w:tcW w:w="3600" w:type="dxa"/>
            <w:tcMar>
              <w:top w:w="100" w:type="dxa"/>
              <w:left w:w="120" w:type="dxa"/>
              <w:bottom w:w="100" w:type="dxa"/>
              <w:right w:w="120" w:type="dxa"/>
            </w:tcMar>
          </w:tcPr>
          <w:p>
            <w:r>
              <w:rPr/>
              <w:t xml:space="preserve">[pngcje_upcoming_events count="3"]</w:t>
            </w:r>
          </w:p>
        </w:tc>
        <w:tc>
          <w:tcPr>
            <w:tcW w:w="5760" w:type="dxa"/>
            <w:tcMar>
              <w:top w:w="100" w:type="dxa"/>
              <w:left w:w="120" w:type="dxa"/>
              <w:bottom w:w="100" w:type="dxa"/>
              <w:right w:w="120" w:type="dxa"/>
            </w:tcMar>
          </w:tcPr>
          <w:p>
            <w:r>
              <w:rPr/>
              <w:t xml:space="preserve">Compatibility shortcode for upcoming event cards.</w:t>
            </w:r>
          </w:p>
        </w:tc>
      </w:tr>
    </w:tbl>
    <w:p>
      <w:pPr>
        <w:pStyle w:val="Heading1"/>
        <w:keepNext/>
      </w:pPr>
      <w:r>
        <w:rPr/>
        <w:t xml:space="preserve">17. Publishing Checklist</w:t>
      </w:r>
    </w:p>
    <w:p>
      <w:pPr>
        <w:pStyle w:val="ListParagraph"/>
        <w:numPr>
          <w:ilvl w:val="0"/>
          <w:numId w:val="1"/>
        </w:numPr>
      </w:pPr>
      <w:r>
        <w:t xml:space="preserve">Preview before publishing major updates.</w:t>
      </w:r>
    </w:p>
    <w:p>
      <w:pPr>
        <w:pStyle w:val="ListParagraph"/>
        <w:numPr>
          <w:ilvl w:val="0"/>
          <w:numId w:val="1"/>
        </w:numPr>
      </w:pPr>
      <w:r>
        <w:t xml:space="preserve">Check spelling, dates, names and contact details.</w:t>
      </w:r>
    </w:p>
    <w:p>
      <w:pPr>
        <w:pStyle w:val="ListParagraph"/>
        <w:numPr>
          <w:ilvl w:val="0"/>
          <w:numId w:val="1"/>
        </w:numPr>
      </w:pPr>
      <w:r>
        <w:t xml:space="preserve">Confirm the Featured Image is present where cards or profile pages require it.</w:t>
      </w:r>
    </w:p>
    <w:p>
      <w:pPr>
        <w:pStyle w:val="ListParagraph"/>
        <w:numPr>
          <w:ilvl w:val="0"/>
          <w:numId w:val="1"/>
        </w:numPr>
      </w:pPr>
      <w:r>
        <w:t xml:space="preserve">Confirm file URLs and external URLs open in a new browser tab.</w:t>
      </w:r>
    </w:p>
    <w:p>
      <w:pPr>
        <w:pStyle w:val="ListParagraph"/>
        <w:numPr>
          <w:ilvl w:val="0"/>
          <w:numId w:val="1"/>
        </w:numPr>
      </w:pPr>
      <w:r>
        <w:t xml:space="preserve">For ordered content, check Page Attributes &gt; Order.</w:t>
      </w:r>
    </w:p>
    <w:p>
      <w:pPr>
        <w:pStyle w:val="ListParagraph"/>
        <w:numPr>
          <w:ilvl w:val="0"/>
          <w:numId w:val="1"/>
        </w:numPr>
      </w:pPr>
      <w:r>
        <w:t xml:space="preserve">For forms, test a submission and confirm the email notification arrives.</w:t>
      </w:r>
    </w:p>
    <w:p>
      <w:pPr>
        <w:pStyle w:val="ListParagraph"/>
        <w:numPr>
          <w:ilvl w:val="0"/>
          <w:numId w:val="1"/>
        </w:numPr>
      </w:pPr>
      <w:r>
        <w:t xml:space="preserve">For events, confirm the event date, registration path and iCal link.</w:t>
      </w:r>
    </w:p>
    <w:p>
      <w:pPr>
        <w:pStyle w:val="ListParagraph"/>
        <w:numPr>
          <w:ilvl w:val="0"/>
          <w:numId w:val="1"/>
        </w:numPr>
      </w:pPr>
      <w:r>
        <w:t xml:space="preserve">For popups, check frequency and display rules so visitors are not overwhelmed.</w:t>
      </w:r>
    </w:p>
    <w:p>
      <w:pPr>
        <w:pStyle w:val="ListParagraph"/>
        <w:numPr>
          <w:ilvl w:val="0"/>
          <w:numId w:val="1"/>
        </w:numPr>
      </w:pPr>
      <w:r>
        <w:t xml:space="preserve">After major content changes, view the page on desktop and mobile.</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
      <w:pPr>
        <w:tabs>
          <w:tab w:val="num" w:pos="720"/>
        </w:tabs>
        <w:ind w:left="720" w:hanging="360"/>
      </w:pPr>
    </w:lvl>
  </w:abstractNum>
  <w:abstractNum w:abstractNumId="2">
    <w:multiLevelType w:val="hybridMultilevel"/>
    <w:lvl w:ilvl="0">
      <w:start w:val="1"/>
      <w:numFmt w:val="decimal"/>
      <w:lvlText w:val="%1."/>
      <w:pPr>
        <w:tabs>
          <w:tab w:val="num" w:pos="720"/>
        </w:tabs>
        <w:ind w:left="72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qFormat/>
    <w:pPr>
      <w:spacing w:after="160" w:line="300" w:lineRule="auto"/>
    </w:pPr>
    <w:rPr>
      <w:rFonts w:ascii="Arial" w:hAnsi="Arial"/>
      <w:sz w:val="22"/>
      <w:color w:val="111111"/>
    </w:rPr>
  </w:style>
  <w:style w:type="paragraph" w:styleId="Title">
    <w:name w:val="Title"/>
    <w:basedOn w:val="Normal"/>
    <w:qFormat/>
    <w:pPr>
      <w:spacing w:after="160"/>
    </w:pPr>
    <w:rPr>
      <w:rFonts w:ascii="Arial" w:hAnsi="Arial"/>
      <w:b/>
      <w:sz w:val="44"/>
      <w:color w:val="1A5C2A"/>
    </w:rPr>
  </w:style>
  <w:style w:type="paragraph" w:styleId="Subtitle">
    <w:name w:val="Subtitle"/>
    <w:basedOn w:val="Normal"/>
    <w:qFormat/>
    <w:pPr>
      <w:spacing w:after="240"/>
    </w:pPr>
    <w:rPr>
      <w:rFonts w:ascii="Arial" w:hAnsi="Arial"/>
      <w:sz w:val="28"/>
      <w:color w:val="D4581A"/>
    </w:rPr>
  </w:style>
  <w:style w:type="paragraph" w:styleId="Heading1">
    <w:name w:val="heading 1"/>
    <w:basedOn w:val="Normal"/>
    <w:next w:val="Normal"/>
    <w:qFormat/>
    <w:pPr>
      <w:keepNext/>
      <w:spacing w:before="320" w:after="120"/>
    </w:pPr>
    <w:rPr>
      <w:rFonts w:ascii="Arial" w:hAnsi="Arial"/>
      <w:b/>
      <w:sz w:val="32"/>
      <w:color w:val="1A5C2A"/>
    </w:rPr>
  </w:style>
  <w:style w:type="paragraph" w:styleId="Heading2">
    <w:name w:val="heading 2"/>
    <w:basedOn w:val="Normal"/>
    <w:next w:val="Normal"/>
    <w:qFormat/>
    <w:pPr>
      <w:keepNext/>
      <w:spacing w:before="240" w:after="100"/>
    </w:pPr>
    <w:rPr>
      <w:rFonts w:ascii="Arial" w:hAnsi="Arial"/>
      <w:b/>
      <w:sz w:val="26"/>
      <w:color w:val="B84A00"/>
    </w:rPr>
  </w:style>
  <w:style w:type="paragraph" w:styleId="Heading3">
    <w:name w:val="heading 3"/>
    <w:basedOn w:val="Normal"/>
    <w:next w:val="Normal"/>
    <w:qFormat/>
    <w:pPr>
      <w:keepNext/>
      <w:spacing w:before="180" w:after="80"/>
    </w:pPr>
    <w:rPr>
      <w:rFonts w:ascii="Arial" w:hAnsi="Arial"/>
      <w:b/>
      <w:sz w:val="24"/>
      <w:color w:val="333333"/>
    </w:rPr>
  </w:style>
  <w:style w:type="paragraph" w:styleId="ListParagraph">
    <w:name w:val="List Paragraph"/>
    <w:basedOn w:val="Normal"/>
    <w:pPr>
      <w:spacing w:after="80" w:line="300" w:lineRule="auto"/>
    </w:pPr>
    <w:rPr>
      <w:rFonts w:ascii="Arial" w:hAnsi="Arial"/>
      <w:sz w:val="21"/>
    </w:rPr>
  </w:style>
  <w:style w:type="paragraph" w:styleId="Callout">
    <w:name w:val="Callout"/>
    <w:basedOn w:val="Normal"/>
    <w:pPr>
      <w:spacing w:before="100" w:after="120"/>
      <w:shd w:fill="F2F7F3"/>
      <w:ind w:left="180" w:right="180"/>
    </w:pPr>
    <w:rPr>
      <w:rFonts w:ascii="Arial" w:hAnsi="Arial"/>
      <w:sz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PNGCJE Theme - Admin Guide</dc:title>
  <dc:creator>ZACQ Industries / WEBMASTA</dc:creator>
  <dc:description>Detailed website administration guide.</dc:description>
  <cp:lastModifiedBy>Codex</cp:lastModifiedBy>
  <dcterms:created xsi:type="dcterms:W3CDTF">2026-05-19T00:00:00Z</dcterms:created>
  <dcterms:modified xsi:type="dcterms:W3CDTF">2026-05-19T00:00:00Z</dcterms:modified>
</cp:coreProperties>
</file>