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t xml:space="preserve">PNGCJE</w:t>
      </w:r>
    </w:p>
    <w:p>
      <w:pPr>
        <w:pStyle w:val="Subtitle"/>
      </w:pPr>
      <w:r>
        <w:rPr/>
        <w:t xml:space="preserve">Papua New Guinea Centre for Judicial Excellence</w:t>
      </w:r>
    </w:p>
    <w:p>
      <w:pPr>
        <w:pStyle w:val="Heading1"/>
      </w:pPr>
      <w:r>
        <w:rPr/>
        <w:t xml:space="preserve">Website Redesign - Theme Features and Capabilities</w:t>
      </w:r>
    </w:p>
    <w:p>
      <w:pPr/>
      <w:r>
        <w:rPr/>
        <w:t xml:space="preserve">Prepared by: ZACQ Industries / WEBMASTA</w:t>
      </w:r>
    </w:p>
    <w:p>
      <w:pPr/>
      <w:r>
        <w:rPr/>
        <w:t xml:space="preserve">Date: May 2026</w:t>
      </w:r>
    </w:p>
    <w:p>
      <w:pPr/>
      <w:r>
        <w:rPr/>
        <w:t xml:space="preserve">Website: https://pngcje.gov.pg</w:t>
      </w:r>
    </w:p>
    <w:p>
      <w:pPr>
        <w:pStyle w:val="Callout"/>
      </w:pPr>
      <w:r>
        <w:rPr>
          <w:b/>
          <w:color w:val="1A5C2A"/>
        </w:rPr>
        <w:t>Purpose: </w:t>
      </w:r>
      <w:r>
        <w:t>This document is written as a practical handover reference for PNGCJE administrators and decision makers. It explains what has been built, where it is managed, and how each part of the website should be maintained.</w:t>
      </w:r>
    </w:p>
    <w:p>
      <w:r>
        <w:br w:type="page"/>
      </w:r>
    </w:p>
    <w:p>
      <w:pPr>
        <w:pStyle w:val="Heading1"/>
        <w:keepNext/>
      </w:pPr>
      <w:r>
        <w:rPr/>
        <w:t xml:space="preserve">1. Executive Summary</w:t>
      </w:r>
    </w:p>
    <w:p>
      <w:pPr/>
      <w:r>
        <w:rPr/>
        <w:t xml:space="preserve">The PNGCJE website has been rebuilt as a custom WordPress theme tailored to the Papua New Guinea Centre for Judicial Excellence. It is not a generic template: the theme contains purpose-built publishing systems for governance, staff, resources, events, newsletters, popups, forms and homepage management.</w:t>
      </w:r>
    </w:p>
    <w:p>
      <w:pPr>
        <w:pStyle w:val="Callout"/>
      </w:pPr>
      <w:r>
        <w:rPr>
          <w:b/>
          <w:color w:val="1A5C2A"/>
        </w:rPr>
        <w:t>Overall result: </w:t>
      </w:r>
      <w:r>
        <w:t>The redesign combines a modern public-facing institutional website with a client-manageable admin experience. Administrators can update key website content without developer intervention while still benefiting from structured templates and consistent presentation.</w:t>
      </w:r>
    </w:p>
    <w:p>
      <w:pPr>
        <w:pStyle w:val="Heading1"/>
        <w:keepNext/>
      </w:pPr>
      <w:r>
        <w:rPr/>
        <w:t xml:space="preserve">2. Design System and Brand Treatment</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2200"/>
        <w:gridCol w:w="7160"/>
      </w:tblGrid>
      <w:tr>
        <w:tc>
          <w:tcPr>
            <w:tcW w:w="2200" w:type="dxa"/>
            <w:shd w:fill="EAF3EC"/>
            <w:tcMar>
              <w:top w:w="100" w:type="dxa"/>
              <w:left w:w="120" w:type="dxa"/>
              <w:bottom w:w="100" w:type="dxa"/>
              <w:right w:w="120" w:type="dxa"/>
            </w:tcMar>
          </w:tcPr>
          <w:p>
            <w:r>
              <w:rPr>
                <w:b/>
              </w:rPr>
              <w:t xml:space="preserve">Area</w:t>
            </w:r>
          </w:p>
        </w:tc>
        <w:tc>
          <w:tcPr>
            <w:tcW w:w="7160" w:type="dxa"/>
            <w:shd w:fill="EAF3EC"/>
            <w:tcMar>
              <w:top w:w="100" w:type="dxa"/>
              <w:left w:w="120" w:type="dxa"/>
              <w:bottom w:w="100" w:type="dxa"/>
              <w:right w:w="120" w:type="dxa"/>
            </w:tcMar>
          </w:tcPr>
          <w:p>
            <w:r>
              <w:rPr>
                <w:b/>
              </w:rPr>
              <w:t xml:space="preserve">Included work</w:t>
            </w:r>
          </w:p>
        </w:tc>
      </w:tr>
      <w:tr>
        <w:tc>
          <w:tcPr>
            <w:tcW w:w="2200" w:type="dxa"/>
            <w:tcMar>
              <w:top w:w="100" w:type="dxa"/>
              <w:left w:w="120" w:type="dxa"/>
              <w:bottom w:w="100" w:type="dxa"/>
              <w:right w:w="120" w:type="dxa"/>
            </w:tcMar>
          </w:tcPr>
          <w:p>
            <w:r>
              <w:rPr/>
              <w:t xml:space="preserve">Colour system</w:t>
            </w:r>
          </w:p>
        </w:tc>
        <w:tc>
          <w:tcPr>
            <w:tcW w:w="7160" w:type="dxa"/>
            <w:tcMar>
              <w:top w:w="100" w:type="dxa"/>
              <w:left w:w="120" w:type="dxa"/>
              <w:bottom w:w="100" w:type="dxa"/>
              <w:right w:w="120" w:type="dxa"/>
            </w:tcMar>
          </w:tcPr>
          <w:p>
            <w:r>
              <w:rPr/>
              <w:t xml:space="preserve">PNGCJE ember orange, forest green, gold accents, deep ink text, subtle surfaces, borders and state colours.</w:t>
            </w:r>
          </w:p>
        </w:tc>
      </w:tr>
      <w:tr>
        <w:tc>
          <w:tcPr>
            <w:tcW w:w="2200" w:type="dxa"/>
            <w:tcMar>
              <w:top w:w="100" w:type="dxa"/>
              <w:left w:w="120" w:type="dxa"/>
              <w:bottom w:w="100" w:type="dxa"/>
              <w:right w:w="120" w:type="dxa"/>
            </w:tcMar>
          </w:tcPr>
          <w:p>
            <w:r>
              <w:rPr/>
              <w:t xml:space="preserve">Typography</w:t>
            </w:r>
          </w:p>
        </w:tc>
        <w:tc>
          <w:tcPr>
            <w:tcW w:w="7160" w:type="dxa"/>
            <w:tcMar>
              <w:top w:w="100" w:type="dxa"/>
              <w:left w:w="120" w:type="dxa"/>
              <w:bottom w:w="100" w:type="dxa"/>
              <w:right w:w="120" w:type="dxa"/>
            </w:tcMar>
          </w:tcPr>
          <w:p>
            <w:r>
              <w:rPr/>
              <w:t xml:space="preserve">Montserrat loaded through Google Fonts with weights for body copy, navigation, labels, headings and hero display text.</w:t>
            </w:r>
          </w:p>
        </w:tc>
      </w:tr>
      <w:tr>
        <w:tc>
          <w:tcPr>
            <w:tcW w:w="2200" w:type="dxa"/>
            <w:tcMar>
              <w:top w:w="100" w:type="dxa"/>
              <w:left w:w="120" w:type="dxa"/>
              <w:bottom w:w="100" w:type="dxa"/>
              <w:right w:w="120" w:type="dxa"/>
            </w:tcMar>
          </w:tcPr>
          <w:p>
            <w:r>
              <w:rPr/>
              <w:t xml:space="preserve">Responsive layout</w:t>
            </w:r>
          </w:p>
        </w:tc>
        <w:tc>
          <w:tcPr>
            <w:tcW w:w="7160" w:type="dxa"/>
            <w:tcMar>
              <w:top w:w="100" w:type="dxa"/>
              <w:left w:w="120" w:type="dxa"/>
              <w:bottom w:w="100" w:type="dxa"/>
              <w:right w:w="120" w:type="dxa"/>
            </w:tcMar>
          </w:tcPr>
          <w:p>
            <w:r>
              <w:rPr/>
              <w:t xml:space="preserve">Desktop, tablet and mobile layouts for homepage, cards, grids, public pages, events, resources, staff and forms.</w:t>
            </w:r>
          </w:p>
        </w:tc>
      </w:tr>
      <w:tr>
        <w:tc>
          <w:tcPr>
            <w:tcW w:w="2200" w:type="dxa"/>
            <w:tcMar>
              <w:top w:w="100" w:type="dxa"/>
              <w:left w:w="120" w:type="dxa"/>
              <w:bottom w:w="100" w:type="dxa"/>
              <w:right w:w="120" w:type="dxa"/>
            </w:tcMar>
          </w:tcPr>
          <w:p>
            <w:r>
              <w:rPr/>
              <w:t xml:space="preserve">Component system</w:t>
            </w:r>
          </w:p>
        </w:tc>
        <w:tc>
          <w:tcPr>
            <w:tcW w:w="7160" w:type="dxa"/>
            <w:tcMar>
              <w:top w:w="100" w:type="dxa"/>
              <w:left w:w="120" w:type="dxa"/>
              <w:bottom w:w="100" w:type="dxa"/>
              <w:right w:w="120" w:type="dxa"/>
            </w:tcMar>
          </w:tcPr>
          <w:p>
            <w:r>
              <w:rPr/>
              <w:t xml:space="preserve">Buttons, badges, cards, grids, hero blocks, filters, reveal animations, event cards, resource cards, staff cards and form styling.</w:t>
            </w:r>
          </w:p>
        </w:tc>
      </w:tr>
      <w:tr>
        <w:tc>
          <w:tcPr>
            <w:tcW w:w="2200" w:type="dxa"/>
            <w:tcMar>
              <w:top w:w="100" w:type="dxa"/>
              <w:left w:w="120" w:type="dxa"/>
              <w:bottom w:w="100" w:type="dxa"/>
              <w:right w:w="120" w:type="dxa"/>
            </w:tcMar>
          </w:tcPr>
          <w:p>
            <w:r>
              <w:rPr/>
              <w:t xml:space="preserve">Image handling</w:t>
            </w:r>
          </w:p>
        </w:tc>
        <w:tc>
          <w:tcPr>
            <w:tcW w:w="7160" w:type="dxa"/>
            <w:tcMar>
              <w:top w:w="100" w:type="dxa"/>
              <w:left w:w="120" w:type="dxa"/>
              <w:bottom w:w="100" w:type="dxa"/>
              <w:right w:w="120" w:type="dxa"/>
            </w:tcMar>
          </w:tcPr>
          <w:p>
            <w:r>
              <w:rPr/>
              <w:t xml:space="preserve">Custom image sizes for hero banners, cards, square images, wide images and staff portraits.</w:t>
            </w:r>
          </w:p>
        </w:tc>
      </w:tr>
      <w:tr>
        <w:tc>
          <w:tcPr>
            <w:tcW w:w="2200" w:type="dxa"/>
            <w:tcMar>
              <w:top w:w="100" w:type="dxa"/>
              <w:left w:w="120" w:type="dxa"/>
              <w:bottom w:w="100" w:type="dxa"/>
              <w:right w:w="120" w:type="dxa"/>
            </w:tcMar>
          </w:tcPr>
          <w:p>
            <w:r>
              <w:rPr/>
              <w:t xml:space="preserve">Accessibility foundations</w:t>
            </w:r>
          </w:p>
        </w:tc>
        <w:tc>
          <w:tcPr>
            <w:tcW w:w="7160" w:type="dxa"/>
            <w:tcMar>
              <w:top w:w="100" w:type="dxa"/>
              <w:left w:w="120" w:type="dxa"/>
              <w:bottom w:w="100" w:type="dxa"/>
              <w:right w:w="120" w:type="dxa"/>
            </w:tcMar>
          </w:tcPr>
          <w:p>
            <w:r>
              <w:rPr/>
              <w:t xml:space="preserve">Title tag support, semantic HTML5 support, responsive embeds, breadcrumbs, alt-ready images, labelled hero controls and alert roles for announcements/forms.</w:t>
            </w:r>
          </w:p>
        </w:tc>
      </w:tr>
    </w:tbl>
    <w:p>
      <w:pPr>
        <w:pStyle w:val="Heading1"/>
        <w:keepNext/>
      </w:pPr>
      <w:r>
        <w:rPr/>
        <w:t xml:space="preserve">3. WordPress Foundation</w:t>
      </w:r>
    </w:p>
    <w:p>
      <w:pPr/>
      <w:r>
        <w:rPr/>
        <w:t xml:space="preserve">The theme includes modern WordPress supports: title tag, post thumbnails, automatic feed links, HTML5 markup, selective refresh widgets, responsive embeds, block styles, wide alignment, custom logo support and post formats.</w:t>
      </w:r>
    </w:p>
    <w:p>
      <w:pPr/>
      <w:r>
        <w:rPr/>
        <w:t xml:space="preserve">Registered navigation areas include Primary Navigation, Pacific Centre Menu, Footer Quick Links, Footer Our Work, Footer Pacific and Top Bar Links. Registered widget areas include Blog Sidebar, Resources Sidebar and Footer Widget Area.</w:t>
      </w:r>
    </w:p>
    <w:p>
      <w:pPr/>
      <w:r>
        <w:rPr/>
        <w:t xml:space="preserve">The theme also includes custom admin login styling, admin sidebar accents, a PNGCJE admin bar link and a dashboard quick status widget.</w:t>
      </w:r>
    </w:p>
    <w:p>
      <w:pPr>
        <w:pStyle w:val="Heading1"/>
        <w:keepNext/>
      </w:pPr>
      <w:r>
        <w:rPr/>
        <w:t xml:space="preserve">4. Custom Content Types</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1800"/>
        <w:gridCol w:w="2600"/>
        <w:gridCol w:w="4960"/>
      </w:tblGrid>
      <w:tr>
        <w:tc>
          <w:tcPr>
            <w:tcW w:w="1800" w:type="dxa"/>
            <w:shd w:fill="EAF3EC"/>
            <w:tcMar>
              <w:top w:w="100" w:type="dxa"/>
              <w:left w:w="120" w:type="dxa"/>
              <w:bottom w:w="100" w:type="dxa"/>
              <w:right w:w="120" w:type="dxa"/>
            </w:tcMar>
          </w:tcPr>
          <w:p>
            <w:r>
              <w:rPr>
                <w:b/>
              </w:rPr>
              <w:t xml:space="preserve">Content type</w:t>
            </w:r>
          </w:p>
        </w:tc>
        <w:tc>
          <w:tcPr>
            <w:tcW w:w="2600" w:type="dxa"/>
            <w:shd w:fill="EAF3EC"/>
            <w:tcMar>
              <w:top w:w="100" w:type="dxa"/>
              <w:left w:w="120" w:type="dxa"/>
              <w:bottom w:w="100" w:type="dxa"/>
              <w:right w:w="120" w:type="dxa"/>
            </w:tcMar>
          </w:tcPr>
          <w:p>
            <w:r>
              <w:rPr>
                <w:b/>
              </w:rPr>
              <w:t xml:space="preserve">Purpose</w:t>
            </w:r>
          </w:p>
        </w:tc>
        <w:tc>
          <w:tcPr>
            <w:tcW w:w="4960" w:type="dxa"/>
            <w:shd w:fill="EAF3EC"/>
            <w:tcMar>
              <w:top w:w="100" w:type="dxa"/>
              <w:left w:w="120" w:type="dxa"/>
              <w:bottom w:w="100" w:type="dxa"/>
              <w:right w:w="120" w:type="dxa"/>
            </w:tcMar>
          </w:tcPr>
          <w:p>
            <w:r>
              <w:rPr>
                <w:b/>
              </w:rPr>
              <w:t xml:space="preserve">Key features</w:t>
            </w:r>
          </w:p>
        </w:tc>
      </w:tr>
      <w:tr>
        <w:tc>
          <w:tcPr>
            <w:tcW w:w="1800" w:type="dxa"/>
            <w:tcMar>
              <w:top w:w="100" w:type="dxa"/>
              <w:left w:w="120" w:type="dxa"/>
              <w:bottom w:w="100" w:type="dxa"/>
              <w:right w:w="120" w:type="dxa"/>
            </w:tcMar>
          </w:tcPr>
          <w:p>
            <w:r>
              <w:rPr/>
              <w:t xml:space="preserve">Hero Slides</w:t>
            </w:r>
          </w:p>
        </w:tc>
        <w:tc>
          <w:tcPr>
            <w:tcW w:w="2600" w:type="dxa"/>
            <w:tcMar>
              <w:top w:w="100" w:type="dxa"/>
              <w:left w:w="120" w:type="dxa"/>
              <w:bottom w:w="100" w:type="dxa"/>
              <w:right w:w="120" w:type="dxa"/>
            </w:tcMar>
          </w:tcPr>
          <w:p>
            <w:r>
              <w:rPr/>
              <w:t xml:space="preserve">Homepage carousel.</w:t>
            </w:r>
          </w:p>
        </w:tc>
        <w:tc>
          <w:tcPr>
            <w:tcW w:w="4960" w:type="dxa"/>
            <w:tcMar>
              <w:top w:w="100" w:type="dxa"/>
              <w:left w:w="120" w:type="dxa"/>
              <w:bottom w:w="100" w:type="dxa"/>
              <w:right w:w="120" w:type="dxa"/>
            </w:tcMar>
          </w:tcPr>
          <w:p>
            <w:r>
              <w:rPr/>
              <w:t xml:space="preserve">Featured image, subheading, heading, intro, button text, button URL and manual order.</w:t>
            </w:r>
          </w:p>
        </w:tc>
      </w:tr>
      <w:tr>
        <w:tc>
          <w:tcPr>
            <w:tcW w:w="1800" w:type="dxa"/>
            <w:tcMar>
              <w:top w:w="100" w:type="dxa"/>
              <w:left w:w="120" w:type="dxa"/>
              <w:bottom w:w="100" w:type="dxa"/>
              <w:right w:w="120" w:type="dxa"/>
            </w:tcMar>
          </w:tcPr>
          <w:p>
            <w:r>
              <w:rPr/>
              <w:t xml:space="preserve">Resources</w:t>
            </w:r>
          </w:p>
        </w:tc>
        <w:tc>
          <w:tcPr>
            <w:tcW w:w="2600" w:type="dxa"/>
            <w:tcMar>
              <w:top w:w="100" w:type="dxa"/>
              <w:left w:w="120" w:type="dxa"/>
              <w:bottom w:w="100" w:type="dxa"/>
              <w:right w:w="120" w:type="dxa"/>
            </w:tcMar>
          </w:tcPr>
          <w:p>
            <w:r>
              <w:rPr/>
              <w:t xml:space="preserve">Publication/document library.</w:t>
            </w:r>
          </w:p>
        </w:tc>
        <w:tc>
          <w:tcPr>
            <w:tcW w:w="4960" w:type="dxa"/>
            <w:tcMar>
              <w:top w:w="100" w:type="dxa"/>
              <w:left w:w="120" w:type="dxa"/>
              <w:bottom w:w="100" w:type="dxa"/>
              <w:right w:w="120" w:type="dxa"/>
            </w:tcMar>
          </w:tcPr>
          <w:p>
            <w:r>
              <w:rPr/>
              <w:t xml:space="preserve">Resource Type taxonomy, file URL/upload, year, file type, file size, excerpt, featured image and archive templates.</w:t>
            </w:r>
          </w:p>
        </w:tc>
      </w:tr>
      <w:tr>
        <w:tc>
          <w:tcPr>
            <w:tcW w:w="1800" w:type="dxa"/>
            <w:tcMar>
              <w:top w:w="100" w:type="dxa"/>
              <w:left w:w="120" w:type="dxa"/>
              <w:bottom w:w="100" w:type="dxa"/>
              <w:right w:w="120" w:type="dxa"/>
            </w:tcMar>
          </w:tcPr>
          <w:p>
            <w:r>
              <w:rPr/>
              <w:t xml:space="preserve">Annual Reports</w:t>
            </w:r>
          </w:p>
        </w:tc>
        <w:tc>
          <w:tcPr>
            <w:tcW w:w="2600" w:type="dxa"/>
            <w:tcMar>
              <w:top w:w="100" w:type="dxa"/>
              <w:left w:w="120" w:type="dxa"/>
              <w:bottom w:w="100" w:type="dxa"/>
              <w:right w:w="120" w:type="dxa"/>
            </w:tcMar>
          </w:tcPr>
          <w:p>
            <w:r>
              <w:rPr/>
              <w:t xml:space="preserve">Dedicated report library.</w:t>
            </w:r>
          </w:p>
        </w:tc>
        <w:tc>
          <w:tcPr>
            <w:tcW w:w="4960" w:type="dxa"/>
            <w:tcMar>
              <w:top w:w="100" w:type="dxa"/>
              <w:left w:w="120" w:type="dxa"/>
              <w:bottom w:w="100" w:type="dxa"/>
              <w:right w:w="120" w:type="dxa"/>
            </w:tcMar>
          </w:tcPr>
          <w:p>
            <w:r>
              <w:rPr/>
              <w:t xml:space="preserve">Own post type, year/file metadata, cover image and annual reports page.</w:t>
            </w:r>
          </w:p>
        </w:tc>
      </w:tr>
      <w:tr>
        <w:tc>
          <w:tcPr>
            <w:tcW w:w="1800" w:type="dxa"/>
            <w:tcMar>
              <w:top w:w="100" w:type="dxa"/>
              <w:left w:w="120" w:type="dxa"/>
              <w:bottom w:w="100" w:type="dxa"/>
              <w:right w:w="120" w:type="dxa"/>
            </w:tcMar>
          </w:tcPr>
          <w:p>
            <w:r>
              <w:rPr/>
              <w:t xml:space="preserve">Staff Members</w:t>
            </w:r>
          </w:p>
        </w:tc>
        <w:tc>
          <w:tcPr>
            <w:tcW w:w="2600" w:type="dxa"/>
            <w:tcMar>
              <w:top w:w="100" w:type="dxa"/>
              <w:left w:w="120" w:type="dxa"/>
              <w:bottom w:w="100" w:type="dxa"/>
              <w:right w:w="120" w:type="dxa"/>
            </w:tcMar>
          </w:tcPr>
          <w:p>
            <w:r>
              <w:rPr/>
              <w:t xml:space="preserve">Staff directory.</w:t>
            </w:r>
          </w:p>
        </w:tc>
        <w:tc>
          <w:tcPr>
            <w:tcW w:w="4960" w:type="dxa"/>
            <w:tcMar>
              <w:top w:w="100" w:type="dxa"/>
              <w:left w:w="120" w:type="dxa"/>
              <w:bottom w:w="100" w:type="dxa"/>
              <w:right w:w="120" w:type="dxa"/>
            </w:tcMar>
          </w:tcPr>
          <w:p>
            <w:r>
              <w:rPr/>
              <w:t xml:space="preserve">Role, email, phone, department taxonomy, portrait, profile page and order control.</w:t>
            </w:r>
          </w:p>
        </w:tc>
      </w:tr>
      <w:tr>
        <w:tc>
          <w:tcPr>
            <w:tcW w:w="1800" w:type="dxa"/>
            <w:tcMar>
              <w:top w:w="100" w:type="dxa"/>
              <w:left w:w="120" w:type="dxa"/>
              <w:bottom w:w="100" w:type="dxa"/>
              <w:right w:w="120" w:type="dxa"/>
            </w:tcMar>
          </w:tcPr>
          <w:p>
            <w:r>
              <w:rPr/>
              <w:t xml:space="preserve">Board Members</w:t>
            </w:r>
          </w:p>
        </w:tc>
        <w:tc>
          <w:tcPr>
            <w:tcW w:w="2600" w:type="dxa"/>
            <w:tcMar>
              <w:top w:w="100" w:type="dxa"/>
              <w:left w:w="120" w:type="dxa"/>
              <w:bottom w:w="100" w:type="dxa"/>
              <w:right w:w="120" w:type="dxa"/>
            </w:tcMar>
          </w:tcPr>
          <w:p>
            <w:r>
              <w:rPr/>
              <w:t xml:space="preserve">Governance board profiles.</w:t>
            </w:r>
          </w:p>
        </w:tc>
        <w:tc>
          <w:tcPr>
            <w:tcW w:w="4960" w:type="dxa"/>
            <w:tcMar>
              <w:top w:w="100" w:type="dxa"/>
              <w:left w:w="120" w:type="dxa"/>
              <w:bottom w:w="100" w:type="dxa"/>
              <w:right w:w="120" w:type="dxa"/>
            </w:tcMar>
          </w:tcPr>
          <w:p>
            <w:r>
              <w:rPr/>
              <w:t xml:space="preserve">Board role, organisation, email, phone, portrait, biography and governance display order.</w:t>
            </w:r>
          </w:p>
        </w:tc>
      </w:tr>
      <w:tr>
        <w:tc>
          <w:tcPr>
            <w:tcW w:w="1800" w:type="dxa"/>
            <w:tcMar>
              <w:top w:w="100" w:type="dxa"/>
              <w:left w:w="120" w:type="dxa"/>
              <w:bottom w:w="100" w:type="dxa"/>
              <w:right w:w="120" w:type="dxa"/>
            </w:tcMar>
          </w:tcPr>
          <w:p>
            <w:r>
              <w:rPr/>
              <w:t xml:space="preserve">Program Officers</w:t>
            </w:r>
          </w:p>
        </w:tc>
        <w:tc>
          <w:tcPr>
            <w:tcW w:w="2600" w:type="dxa"/>
            <w:tcMar>
              <w:top w:w="100" w:type="dxa"/>
              <w:left w:w="120" w:type="dxa"/>
              <w:bottom w:w="100" w:type="dxa"/>
              <w:right w:w="120" w:type="dxa"/>
            </w:tcMar>
          </w:tcPr>
          <w:p>
            <w:r>
              <w:rPr/>
              <w:t xml:space="preserve">Customer Service team profiles.</w:t>
            </w:r>
          </w:p>
        </w:tc>
        <w:tc>
          <w:tcPr>
            <w:tcW w:w="4960" w:type="dxa"/>
            <w:tcMar>
              <w:top w:w="100" w:type="dxa"/>
              <w:left w:w="120" w:type="dxa"/>
              <w:bottom w:w="100" w:type="dxa"/>
              <w:right w:w="120" w:type="dxa"/>
            </w:tcMar>
          </w:tcPr>
          <w:p>
            <w:r>
              <w:rPr/>
              <w:t xml:space="preserve">Program area/role, email, phone, portrait and page order.</w:t>
            </w:r>
          </w:p>
        </w:tc>
      </w:tr>
      <w:tr>
        <w:tc>
          <w:tcPr>
            <w:tcW w:w="1800" w:type="dxa"/>
            <w:tcMar>
              <w:top w:w="100" w:type="dxa"/>
              <w:left w:w="120" w:type="dxa"/>
              <w:bottom w:w="100" w:type="dxa"/>
              <w:right w:w="120" w:type="dxa"/>
            </w:tcMar>
          </w:tcPr>
          <w:p>
            <w:r>
              <w:rPr/>
              <w:t xml:space="preserve">Announcements</w:t>
            </w:r>
          </w:p>
        </w:tc>
        <w:tc>
          <w:tcPr>
            <w:tcW w:w="2600" w:type="dxa"/>
            <w:tcMar>
              <w:top w:w="100" w:type="dxa"/>
              <w:left w:w="120" w:type="dxa"/>
              <w:bottom w:w="100" w:type="dxa"/>
              <w:right w:w="120" w:type="dxa"/>
            </w:tcMar>
          </w:tcPr>
          <w:p>
            <w:r>
              <w:rPr/>
              <w:t xml:space="preserve">Structured announcement records.</w:t>
            </w:r>
          </w:p>
        </w:tc>
        <w:tc>
          <w:tcPr>
            <w:tcW w:w="4960" w:type="dxa"/>
            <w:tcMar>
              <w:top w:w="100" w:type="dxa"/>
              <w:left w:w="120" w:type="dxa"/>
              <w:bottom w:w="100" w:type="dxa"/>
              <w:right w:w="120" w:type="dxa"/>
            </w:tcMar>
          </w:tcPr>
          <w:p>
            <w:r>
              <w:rPr/>
              <w:t xml:space="preserve">Title, editor content and custom fields for future notice workflows.</w:t>
            </w:r>
          </w:p>
        </w:tc>
      </w:tr>
      <w:tr>
        <w:tc>
          <w:tcPr>
            <w:tcW w:w="1800" w:type="dxa"/>
            <w:tcMar>
              <w:top w:w="100" w:type="dxa"/>
              <w:left w:w="120" w:type="dxa"/>
              <w:bottom w:w="100" w:type="dxa"/>
              <w:right w:w="120" w:type="dxa"/>
            </w:tcMar>
          </w:tcPr>
          <w:p>
            <w:r>
              <w:rPr/>
              <w:t xml:space="preserve">Pacific Members</w:t>
            </w:r>
          </w:p>
        </w:tc>
        <w:tc>
          <w:tcPr>
            <w:tcW w:w="2600" w:type="dxa"/>
            <w:tcMar>
              <w:top w:w="100" w:type="dxa"/>
              <w:left w:w="120" w:type="dxa"/>
              <w:bottom w:w="100" w:type="dxa"/>
              <w:right w:w="120" w:type="dxa"/>
            </w:tcMar>
          </w:tcPr>
          <w:p>
            <w:r>
              <w:rPr/>
              <w:t xml:space="preserve">Pacific Centre countries/members.</w:t>
            </w:r>
          </w:p>
        </w:tc>
        <w:tc>
          <w:tcPr>
            <w:tcW w:w="4960" w:type="dxa"/>
            <w:tcMar>
              <w:top w:w="100" w:type="dxa"/>
              <w:left w:w="120" w:type="dxa"/>
              <w:bottom w:w="100" w:type="dxa"/>
              <w:right w:w="120" w:type="dxa"/>
            </w:tcMar>
          </w:tcPr>
          <w:p>
            <w:r>
              <w:rPr/>
              <w:t xml:space="preserve">Flag emoji, country name, optional URL, editor content, image and order.</w:t>
            </w:r>
          </w:p>
        </w:tc>
      </w:tr>
      <w:tr>
        <w:tc>
          <w:tcPr>
            <w:tcW w:w="1800" w:type="dxa"/>
            <w:tcMar>
              <w:top w:w="100" w:type="dxa"/>
              <w:left w:w="120" w:type="dxa"/>
              <w:bottom w:w="100" w:type="dxa"/>
              <w:right w:w="120" w:type="dxa"/>
            </w:tcMar>
          </w:tcPr>
          <w:p>
            <w:r>
              <w:rPr/>
              <w:t xml:space="preserve">Events</w:t>
            </w:r>
          </w:p>
        </w:tc>
        <w:tc>
          <w:tcPr>
            <w:tcW w:w="2600" w:type="dxa"/>
            <w:tcMar>
              <w:top w:w="100" w:type="dxa"/>
              <w:left w:w="120" w:type="dxa"/>
              <w:bottom w:w="100" w:type="dxa"/>
              <w:right w:w="120" w:type="dxa"/>
            </w:tcMar>
          </w:tcPr>
          <w:p>
            <w:r>
              <w:rPr/>
              <w:t xml:space="preserve">Training calendar.</w:t>
            </w:r>
          </w:p>
        </w:tc>
        <w:tc>
          <w:tcPr>
            <w:tcW w:w="4960" w:type="dxa"/>
            <w:tcMar>
              <w:top w:w="100" w:type="dxa"/>
              <w:left w:w="120" w:type="dxa"/>
              <w:bottom w:w="100" w:type="dxa"/>
              <w:right w:w="120" w:type="dxa"/>
            </w:tcMar>
          </w:tcPr>
          <w:p>
            <w:r>
              <w:rPr/>
              <w:t xml:space="preserve">Event metadata, registration, capacity, logos, iCal, Google Calendar links and event archive.</w:t>
            </w:r>
          </w:p>
        </w:tc>
      </w:tr>
      <w:tr>
        <w:tc>
          <w:tcPr>
            <w:tcW w:w="1800" w:type="dxa"/>
            <w:tcMar>
              <w:top w:w="100" w:type="dxa"/>
              <w:left w:w="120" w:type="dxa"/>
              <w:bottom w:w="100" w:type="dxa"/>
              <w:right w:w="120" w:type="dxa"/>
            </w:tcMar>
          </w:tcPr>
          <w:p>
            <w:r>
              <w:rPr/>
              <w:t xml:space="preserve">Forms</w:t>
            </w:r>
          </w:p>
        </w:tc>
        <w:tc>
          <w:tcPr>
            <w:tcW w:w="2600" w:type="dxa"/>
            <w:tcMar>
              <w:top w:w="100" w:type="dxa"/>
              <w:left w:w="120" w:type="dxa"/>
              <w:bottom w:w="100" w:type="dxa"/>
              <w:right w:w="120" w:type="dxa"/>
            </w:tcMar>
          </w:tcPr>
          <w:p>
            <w:r>
              <w:rPr/>
              <w:t xml:space="preserve">Native form builder.</w:t>
            </w:r>
          </w:p>
        </w:tc>
        <w:tc>
          <w:tcPr>
            <w:tcW w:w="4960" w:type="dxa"/>
            <w:tcMar>
              <w:top w:w="100" w:type="dxa"/>
              <w:left w:w="120" w:type="dxa"/>
              <w:bottom w:w="100" w:type="dxa"/>
              <w:right w:w="120" w:type="dxa"/>
            </w:tcMar>
          </w:tcPr>
          <w:p>
            <w:r>
              <w:rPr/>
              <w:t xml:space="preserve">Fields as structured meta, settings, styling, shortcode and submissions.</w:t>
            </w:r>
          </w:p>
        </w:tc>
      </w:tr>
      <w:tr>
        <w:tc>
          <w:tcPr>
            <w:tcW w:w="1800" w:type="dxa"/>
            <w:tcMar>
              <w:top w:w="100" w:type="dxa"/>
              <w:left w:w="120" w:type="dxa"/>
              <w:bottom w:w="100" w:type="dxa"/>
              <w:right w:w="120" w:type="dxa"/>
            </w:tcMar>
          </w:tcPr>
          <w:p>
            <w:r>
              <w:rPr/>
              <w:t xml:space="preserve">Form Submissions</w:t>
            </w:r>
          </w:p>
        </w:tc>
        <w:tc>
          <w:tcPr>
            <w:tcW w:w="2600" w:type="dxa"/>
            <w:tcMar>
              <w:top w:w="100" w:type="dxa"/>
              <w:left w:w="120" w:type="dxa"/>
              <w:bottom w:w="100" w:type="dxa"/>
              <w:right w:w="120" w:type="dxa"/>
            </w:tcMar>
          </w:tcPr>
          <w:p>
            <w:r>
              <w:rPr/>
              <w:t xml:space="preserve">Stored form entries.</w:t>
            </w:r>
          </w:p>
        </w:tc>
        <w:tc>
          <w:tcPr>
            <w:tcW w:w="4960" w:type="dxa"/>
            <w:tcMar>
              <w:top w:w="100" w:type="dxa"/>
              <w:left w:w="120" w:type="dxa"/>
              <w:bottom w:w="100" w:type="dxa"/>
              <w:right w:w="120" w:type="dxa"/>
            </w:tcMar>
          </w:tcPr>
          <w:p>
            <w:r>
              <w:rPr/>
              <w:t xml:space="preserve">Submission records tied to form IDs and admin viewer.</w:t>
            </w:r>
          </w:p>
        </w:tc>
      </w:tr>
      <w:tr>
        <w:tc>
          <w:tcPr>
            <w:tcW w:w="1800" w:type="dxa"/>
            <w:tcMar>
              <w:top w:w="100" w:type="dxa"/>
              <w:left w:w="120" w:type="dxa"/>
              <w:bottom w:w="100" w:type="dxa"/>
              <w:right w:w="120" w:type="dxa"/>
            </w:tcMar>
          </w:tcPr>
          <w:p>
            <w:r>
              <w:rPr/>
              <w:t xml:space="preserve">Popups</w:t>
            </w:r>
          </w:p>
        </w:tc>
        <w:tc>
          <w:tcPr>
            <w:tcW w:w="2600" w:type="dxa"/>
            <w:tcMar>
              <w:top w:w="100" w:type="dxa"/>
              <w:left w:w="120" w:type="dxa"/>
              <w:bottom w:w="100" w:type="dxa"/>
              <w:right w:w="120" w:type="dxa"/>
            </w:tcMar>
          </w:tcPr>
          <w:p>
            <w:r>
              <w:rPr/>
              <w:t xml:space="preserve">Native popup builder.</w:t>
            </w:r>
          </w:p>
        </w:tc>
        <w:tc>
          <w:tcPr>
            <w:tcW w:w="4960" w:type="dxa"/>
            <w:tcMar>
              <w:top w:w="100" w:type="dxa"/>
              <w:left w:w="120" w:type="dxa"/>
              <w:bottom w:w="100" w:type="dxa"/>
              <w:right w:w="120" w:type="dxa"/>
            </w:tcMar>
          </w:tcPr>
          <w:p>
            <w:r>
              <w:rPr/>
              <w:t xml:space="preserve">Triggers, display rules, frequency, design, preview and frontend output.</w:t>
            </w:r>
          </w:p>
        </w:tc>
      </w:tr>
      <w:tr>
        <w:tc>
          <w:tcPr>
            <w:tcW w:w="1800" w:type="dxa"/>
            <w:tcMar>
              <w:top w:w="100" w:type="dxa"/>
              <w:left w:w="120" w:type="dxa"/>
              <w:bottom w:w="100" w:type="dxa"/>
              <w:right w:w="120" w:type="dxa"/>
            </w:tcMar>
          </w:tcPr>
          <w:p>
            <w:r>
              <w:rPr/>
              <w:t xml:space="preserve">Newsletters</w:t>
            </w:r>
          </w:p>
        </w:tc>
        <w:tc>
          <w:tcPr>
            <w:tcW w:w="2600" w:type="dxa"/>
            <w:tcMar>
              <w:top w:w="100" w:type="dxa"/>
              <w:left w:w="120" w:type="dxa"/>
              <w:bottom w:w="100" w:type="dxa"/>
              <w:right w:w="120" w:type="dxa"/>
            </w:tcMar>
          </w:tcPr>
          <w:p>
            <w:r>
              <w:rPr/>
              <w:t xml:space="preserve">Newsletter issues.</w:t>
            </w:r>
          </w:p>
        </w:tc>
        <w:tc>
          <w:tcPr>
            <w:tcW w:w="4960" w:type="dxa"/>
            <w:tcMar>
              <w:top w:w="100" w:type="dxa"/>
              <w:left w:w="120" w:type="dxa"/>
              <w:bottom w:w="100" w:type="dxa"/>
              <w:right w:w="120" w:type="dxa"/>
            </w:tcMar>
          </w:tcPr>
          <w:p>
            <w:r>
              <w:rPr/>
              <w:t xml:space="preserve">Year, issue, volume, cover, downloads, email-on-publish and archive display.</w:t>
            </w:r>
          </w:p>
        </w:tc>
      </w:tr>
      <w:tr>
        <w:tc>
          <w:tcPr>
            <w:tcW w:w="1800" w:type="dxa"/>
            <w:tcMar>
              <w:top w:w="100" w:type="dxa"/>
              <w:left w:w="120" w:type="dxa"/>
              <w:bottom w:w="100" w:type="dxa"/>
              <w:right w:w="120" w:type="dxa"/>
            </w:tcMar>
          </w:tcPr>
          <w:p>
            <w:r>
              <w:rPr/>
              <w:t xml:space="preserve">Subscribers</w:t>
            </w:r>
          </w:p>
        </w:tc>
        <w:tc>
          <w:tcPr>
            <w:tcW w:w="2600" w:type="dxa"/>
            <w:tcMar>
              <w:top w:w="100" w:type="dxa"/>
              <w:left w:w="120" w:type="dxa"/>
              <w:bottom w:w="100" w:type="dxa"/>
              <w:right w:w="120" w:type="dxa"/>
            </w:tcMar>
          </w:tcPr>
          <w:p>
            <w:r>
              <w:rPr/>
              <w:t xml:space="preserve">Newsletter recipients.</w:t>
            </w:r>
          </w:p>
        </w:tc>
        <w:tc>
          <w:tcPr>
            <w:tcW w:w="4960" w:type="dxa"/>
            <w:tcMar>
              <w:top w:w="100" w:type="dxa"/>
              <w:left w:w="120" w:type="dxa"/>
              <w:bottom w:w="100" w:type="dxa"/>
              <w:right w:w="120" w:type="dxa"/>
            </w:tcMar>
          </w:tcPr>
          <w:p>
            <w:r>
              <w:rPr/>
              <w:t xml:space="preserve">Email, names, status, source and automatic capture from forms.</w:t>
            </w:r>
          </w:p>
        </w:tc>
      </w:tr>
    </w:tbl>
    <w:p>
      <w:pPr>
        <w:pStyle w:val="Heading1"/>
        <w:keepNext/>
      </w:pPr>
      <w:r>
        <w:rPr/>
        <w:t xml:space="preserve">5. Taxonomies and Content Organization</w:t>
      </w:r>
    </w:p>
    <w:p>
      <w:pPr/>
      <w:r>
        <w:rPr/>
        <w:t xml:space="preserve">Resource Type organizes Resources into Bench Books, Judicial Handbook, Case Notes, CPD Lectures, Executive Director Speeches, Prospectus, Lecture Series and Customer Service. The theme creates expected resource type terms and supports aliases so legacy names can continue working.</w:t>
      </w:r>
    </w:p>
    <w:p>
      <w:pPr/>
      <w:r>
        <w:rPr/>
        <w:t xml:space="preserve">Department organizes Staff Members and allows the Staff Directory to separate leadership from general staff. Event Category organizes Events for filtering and shortcode output.</w:t>
      </w:r>
    </w:p>
    <w:p>
      <w:pPr>
        <w:pStyle w:val="Heading1"/>
        <w:keepNext/>
      </w:pPr>
      <w:r>
        <w:rPr/>
        <w:t xml:space="preserve">6. Homepage Experience</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2500"/>
        <w:gridCol w:w="6860"/>
      </w:tblGrid>
      <w:tr>
        <w:tc>
          <w:tcPr>
            <w:tcW w:w="2500" w:type="dxa"/>
            <w:shd w:fill="EAF3EC"/>
            <w:tcMar>
              <w:top w:w="100" w:type="dxa"/>
              <w:left w:w="120" w:type="dxa"/>
              <w:bottom w:w="100" w:type="dxa"/>
              <w:right w:w="120" w:type="dxa"/>
            </w:tcMar>
          </w:tcPr>
          <w:p>
            <w:r>
              <w:rPr>
                <w:b/>
              </w:rPr>
              <w:t xml:space="preserve">Homepage area</w:t>
            </w:r>
          </w:p>
        </w:tc>
        <w:tc>
          <w:tcPr>
            <w:tcW w:w="6860" w:type="dxa"/>
            <w:shd w:fill="EAF3EC"/>
            <w:tcMar>
              <w:top w:w="100" w:type="dxa"/>
              <w:left w:w="120" w:type="dxa"/>
              <w:bottom w:w="100" w:type="dxa"/>
              <w:right w:w="120" w:type="dxa"/>
            </w:tcMar>
          </w:tcPr>
          <w:p>
            <w:r>
              <w:rPr>
                <w:b/>
              </w:rPr>
              <w:t xml:space="preserve">Included capability</w:t>
            </w:r>
          </w:p>
        </w:tc>
      </w:tr>
      <w:tr>
        <w:tc>
          <w:tcPr>
            <w:tcW w:w="2500" w:type="dxa"/>
            <w:tcMar>
              <w:top w:w="100" w:type="dxa"/>
              <w:left w:w="120" w:type="dxa"/>
              <w:bottom w:w="100" w:type="dxa"/>
              <w:right w:w="120" w:type="dxa"/>
            </w:tcMar>
          </w:tcPr>
          <w:p>
            <w:r>
              <w:rPr/>
              <w:t xml:space="preserve">Hero carousel</w:t>
            </w:r>
          </w:p>
        </w:tc>
        <w:tc>
          <w:tcPr>
            <w:tcW w:w="6860" w:type="dxa"/>
            <w:tcMar>
              <w:top w:w="100" w:type="dxa"/>
              <w:left w:w="120" w:type="dxa"/>
              <w:bottom w:w="100" w:type="dxa"/>
              <w:right w:w="120" w:type="dxa"/>
            </w:tcMar>
          </w:tcPr>
          <w:p>
            <w:r>
              <w:rPr/>
              <w:t xml:space="preserve">Up to five managed slides with responsive images, overlay, slide dots and previous/next controls.</w:t>
            </w:r>
          </w:p>
        </w:tc>
      </w:tr>
      <w:tr>
        <w:tc>
          <w:tcPr>
            <w:tcW w:w="2500" w:type="dxa"/>
            <w:tcMar>
              <w:top w:w="100" w:type="dxa"/>
              <w:left w:w="120" w:type="dxa"/>
              <w:bottom w:w="100" w:type="dxa"/>
              <w:right w:w="120" w:type="dxa"/>
            </w:tcMar>
          </w:tcPr>
          <w:p>
            <w:r>
              <w:rPr/>
              <w:t xml:space="preserve">Stats strip</w:t>
            </w:r>
          </w:p>
        </w:tc>
        <w:tc>
          <w:tcPr>
            <w:tcW w:w="6860" w:type="dxa"/>
            <w:tcMar>
              <w:top w:w="100" w:type="dxa"/>
              <w:left w:w="120" w:type="dxa"/>
              <w:bottom w:w="100" w:type="dxa"/>
              <w:right w:w="120" w:type="dxa"/>
            </w:tcMar>
          </w:tcPr>
          <w:p>
            <w:r>
              <w:rPr/>
              <w:t xml:space="preserve">Four admin-managed counters with editable numbers and labels.</w:t>
            </w:r>
          </w:p>
        </w:tc>
      </w:tr>
      <w:tr>
        <w:tc>
          <w:tcPr>
            <w:tcW w:w="2500" w:type="dxa"/>
            <w:tcMar>
              <w:top w:w="100" w:type="dxa"/>
              <w:left w:w="120" w:type="dxa"/>
              <w:bottom w:w="100" w:type="dxa"/>
              <w:right w:w="120" w:type="dxa"/>
            </w:tcMar>
          </w:tcPr>
          <w:p>
            <w:r>
              <w:rPr/>
              <w:t xml:space="preserve">Welcome/video block</w:t>
            </w:r>
          </w:p>
        </w:tc>
        <w:tc>
          <w:tcPr>
            <w:tcW w:w="6860" w:type="dxa"/>
            <w:tcMar>
              <w:top w:w="100" w:type="dxa"/>
              <w:left w:w="120" w:type="dxa"/>
              <w:bottom w:w="100" w:type="dxa"/>
              <w:right w:w="120" w:type="dxa"/>
            </w:tcMar>
          </w:tcPr>
          <w:p>
            <w:r>
              <w:rPr/>
              <w:t xml:space="preserve">Institutional welcome copy, YouTube embed support, live stream badge and fixed video message links.</w:t>
            </w:r>
          </w:p>
        </w:tc>
      </w:tr>
      <w:tr>
        <w:tc>
          <w:tcPr>
            <w:tcW w:w="2500" w:type="dxa"/>
            <w:tcMar>
              <w:top w:w="100" w:type="dxa"/>
              <w:left w:w="120" w:type="dxa"/>
              <w:bottom w:w="100" w:type="dxa"/>
              <w:right w:w="120" w:type="dxa"/>
            </w:tcMar>
          </w:tcPr>
          <w:p>
            <w:r>
              <w:rPr/>
              <w:t xml:space="preserve">Quick Access</w:t>
            </w:r>
          </w:p>
        </w:tc>
        <w:tc>
          <w:tcPr>
            <w:tcW w:w="6860" w:type="dxa"/>
            <w:tcMar>
              <w:top w:w="100" w:type="dxa"/>
              <w:left w:w="120" w:type="dxa"/>
              <w:bottom w:w="100" w:type="dxa"/>
              <w:right w:w="120" w:type="dxa"/>
            </w:tcMar>
          </w:tcPr>
          <w:p>
            <w:r>
              <w:rPr/>
              <w:t xml:space="preserve">Direct access tiles for Bench Books, Judicial Handbook, Case Notes, CPD Lectures, Training Calendar, LMS, Annual Reports, Newsletters, ED Speeches and Prospectus.</w:t>
            </w:r>
          </w:p>
        </w:tc>
      </w:tr>
      <w:tr>
        <w:tc>
          <w:tcPr>
            <w:tcW w:w="2500" w:type="dxa"/>
            <w:tcMar>
              <w:top w:w="100" w:type="dxa"/>
              <w:left w:w="120" w:type="dxa"/>
              <w:bottom w:w="100" w:type="dxa"/>
              <w:right w:w="120" w:type="dxa"/>
            </w:tcMar>
          </w:tcPr>
          <w:p>
            <w:r>
              <w:rPr/>
              <w:t xml:space="preserve">Latest News</w:t>
            </w:r>
          </w:p>
        </w:tc>
        <w:tc>
          <w:tcPr>
            <w:tcW w:w="6860" w:type="dxa"/>
            <w:tcMar>
              <w:top w:w="100" w:type="dxa"/>
              <w:left w:w="120" w:type="dxa"/>
              <w:bottom w:w="100" w:type="dxa"/>
              <w:right w:w="120" w:type="dxa"/>
            </w:tcMar>
          </w:tcPr>
          <w:p>
            <w:r>
              <w:rPr/>
              <w:t xml:space="preserve">Five most recent posts shown in card format, newest first.</w:t>
            </w:r>
          </w:p>
        </w:tc>
      </w:tr>
      <w:tr>
        <w:tc>
          <w:tcPr>
            <w:tcW w:w="2500" w:type="dxa"/>
            <w:tcMar>
              <w:top w:w="100" w:type="dxa"/>
              <w:left w:w="120" w:type="dxa"/>
              <w:bottom w:w="100" w:type="dxa"/>
              <w:right w:w="120" w:type="dxa"/>
            </w:tcMar>
          </w:tcPr>
          <w:p>
            <w:r>
              <w:rPr/>
              <w:t xml:space="preserve">Upcoming Events</w:t>
            </w:r>
          </w:p>
        </w:tc>
        <w:tc>
          <w:tcPr>
            <w:tcW w:w="6860" w:type="dxa"/>
            <w:tcMar>
              <w:top w:w="100" w:type="dxa"/>
              <w:left w:w="120" w:type="dxa"/>
              <w:bottom w:w="100" w:type="dxa"/>
              <w:right w:w="120" w:type="dxa"/>
            </w:tcMar>
          </w:tcPr>
          <w:p>
            <w:r>
              <w:rPr/>
              <w:t xml:space="preserve">Three upcoming events from the custom events system or TEC fallback.</w:t>
            </w:r>
          </w:p>
        </w:tc>
      </w:tr>
      <w:tr>
        <w:tc>
          <w:tcPr>
            <w:tcW w:w="2500" w:type="dxa"/>
            <w:tcMar>
              <w:top w:w="100" w:type="dxa"/>
              <w:left w:w="120" w:type="dxa"/>
              <w:bottom w:w="100" w:type="dxa"/>
              <w:right w:w="120" w:type="dxa"/>
            </w:tcMar>
          </w:tcPr>
          <w:p>
            <w:r>
              <w:rPr/>
              <w:t xml:space="preserve">Objectives and audiences</w:t>
            </w:r>
          </w:p>
        </w:tc>
        <w:tc>
          <w:tcPr>
            <w:tcW w:w="6860" w:type="dxa"/>
            <w:tcMar>
              <w:top w:w="100" w:type="dxa"/>
              <w:left w:w="120" w:type="dxa"/>
              <w:bottom w:w="100" w:type="dxa"/>
              <w:right w:w="120" w:type="dxa"/>
            </w:tcMar>
          </w:tcPr>
          <w:p>
            <w:r>
              <w:rPr/>
              <w:t xml:space="preserve">Purpose section with key objectives and audience cards.</w:t>
            </w:r>
          </w:p>
        </w:tc>
      </w:tr>
      <w:tr>
        <w:tc>
          <w:tcPr>
            <w:tcW w:w="2500" w:type="dxa"/>
            <w:tcMar>
              <w:top w:w="100" w:type="dxa"/>
              <w:left w:w="120" w:type="dxa"/>
              <w:bottom w:w="100" w:type="dxa"/>
              <w:right w:w="120" w:type="dxa"/>
            </w:tcMar>
          </w:tcPr>
          <w:p>
            <w:r>
              <w:rPr/>
              <w:t xml:space="preserve">International partners</w:t>
            </w:r>
          </w:p>
        </w:tc>
        <w:tc>
          <w:tcPr>
            <w:tcW w:w="6860" w:type="dxa"/>
            <w:tcMar>
              <w:top w:w="100" w:type="dxa"/>
              <w:left w:w="120" w:type="dxa"/>
              <w:bottom w:w="100" w:type="dxa"/>
              <w:right w:w="120" w:type="dxa"/>
            </w:tcMar>
          </w:tcPr>
          <w:p>
            <w:r>
              <w:rPr/>
              <w:t xml:space="preserve">Structured partner names and external partner links.</w:t>
            </w:r>
          </w:p>
        </w:tc>
      </w:tr>
      <w:tr>
        <w:tc>
          <w:tcPr>
            <w:tcW w:w="2500" w:type="dxa"/>
            <w:tcMar>
              <w:top w:w="100" w:type="dxa"/>
              <w:left w:w="120" w:type="dxa"/>
              <w:bottom w:w="100" w:type="dxa"/>
              <w:right w:w="120" w:type="dxa"/>
            </w:tcMar>
          </w:tcPr>
          <w:p>
            <w:r>
              <w:rPr/>
              <w:t xml:space="preserve">Newsletter signup</w:t>
            </w:r>
          </w:p>
        </w:tc>
        <w:tc>
          <w:tcPr>
            <w:tcW w:w="6860" w:type="dxa"/>
            <w:tcMar>
              <w:top w:w="100" w:type="dxa"/>
              <w:left w:w="120" w:type="dxa"/>
              <w:bottom w:w="100" w:type="dxa"/>
              <w:right w:w="120" w:type="dxa"/>
            </w:tcMar>
          </w:tcPr>
          <w:p>
            <w:r>
              <w:rPr/>
              <w:t xml:space="preserve">Gravity Forms or PNGCJE native form fallback selected in the Customizer.</w:t>
            </w:r>
          </w:p>
        </w:tc>
      </w:tr>
    </w:tbl>
    <w:p>
      <w:pPr>
        <w:pStyle w:val="Heading1"/>
        <w:keepNext/>
      </w:pPr>
      <w:r>
        <w:rPr/>
        <w:t xml:space="preserve">7. Public Page Templates</w:t>
      </w:r>
    </w:p>
    <w:p>
      <w:pPr/>
      <w:r>
        <w:rPr/>
        <w:t xml:space="preserve">Dedicated templates have been created so key PNGCJE pages retain a consistent institutional layout. Templates include About, Governance, Our Work Hub, Staff Directory, Contact, Training Calendar, Resources Hub, Annual Reports, Newsletters, Pacific Centre, Customer Service, Sitemap, Accessibility, Privacy Policy, Terms of Use and specialized resource landing pages.</w:t>
      </w:r>
    </w:p>
    <w:p>
      <w:pPr/>
      <w:r>
        <w:rPr/>
        <w:t xml:space="preserve">Many public pages use a shared content-public-page layout with hero area, breadcrumbs, section labels, full content column, optional sidebar and reusable resource sections. This keeps pages consistent while allowing each page to carry tailored institutional content.</w:t>
      </w:r>
    </w:p>
    <w:p>
      <w:pPr>
        <w:pStyle w:val="Heading1"/>
        <w:keepNext/>
      </w:pPr>
      <w:r>
        <w:rPr/>
        <w:t xml:space="preserve">8. Resource Library Work</w:t>
      </w:r>
    </w:p>
    <w:p>
      <w:pPr/>
      <w:r>
        <w:rPr/>
        <w:t xml:space="preserve">The resource system includes archive templates, taxonomy templates, single-resource templates, resource metadata, file display, file size display, year display, resource type filtering and related resource output. Annual Reports were separated into their own content type to avoid mixing reports into general resource queries.</w:t>
      </w:r>
    </w:p>
    <w:p>
      <w:pPr/>
      <w:r>
        <w:rPr/>
        <w:t xml:space="preserve">Legacy resource paths and aliases are handled so links such as handbook-related paths can continue resolving to the correct taxonomy or page destination.</w:t>
      </w:r>
    </w:p>
    <w:p>
      <w:pPr>
        <w:pStyle w:val="Heading1"/>
        <w:keepNext/>
      </w:pPr>
      <w:r>
        <w:rPr/>
        <w:t xml:space="preserve">9. Governance, Staff and People Systems</w:t>
      </w:r>
    </w:p>
    <w:p>
      <w:pPr/>
      <w:r>
        <w:rPr/>
        <w:t xml:space="preserve">The Staff Directory shows leadership first, then other staff, with department filter tabs. Staff ordering is controlled by menu_order. Board Members display on Governance ordered by menu_order and title. Program Officers can be managed separately and shown on Customer Service.</w:t>
      </w:r>
    </w:p>
    <w:p>
      <w:pPr/>
      <w:r>
        <w:rPr/>
        <w:t xml:space="preserve">Each people system has native meta boxes, not ACF dependency: roles, emails, phones, organisation fields and profile photos are managed directly in WordPress.</w:t>
      </w:r>
    </w:p>
    <w:p>
      <w:pPr>
        <w:pStyle w:val="Heading1"/>
        <w:keepNext/>
      </w:pPr>
      <w:r>
        <w:rPr/>
        <w:t xml:space="preserve">10. Events and Training Calendar System</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2400"/>
        <w:gridCol w:w="6960"/>
      </w:tblGrid>
      <w:tr>
        <w:tc>
          <w:tcPr>
            <w:tcW w:w="2400" w:type="dxa"/>
            <w:shd w:fill="EAF3EC"/>
            <w:tcMar>
              <w:top w:w="100" w:type="dxa"/>
              <w:left w:w="120" w:type="dxa"/>
              <w:bottom w:w="100" w:type="dxa"/>
              <w:right w:w="120" w:type="dxa"/>
            </w:tcMar>
          </w:tcPr>
          <w:p>
            <w:r>
              <w:rPr>
                <w:b/>
              </w:rPr>
              <w:t xml:space="preserve">Feature</w:t>
            </w:r>
          </w:p>
        </w:tc>
        <w:tc>
          <w:tcPr>
            <w:tcW w:w="6960" w:type="dxa"/>
            <w:shd w:fill="EAF3EC"/>
            <w:tcMar>
              <w:top w:w="100" w:type="dxa"/>
              <w:left w:w="120" w:type="dxa"/>
              <w:bottom w:w="100" w:type="dxa"/>
              <w:right w:w="120" w:type="dxa"/>
            </w:tcMar>
          </w:tcPr>
          <w:p>
            <w:r>
              <w:rPr>
                <w:b/>
              </w:rPr>
              <w:t xml:space="preserve">Included detail</w:t>
            </w:r>
          </w:p>
        </w:tc>
      </w:tr>
      <w:tr>
        <w:tc>
          <w:tcPr>
            <w:tcW w:w="2400" w:type="dxa"/>
            <w:tcMar>
              <w:top w:w="100" w:type="dxa"/>
              <w:left w:w="120" w:type="dxa"/>
              <w:bottom w:w="100" w:type="dxa"/>
              <w:right w:w="120" w:type="dxa"/>
            </w:tcMar>
          </w:tcPr>
          <w:p>
            <w:r>
              <w:rPr/>
              <w:t xml:space="preserve">Custom event post type</w:t>
            </w:r>
          </w:p>
        </w:tc>
        <w:tc>
          <w:tcPr>
            <w:tcW w:w="6960" w:type="dxa"/>
            <w:tcMar>
              <w:top w:w="100" w:type="dxa"/>
              <w:left w:w="120" w:type="dxa"/>
              <w:bottom w:w="100" w:type="dxa"/>
              <w:right w:w="120" w:type="dxa"/>
            </w:tcMar>
          </w:tcPr>
          <w:p>
            <w:r>
              <w:rPr/>
              <w:t xml:space="preserve">Events archive at /events/ with single event pages.</w:t>
            </w:r>
          </w:p>
        </w:tc>
      </w:tr>
      <w:tr>
        <w:tc>
          <w:tcPr>
            <w:tcW w:w="2400" w:type="dxa"/>
            <w:tcMar>
              <w:top w:w="100" w:type="dxa"/>
              <w:left w:w="120" w:type="dxa"/>
              <w:bottom w:w="100" w:type="dxa"/>
              <w:right w:w="120" w:type="dxa"/>
            </w:tcMar>
          </w:tcPr>
          <w:p>
            <w:r>
              <w:rPr/>
              <w:t xml:space="preserve">Event metadata</w:t>
            </w:r>
          </w:p>
        </w:tc>
        <w:tc>
          <w:tcPr>
            <w:tcW w:w="6960" w:type="dxa"/>
            <w:tcMar>
              <w:top w:w="100" w:type="dxa"/>
              <w:left w:w="120" w:type="dxa"/>
              <w:bottom w:w="100" w:type="dxa"/>
              <w:right w:w="120" w:type="dxa"/>
            </w:tcMar>
          </w:tcPr>
          <w:p>
            <w:r>
              <w:rPr/>
              <w:t xml:space="preserve">Start/end date and time, venue, city, address, organiser, organiser email, cost, website and status.</w:t>
            </w:r>
          </w:p>
        </w:tc>
      </w:tr>
      <w:tr>
        <w:tc>
          <w:tcPr>
            <w:tcW w:w="2400" w:type="dxa"/>
            <w:tcMar>
              <w:top w:w="100" w:type="dxa"/>
              <w:left w:w="120" w:type="dxa"/>
              <w:bottom w:w="100" w:type="dxa"/>
              <w:right w:w="120" w:type="dxa"/>
            </w:tcMar>
          </w:tcPr>
          <w:p>
            <w:r>
              <w:rPr/>
              <w:t xml:space="preserve">Statuses</w:t>
            </w:r>
          </w:p>
        </w:tc>
        <w:tc>
          <w:tcPr>
            <w:tcW w:w="6960" w:type="dxa"/>
            <w:tcMar>
              <w:top w:w="100" w:type="dxa"/>
              <w:left w:w="120" w:type="dxa"/>
              <w:bottom w:w="100" w:type="dxa"/>
              <w:right w:w="120" w:type="dxa"/>
            </w:tcMar>
          </w:tcPr>
          <w:p>
            <w:r>
              <w:rPr/>
              <w:t xml:space="preserve">Scheduled, Open for Registration, Full / Waitlist, Cancelled and Completed.</w:t>
            </w:r>
          </w:p>
        </w:tc>
      </w:tr>
      <w:tr>
        <w:tc>
          <w:tcPr>
            <w:tcW w:w="2400" w:type="dxa"/>
            <w:tcMar>
              <w:top w:w="100" w:type="dxa"/>
              <w:left w:w="120" w:type="dxa"/>
              <w:bottom w:w="100" w:type="dxa"/>
              <w:right w:w="120" w:type="dxa"/>
            </w:tcMar>
          </w:tcPr>
          <w:p>
            <w:r>
              <w:rPr/>
              <w:t xml:space="preserve">Registration</w:t>
            </w:r>
          </w:p>
        </w:tc>
        <w:tc>
          <w:tcPr>
            <w:tcW w:w="6960" w:type="dxa"/>
            <w:tcMar>
              <w:top w:w="100" w:type="dxa"/>
              <w:left w:w="120" w:type="dxa"/>
              <w:bottom w:w="100" w:type="dxa"/>
              <w:right w:w="120" w:type="dxa"/>
            </w:tcMar>
          </w:tcPr>
          <w:p>
            <w:r>
              <w:rPr/>
              <w:t xml:space="preserve">Built-in registration toggle, form ID, capacity and external registration URL override.</w:t>
            </w:r>
          </w:p>
        </w:tc>
      </w:tr>
      <w:tr>
        <w:tc>
          <w:tcPr>
            <w:tcW w:w="2400" w:type="dxa"/>
            <w:tcMar>
              <w:top w:w="100" w:type="dxa"/>
              <w:left w:w="120" w:type="dxa"/>
              <w:bottom w:w="100" w:type="dxa"/>
              <w:right w:w="120" w:type="dxa"/>
            </w:tcMar>
          </w:tcPr>
          <w:p>
            <w:r>
              <w:rPr/>
              <w:t xml:space="preserve">Logos</w:t>
            </w:r>
          </w:p>
        </w:tc>
        <w:tc>
          <w:tcPr>
            <w:tcW w:w="6960" w:type="dxa"/>
            <w:tcMar>
              <w:top w:w="100" w:type="dxa"/>
              <w:left w:w="120" w:type="dxa"/>
              <w:bottom w:w="100" w:type="dxa"/>
              <w:right w:w="120" w:type="dxa"/>
            </w:tcMar>
          </w:tcPr>
          <w:p>
            <w:r>
              <w:rPr/>
              <w:t xml:space="preserve">Organised By, Supported By and Sponsored By logo/name groups.</w:t>
            </w:r>
          </w:p>
        </w:tc>
      </w:tr>
      <w:tr>
        <w:tc>
          <w:tcPr>
            <w:tcW w:w="2400" w:type="dxa"/>
            <w:tcMar>
              <w:top w:w="100" w:type="dxa"/>
              <w:left w:w="120" w:type="dxa"/>
              <w:bottom w:w="100" w:type="dxa"/>
              <w:right w:w="120" w:type="dxa"/>
            </w:tcMar>
          </w:tcPr>
          <w:p>
            <w:r>
              <w:rPr/>
              <w:t xml:space="preserve">Calendar integration</w:t>
            </w:r>
          </w:p>
        </w:tc>
        <w:tc>
          <w:tcPr>
            <w:tcW w:w="6960" w:type="dxa"/>
            <w:tcMar>
              <w:top w:w="100" w:type="dxa"/>
              <w:left w:w="120" w:type="dxa"/>
              <w:bottom w:w="100" w:type="dxa"/>
              <w:right w:w="120" w:type="dxa"/>
            </w:tcMar>
          </w:tcPr>
          <w:p>
            <w:r>
              <w:rPr/>
              <w:t xml:space="preserve">Single event .ics, full calendar .ics and Google Calendar links.</w:t>
            </w:r>
          </w:p>
        </w:tc>
      </w:tr>
      <w:tr>
        <w:tc>
          <w:tcPr>
            <w:tcW w:w="2400" w:type="dxa"/>
            <w:tcMar>
              <w:top w:w="100" w:type="dxa"/>
              <w:left w:w="120" w:type="dxa"/>
              <w:bottom w:w="100" w:type="dxa"/>
              <w:right w:w="120" w:type="dxa"/>
            </w:tcMar>
          </w:tcPr>
          <w:p>
            <w:r>
              <w:rPr/>
              <w:t xml:space="preserve">Shortcodes</w:t>
            </w:r>
          </w:p>
        </w:tc>
        <w:tc>
          <w:tcPr>
            <w:tcW w:w="6960" w:type="dxa"/>
            <w:tcMar>
              <w:top w:w="100" w:type="dxa"/>
              <w:left w:w="120" w:type="dxa"/>
              <w:bottom w:w="100" w:type="dxa"/>
              <w:right w:w="120" w:type="dxa"/>
            </w:tcMar>
          </w:tcPr>
          <w:p>
            <w:r>
              <w:rPr/>
              <w:t xml:space="preserve">Cards, list and mini event output with count and category options.</w:t>
            </w:r>
          </w:p>
        </w:tc>
      </w:tr>
      <w:tr>
        <w:tc>
          <w:tcPr>
            <w:tcW w:w="2400" w:type="dxa"/>
            <w:tcMar>
              <w:top w:w="100" w:type="dxa"/>
              <w:left w:w="120" w:type="dxa"/>
              <w:bottom w:w="100" w:type="dxa"/>
              <w:right w:w="120" w:type="dxa"/>
            </w:tcMar>
          </w:tcPr>
          <w:p>
            <w:r>
              <w:rPr/>
              <w:t xml:space="preserve">Plugin compatibility</w:t>
            </w:r>
          </w:p>
        </w:tc>
        <w:tc>
          <w:tcPr>
            <w:tcW w:w="6960" w:type="dxa"/>
            <w:tcMar>
              <w:top w:w="100" w:type="dxa"/>
              <w:left w:w="120" w:type="dxa"/>
              <w:bottom w:w="100" w:type="dxa"/>
              <w:right w:w="120" w:type="dxa"/>
            </w:tcMar>
          </w:tcPr>
          <w:p>
            <w:r>
              <w:rPr/>
              <w:t xml:space="preserve">Falls back to The Events Calendar when TEC is active.</w:t>
            </w:r>
          </w:p>
        </w:tc>
      </w:tr>
      <w:tr>
        <w:tc>
          <w:tcPr>
            <w:tcW w:w="2400" w:type="dxa"/>
            <w:tcMar>
              <w:top w:w="100" w:type="dxa"/>
              <w:left w:w="120" w:type="dxa"/>
              <w:bottom w:w="100" w:type="dxa"/>
              <w:right w:w="120" w:type="dxa"/>
            </w:tcMar>
          </w:tcPr>
          <w:p>
            <w:r>
              <w:rPr/>
              <w:t xml:space="preserve">Admin columns</w:t>
            </w:r>
          </w:p>
        </w:tc>
        <w:tc>
          <w:tcPr>
            <w:tcW w:w="6960" w:type="dxa"/>
            <w:tcMar>
              <w:top w:w="100" w:type="dxa"/>
              <w:left w:w="120" w:type="dxa"/>
              <w:bottom w:w="100" w:type="dxa"/>
              <w:right w:w="120" w:type="dxa"/>
            </w:tcMar>
          </w:tcPr>
          <w:p>
            <w:r>
              <w:rPr/>
              <w:t xml:space="preserve">Event date, venue and status columns in the admin listing.</w:t>
            </w:r>
          </w:p>
        </w:tc>
      </w:tr>
    </w:tbl>
    <w:p>
      <w:pPr>
        <w:pStyle w:val="Heading1"/>
        <w:keepNext/>
      </w:pPr>
      <w:r>
        <w:rPr/>
        <w:t xml:space="preserve">11. Forms System</w:t>
      </w:r>
    </w:p>
    <w:p>
      <w:pPr/>
      <w:r>
        <w:rPr/>
        <w:t xml:space="preserve">The native Forms system is one of the largest custom additions. It includes a dashboard, field builder, form settings, style controls, shortcode output, validation, submission storage, email notifications and newsletter subscriber integration.</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2400"/>
        <w:gridCol w:w="6960"/>
      </w:tblGrid>
      <w:tr>
        <w:tc>
          <w:tcPr>
            <w:tcW w:w="2400" w:type="dxa"/>
            <w:shd w:fill="EAF3EC"/>
            <w:tcMar>
              <w:top w:w="100" w:type="dxa"/>
              <w:left w:w="120" w:type="dxa"/>
              <w:bottom w:w="100" w:type="dxa"/>
              <w:right w:w="120" w:type="dxa"/>
            </w:tcMar>
          </w:tcPr>
          <w:p>
            <w:r>
              <w:rPr>
                <w:b/>
              </w:rPr>
              <w:t xml:space="preserve">Form capability</w:t>
            </w:r>
          </w:p>
        </w:tc>
        <w:tc>
          <w:tcPr>
            <w:tcW w:w="6960" w:type="dxa"/>
            <w:shd w:fill="EAF3EC"/>
            <w:tcMar>
              <w:top w:w="100" w:type="dxa"/>
              <w:left w:w="120" w:type="dxa"/>
              <w:bottom w:w="100" w:type="dxa"/>
              <w:right w:w="120" w:type="dxa"/>
            </w:tcMar>
          </w:tcPr>
          <w:p>
            <w:r>
              <w:rPr>
                <w:b/>
              </w:rPr>
              <w:t xml:space="preserve">Included detail</w:t>
            </w:r>
          </w:p>
        </w:tc>
      </w:tr>
      <w:tr>
        <w:tc>
          <w:tcPr>
            <w:tcW w:w="2400" w:type="dxa"/>
            <w:tcMar>
              <w:top w:w="100" w:type="dxa"/>
              <w:left w:w="120" w:type="dxa"/>
              <w:bottom w:w="100" w:type="dxa"/>
              <w:right w:w="120" w:type="dxa"/>
            </w:tcMar>
          </w:tcPr>
          <w:p>
            <w:r>
              <w:rPr/>
              <w:t xml:space="preserve">Field types</w:t>
            </w:r>
          </w:p>
        </w:tc>
        <w:tc>
          <w:tcPr>
            <w:tcW w:w="6960" w:type="dxa"/>
            <w:tcMar>
              <w:top w:w="100" w:type="dxa"/>
              <w:left w:w="120" w:type="dxa"/>
              <w:bottom w:w="100" w:type="dxa"/>
              <w:right w:w="120" w:type="dxa"/>
            </w:tcMar>
          </w:tcPr>
          <w:p>
            <w:r>
              <w:rPr/>
              <w:t xml:space="preserve">Text, Email, Phone, Textarea, Dropdown, Radio, Checkbox, Number, Date, File Upload, Hidden, H1 Heading, Section Heading, Paragraph, Divider and Line Break.</w:t>
            </w:r>
          </w:p>
        </w:tc>
      </w:tr>
      <w:tr>
        <w:tc>
          <w:tcPr>
            <w:tcW w:w="2400" w:type="dxa"/>
            <w:tcMar>
              <w:top w:w="100" w:type="dxa"/>
              <w:left w:w="120" w:type="dxa"/>
              <w:bottom w:w="100" w:type="dxa"/>
              <w:right w:w="120" w:type="dxa"/>
            </w:tcMar>
          </w:tcPr>
          <w:p>
            <w:r>
              <w:rPr/>
              <w:t xml:space="preserve">Layout controls</w:t>
            </w:r>
          </w:p>
        </w:tc>
        <w:tc>
          <w:tcPr>
            <w:tcW w:w="6960" w:type="dxa"/>
            <w:tcMar>
              <w:top w:w="100" w:type="dxa"/>
              <w:left w:w="120" w:type="dxa"/>
              <w:bottom w:w="100" w:type="dxa"/>
              <w:right w:w="120" w:type="dxa"/>
            </w:tcMar>
          </w:tcPr>
          <w:p>
            <w:r>
              <w:rPr/>
              <w:t xml:space="preserve">Full, half and third width fields plus new-line control.</w:t>
            </w:r>
          </w:p>
        </w:tc>
      </w:tr>
      <w:tr>
        <w:tc>
          <w:tcPr>
            <w:tcW w:w="2400" w:type="dxa"/>
            <w:tcMar>
              <w:top w:w="100" w:type="dxa"/>
              <w:left w:w="120" w:type="dxa"/>
              <w:bottom w:w="100" w:type="dxa"/>
              <w:right w:w="120" w:type="dxa"/>
            </w:tcMar>
          </w:tcPr>
          <w:p>
            <w:r>
              <w:rPr/>
              <w:t xml:space="preserve">Display controls</w:t>
            </w:r>
          </w:p>
        </w:tc>
        <w:tc>
          <w:tcPr>
            <w:tcW w:w="6960" w:type="dxa"/>
            <w:tcMar>
              <w:top w:w="100" w:type="dxa"/>
              <w:left w:w="120" w:type="dxa"/>
              <w:bottom w:w="100" w:type="dxa"/>
              <w:right w:w="120" w:type="dxa"/>
            </w:tcMar>
          </w:tcPr>
          <w:p>
            <w:r>
              <w:rPr/>
              <w:t xml:space="preserve">Headings with alignment and subheading, paragraphs, dividers and line breaks.</w:t>
            </w:r>
          </w:p>
        </w:tc>
      </w:tr>
      <w:tr>
        <w:tc>
          <w:tcPr>
            <w:tcW w:w="2400" w:type="dxa"/>
            <w:tcMar>
              <w:top w:w="100" w:type="dxa"/>
              <w:left w:w="120" w:type="dxa"/>
              <w:bottom w:w="100" w:type="dxa"/>
              <w:right w:w="120" w:type="dxa"/>
            </w:tcMar>
          </w:tcPr>
          <w:p>
            <w:r>
              <w:rPr/>
              <w:t xml:space="preserve">Per-field controls</w:t>
            </w:r>
          </w:p>
        </w:tc>
        <w:tc>
          <w:tcPr>
            <w:tcW w:w="6960" w:type="dxa"/>
            <w:tcMar>
              <w:top w:w="100" w:type="dxa"/>
              <w:left w:w="120" w:type="dxa"/>
              <w:bottom w:w="100" w:type="dxa"/>
              <w:right w:w="120" w:type="dxa"/>
            </w:tcMar>
          </w:tcPr>
          <w:p>
            <w:r>
              <w:rPr/>
              <w:t xml:space="preserve">Label, field key, placeholder, default, options, help text, required state, input background, border and label color.</w:t>
            </w:r>
          </w:p>
        </w:tc>
      </w:tr>
      <w:tr>
        <w:tc>
          <w:tcPr>
            <w:tcW w:w="2400" w:type="dxa"/>
            <w:tcMar>
              <w:top w:w="100" w:type="dxa"/>
              <w:left w:w="120" w:type="dxa"/>
              <w:bottom w:w="100" w:type="dxa"/>
              <w:right w:w="120" w:type="dxa"/>
            </w:tcMar>
          </w:tcPr>
          <w:p>
            <w:r>
              <w:rPr/>
              <w:t xml:space="preserve">Form settings</w:t>
            </w:r>
          </w:p>
        </w:tc>
        <w:tc>
          <w:tcPr>
            <w:tcW w:w="6960" w:type="dxa"/>
            <w:tcMar>
              <w:top w:w="100" w:type="dxa"/>
              <w:left w:w="120" w:type="dxa"/>
              <w:bottom w:w="100" w:type="dxa"/>
              <w:right w:w="120" w:type="dxa"/>
            </w:tcMar>
          </w:tcPr>
          <w:p>
            <w:r>
              <w:rPr/>
              <w:t xml:space="preserve">Notification emails, subject, confirmation message or redirect, auto-reply, submit button label, layout, form style and colours.</w:t>
            </w:r>
          </w:p>
        </w:tc>
      </w:tr>
      <w:tr>
        <w:tc>
          <w:tcPr>
            <w:tcW w:w="2400" w:type="dxa"/>
            <w:tcMar>
              <w:top w:w="100" w:type="dxa"/>
              <w:left w:w="120" w:type="dxa"/>
              <w:bottom w:w="100" w:type="dxa"/>
              <w:right w:w="120" w:type="dxa"/>
            </w:tcMar>
          </w:tcPr>
          <w:p>
            <w:r>
              <w:rPr/>
              <w:t xml:space="preserve">Frontend behaviour</w:t>
            </w:r>
          </w:p>
        </w:tc>
        <w:tc>
          <w:tcPr>
            <w:tcW w:w="6960" w:type="dxa"/>
            <w:tcMar>
              <w:top w:w="100" w:type="dxa"/>
              <w:left w:w="120" w:type="dxa"/>
              <w:bottom w:w="100" w:type="dxa"/>
              <w:right w:w="120" w:type="dxa"/>
            </w:tcMar>
          </w:tcPr>
          <w:p>
            <w:r>
              <w:rPr/>
              <w:t xml:space="preserve">Nonce protection, honeypot, AJAX submission and non-JavaScript fallback.</w:t>
            </w:r>
          </w:p>
        </w:tc>
      </w:tr>
      <w:tr>
        <w:tc>
          <w:tcPr>
            <w:tcW w:w="2400" w:type="dxa"/>
            <w:tcMar>
              <w:top w:w="100" w:type="dxa"/>
              <w:left w:w="120" w:type="dxa"/>
              <w:bottom w:w="100" w:type="dxa"/>
              <w:right w:w="120" w:type="dxa"/>
            </w:tcMar>
          </w:tcPr>
          <w:p>
            <w:r>
              <w:rPr/>
              <w:t xml:space="preserve">Submissions</w:t>
            </w:r>
          </w:p>
        </w:tc>
        <w:tc>
          <w:tcPr>
            <w:tcW w:w="6960" w:type="dxa"/>
            <w:tcMar>
              <w:top w:w="100" w:type="dxa"/>
              <w:left w:w="120" w:type="dxa"/>
              <w:bottom w:w="100" w:type="dxa"/>
              <w:right w:w="120" w:type="dxa"/>
            </w:tcMar>
          </w:tcPr>
          <w:p>
            <w:r>
              <w:rPr/>
              <w:t xml:space="preserve">Stored as custom post type and viewable/filterable in admin.</w:t>
            </w:r>
          </w:p>
        </w:tc>
      </w:tr>
    </w:tbl>
    <w:p>
      <w:pPr>
        <w:pStyle w:val="Heading1"/>
        <w:keepNext/>
      </w:pPr>
      <w:r>
        <w:rPr/>
        <w:t xml:space="preserve">12. Popup Builder</w:t>
      </w:r>
    </w:p>
    <w:p>
      <w:pPr/>
      <w:r>
        <w:rPr/>
        <w:t xml:space="preserve">The custom Popup Builder provides modal announcements without relying on a third-party builder. It supports page load, exit intent, scroll depth, on-click and manual triggers; all pages, front page, specific pages/posts, post types and event pages; session, daily, weekly, always and once-ever frequency; and several visual themes and animations.</w:t>
      </w:r>
    </w:p>
    <w:p>
      <w:pPr/>
      <w:r>
        <w:rPr/>
        <w:t xml:space="preserve">Popup output is disabled automatically if Popup Maker is active, preventing duplicate popup systems on the same page.</w:t>
      </w:r>
    </w:p>
    <w:p>
      <w:pPr>
        <w:pStyle w:val="Heading1"/>
        <w:keepNext/>
      </w:pPr>
      <w:r>
        <w:rPr/>
        <w:t xml:space="preserve">13. Newsletter System</w:t>
      </w:r>
    </w:p>
    <w:p>
      <w:pPr/>
      <w:r>
        <w:rPr/>
        <w:t xml:space="preserve">The Newsletter system adds a full publishing and subscriber workflow: newsletter issues, subscriber records, active/unsubscribed status, download links, cover images, year/issue/volume metadata, automatic subscriber capture from PNGCJE forms and Gravity Forms, and first-publish email delivery to active subscribers.</w:t>
      </w:r>
    </w:p>
    <w:p>
      <w:pPr/>
      <w:r>
        <w:rPr/>
        <w:t xml:space="preserve">The newsletter admin dashboard displays published newsletter count, total subscribers and active recipients, with shortcuts for managing newsletters and subscribers.</w:t>
      </w:r>
    </w:p>
    <w:p>
      <w:pPr>
        <w:pStyle w:val="Heading1"/>
        <w:keepNext/>
      </w:pPr>
      <w:r>
        <w:rPr/>
        <w:t xml:space="preserve">14. Admin Experience</w:t>
      </w:r>
    </w:p>
    <w:p>
      <w:pPr/>
      <w:r>
        <w:rPr/>
        <w:t xml:space="preserve">The admin area was enhanced so client administrators can understand the website status quickly. This includes branded login page styling, admin menu colour accents, a PNGCJE admin bar link, dashboard widget, custom admin menus for Forms, Popups, Newsletter, YouTube and Counters, and admin columns for resources, annual reports, events and newsletters.</w:t>
      </w:r>
    </w:p>
    <w:p>
      <w:pPr/>
      <w:r>
        <w:rPr/>
        <w:t xml:space="preserve">Custom meta boxes were built for resource details, hero slide content, staff details, board details, program officer details, Pacific member details, event details, event registration, iCal export, form builder, form settings, popup settings, popup design, popup preview, newsletter details, newsletter downloads and subscriber details.</w:t>
      </w:r>
    </w:p>
    <w:p>
      <w:pPr>
        <w:pStyle w:val="Heading1"/>
        <w:keepNext/>
      </w:pPr>
      <w:r>
        <w:rPr/>
        <w:t xml:space="preserve">15. Customizer and Global Settings</w:t>
      </w:r>
    </w:p>
    <w:p>
      <w:pPr/>
      <w:r>
        <w:rPr/>
        <w:t xml:space="preserve">A PNGCJE Theme Settings panel was added to the Customizer with sections for Announcement Bar, Homepage Hero compatibility settings, Forms, Contact Information and Social Media Links. Contact information feeds the footer and contact page; form IDs allow the site to switch between Gravity Forms and the native PNGCJE form system without changing templates.</w:t>
      </w:r>
    </w:p>
    <w:p>
      <w:pPr>
        <w:pStyle w:val="Heading1"/>
        <w:keepNext/>
      </w:pPr>
      <w:r>
        <w:rPr/>
        <w:t xml:space="preserve">16. Frontend Templates and Archives</w:t>
      </w:r>
    </w:p>
    <w:p>
      <w:pPr/>
      <w:r>
        <w:rPr/>
        <w:t xml:space="preserve">The theme includes custom templates for homepage, page layouts, news archives, generic archives, search, 404, resource archives, resource type archives, single resources, annual reports, newsletters, events, staff profiles and board profiles. This allows each content type to look intentional rather than using default WordPress output.</w:t>
      </w:r>
    </w:p>
    <w:p>
      <w:pPr>
        <w:pStyle w:val="Heading1"/>
        <w:keepNext/>
      </w:pPr>
      <w:r>
        <w:rPr/>
        <w:t xml:space="preserve">17. Compatibility and Migration Protection</w:t>
      </w:r>
    </w:p>
    <w:p>
      <w:pPr/>
      <w:r>
        <w:rPr/>
        <w:t xml:space="preserve">The theme includes compatibility logic for Gravity Forms, Popup Maker and The Events Calendar. Gravity Forms can be used for selected form areas, Popup Maker disables native popup output if present, and TEC can be used for event output if active. Annual report resources are migrated to the Annual Reports CPT once, and rewrite rules are flushed through a versioned mechanism.</w:t>
      </w:r>
    </w:p>
    <w:p>
      <w:pPr/>
      <w:r>
        <w:rPr/>
        <w:t xml:space="preserve">The content-preservation directory records exported legacy pages, posts, media, taxonomies and inventory data. This gives the project a reference trail for rebuilt content and reduces the risk of losing important legacy material.</w:t>
      </w:r>
    </w:p>
    <w:p>
      <w:pPr>
        <w:pStyle w:val="Heading1"/>
        <w:keepNext/>
      </w:pPr>
      <w:r>
        <w:rPr/>
        <w:t xml:space="preserve">18. Security, Sanitization and Maintainability</w:t>
      </w:r>
    </w:p>
    <w:p>
      <w:pPr/>
      <w:r>
        <w:rPr/>
        <w:t xml:space="preserve">Custom save handlers use nonces, capability checks, autosave checks and WordPress sanitizers. URL fields are sanitized with esc_url_raw, emails with sanitize_email, text fields with sanitize_text_field, textarea content with sanitize_textarea_field, numbers with absint and colours with sanitize_hex_color.</w:t>
      </w:r>
    </w:p>
    <w:p>
      <w:pPr/>
      <w:r>
        <w:rPr/>
        <w:t xml:space="preserve">The custom systems are separated into modules under inc/forms, inc/popups, inc/events and inc/newsletters, loaded through inc/systems.php. This keeps the theme maintainable and makes future improvements easier to isolate.</w:t>
      </w:r>
    </w:p>
    <w:p>
      <w:pPr>
        <w:pStyle w:val="Heading1"/>
        <w:keepNext/>
      </w:pPr>
      <w:r>
        <w:rPr/>
        <w:t xml:space="preserve">19. Shortcodes and Reusable Outputs</w:t>
      </w:r>
    </w:p>
    <w:tbl>
      <w:tblPr>
        <w:tblW w:w="9360" w:type="dxa"/>
        <w:tblInd w:w="0" w:type="dxa"/>
        <w:tblBorders>
          <w:top w:val="single" w:sz="4" w:color="DADCE0"/>
          <w:left w:val="single" w:sz="4" w:color="DADCE0"/>
          <w:bottom w:val="single" w:sz="4" w:color="DADCE0"/>
          <w:right w:val="single" w:sz="4" w:color="DADCE0"/>
          <w:insideH w:val="single" w:sz="4" w:color="DADCE0"/>
          <w:insideV w:val="single" w:sz="4" w:color="DADCE0"/>
        </w:tblBorders>
        <w:tblLook w:firstRow="1" w:noHBand="0" w:noVBand="1"/>
      </w:tblPr>
      <w:tblGrid>
        <w:gridCol w:w="3600"/>
        <w:gridCol w:w="5760"/>
      </w:tblGrid>
      <w:tr>
        <w:tc>
          <w:tcPr>
            <w:tcW w:w="3600" w:type="dxa"/>
            <w:shd w:fill="EAF3EC"/>
            <w:tcMar>
              <w:top w:w="100" w:type="dxa"/>
              <w:left w:w="120" w:type="dxa"/>
              <w:bottom w:w="100" w:type="dxa"/>
              <w:right w:w="120" w:type="dxa"/>
            </w:tcMar>
          </w:tcPr>
          <w:p>
            <w:r>
              <w:rPr>
                <w:b/>
              </w:rPr>
              <w:t xml:space="preserve">Shortcode</w:t>
            </w:r>
          </w:p>
        </w:tc>
        <w:tc>
          <w:tcPr>
            <w:tcW w:w="5760" w:type="dxa"/>
            <w:shd w:fill="EAF3EC"/>
            <w:tcMar>
              <w:top w:w="100" w:type="dxa"/>
              <w:left w:w="120" w:type="dxa"/>
              <w:bottom w:w="100" w:type="dxa"/>
              <w:right w:w="120" w:type="dxa"/>
            </w:tcMar>
          </w:tcPr>
          <w:p>
            <w:r>
              <w:rPr>
                <w:b/>
              </w:rPr>
              <w:t xml:space="preserve">Included feature</w:t>
            </w:r>
          </w:p>
        </w:tc>
      </w:tr>
      <w:tr>
        <w:tc>
          <w:tcPr>
            <w:tcW w:w="3600" w:type="dxa"/>
            <w:tcMar>
              <w:top w:w="100" w:type="dxa"/>
              <w:left w:w="120" w:type="dxa"/>
              <w:bottom w:w="100" w:type="dxa"/>
              <w:right w:w="120" w:type="dxa"/>
            </w:tcMar>
          </w:tcPr>
          <w:p>
            <w:r>
              <w:rPr/>
              <w:t xml:space="preserve">[pngcje_form id="N"]</w:t>
            </w:r>
          </w:p>
        </w:tc>
        <w:tc>
          <w:tcPr>
            <w:tcW w:w="5760" w:type="dxa"/>
            <w:tcMar>
              <w:top w:w="100" w:type="dxa"/>
              <w:left w:w="120" w:type="dxa"/>
              <w:bottom w:w="100" w:type="dxa"/>
              <w:right w:w="120" w:type="dxa"/>
            </w:tcMar>
          </w:tcPr>
          <w:p>
            <w:r>
              <w:rPr/>
              <w:t xml:space="preserve">Embeds any native PNGCJE form.</w:t>
            </w:r>
          </w:p>
        </w:tc>
      </w:tr>
      <w:tr>
        <w:tc>
          <w:tcPr>
            <w:tcW w:w="3600" w:type="dxa"/>
            <w:tcMar>
              <w:top w:w="100" w:type="dxa"/>
              <w:left w:w="120" w:type="dxa"/>
              <w:bottom w:w="100" w:type="dxa"/>
              <w:right w:w="120" w:type="dxa"/>
            </w:tcMar>
          </w:tcPr>
          <w:p>
            <w:r>
              <w:rPr/>
              <w:t xml:space="preserve">[pngcje_popup_trigger id="N" label="Open"]</w:t>
            </w:r>
          </w:p>
        </w:tc>
        <w:tc>
          <w:tcPr>
            <w:tcW w:w="5760" w:type="dxa"/>
            <w:tcMar>
              <w:top w:w="100" w:type="dxa"/>
              <w:left w:w="120" w:type="dxa"/>
              <w:bottom w:w="100" w:type="dxa"/>
              <w:right w:w="120" w:type="dxa"/>
            </w:tcMar>
          </w:tcPr>
          <w:p>
            <w:r>
              <w:rPr/>
              <w:t xml:space="preserve">Opens manual popups from buttons/links.</w:t>
            </w:r>
          </w:p>
        </w:tc>
      </w:tr>
      <w:tr>
        <w:tc>
          <w:tcPr>
            <w:tcW w:w="3600" w:type="dxa"/>
            <w:tcMar>
              <w:top w:w="100" w:type="dxa"/>
              <w:left w:w="120" w:type="dxa"/>
              <w:bottom w:w="100" w:type="dxa"/>
              <w:right w:w="120" w:type="dxa"/>
            </w:tcMar>
          </w:tcPr>
          <w:p>
            <w:r>
              <w:rPr/>
              <w:t xml:space="preserve">[pngcje_events count="3"]</w:t>
            </w:r>
          </w:p>
        </w:tc>
        <w:tc>
          <w:tcPr>
            <w:tcW w:w="5760" w:type="dxa"/>
            <w:tcMar>
              <w:top w:w="100" w:type="dxa"/>
              <w:left w:w="120" w:type="dxa"/>
              <w:bottom w:w="100" w:type="dxa"/>
              <w:right w:w="120" w:type="dxa"/>
            </w:tcMar>
          </w:tcPr>
          <w:p>
            <w:r>
              <w:rPr/>
              <w:t xml:space="preserve">Upcoming event cards.</w:t>
            </w:r>
          </w:p>
        </w:tc>
      </w:tr>
      <w:tr>
        <w:tc>
          <w:tcPr>
            <w:tcW w:w="3600" w:type="dxa"/>
            <w:tcMar>
              <w:top w:w="100" w:type="dxa"/>
              <w:left w:w="120" w:type="dxa"/>
              <w:bottom w:w="100" w:type="dxa"/>
              <w:right w:w="120" w:type="dxa"/>
            </w:tcMar>
          </w:tcPr>
          <w:p>
            <w:r>
              <w:rPr/>
              <w:t xml:space="preserve">[pngcje_events count="5" style="list"]</w:t>
            </w:r>
          </w:p>
        </w:tc>
        <w:tc>
          <w:tcPr>
            <w:tcW w:w="5760" w:type="dxa"/>
            <w:tcMar>
              <w:top w:w="100" w:type="dxa"/>
              <w:left w:w="120" w:type="dxa"/>
              <w:bottom w:w="100" w:type="dxa"/>
              <w:right w:w="120" w:type="dxa"/>
            </w:tcMar>
          </w:tcPr>
          <w:p>
            <w:r>
              <w:rPr/>
              <w:t xml:space="preserve">Upcoming event list.</w:t>
            </w:r>
          </w:p>
        </w:tc>
      </w:tr>
      <w:tr>
        <w:tc>
          <w:tcPr>
            <w:tcW w:w="3600" w:type="dxa"/>
            <w:tcMar>
              <w:top w:w="100" w:type="dxa"/>
              <w:left w:w="120" w:type="dxa"/>
              <w:bottom w:w="100" w:type="dxa"/>
              <w:right w:w="120" w:type="dxa"/>
            </w:tcMar>
          </w:tcPr>
          <w:p>
            <w:r>
              <w:rPr/>
              <w:t xml:space="preserve">[pngcje_events count="3" style="mini"]</w:t>
            </w:r>
          </w:p>
        </w:tc>
        <w:tc>
          <w:tcPr>
            <w:tcW w:w="5760" w:type="dxa"/>
            <w:tcMar>
              <w:top w:w="100" w:type="dxa"/>
              <w:left w:w="120" w:type="dxa"/>
              <w:bottom w:w="100" w:type="dxa"/>
              <w:right w:w="120" w:type="dxa"/>
            </w:tcMar>
          </w:tcPr>
          <w:p>
            <w:r>
              <w:rPr/>
              <w:t xml:space="preserve">Compact event display.</w:t>
            </w:r>
          </w:p>
        </w:tc>
      </w:tr>
      <w:tr>
        <w:tc>
          <w:tcPr>
            <w:tcW w:w="3600" w:type="dxa"/>
            <w:tcMar>
              <w:top w:w="100" w:type="dxa"/>
              <w:left w:w="120" w:type="dxa"/>
              <w:bottom w:w="100" w:type="dxa"/>
              <w:right w:w="120" w:type="dxa"/>
            </w:tcMar>
          </w:tcPr>
          <w:p>
            <w:r>
              <w:rPr/>
              <w:t xml:space="preserve">[pngcje_events category="training"]</w:t>
            </w:r>
          </w:p>
        </w:tc>
        <w:tc>
          <w:tcPr>
            <w:tcW w:w="5760" w:type="dxa"/>
            <w:tcMar>
              <w:top w:w="100" w:type="dxa"/>
              <w:left w:w="120" w:type="dxa"/>
              <w:bottom w:w="100" w:type="dxa"/>
              <w:right w:w="120" w:type="dxa"/>
            </w:tcMar>
          </w:tcPr>
          <w:p>
            <w:r>
              <w:rPr/>
              <w:t xml:space="preserve">Event category filtering.</w:t>
            </w:r>
          </w:p>
        </w:tc>
      </w:tr>
      <w:tr>
        <w:tc>
          <w:tcPr>
            <w:tcW w:w="3600" w:type="dxa"/>
            <w:tcMar>
              <w:top w:w="100" w:type="dxa"/>
              <w:left w:w="120" w:type="dxa"/>
              <w:bottom w:w="100" w:type="dxa"/>
              <w:right w:w="120" w:type="dxa"/>
            </w:tcMar>
          </w:tcPr>
          <w:p>
            <w:r>
              <w:rPr/>
              <w:t xml:space="preserve">[pngcje_calendar_link]</w:t>
            </w:r>
          </w:p>
        </w:tc>
        <w:tc>
          <w:tcPr>
            <w:tcW w:w="5760" w:type="dxa"/>
            <w:tcMar>
              <w:top w:w="100" w:type="dxa"/>
              <w:left w:w="120" w:type="dxa"/>
              <w:bottom w:w="100" w:type="dxa"/>
              <w:right w:w="120" w:type="dxa"/>
            </w:tcMar>
          </w:tcPr>
          <w:p>
            <w:r>
              <w:rPr/>
              <w:t xml:space="preserve">iCal calendar subscription/download link.</w:t>
            </w:r>
          </w:p>
        </w:tc>
      </w:tr>
      <w:tr>
        <w:tc>
          <w:tcPr>
            <w:tcW w:w="3600" w:type="dxa"/>
            <w:tcMar>
              <w:top w:w="100" w:type="dxa"/>
              <w:left w:w="120" w:type="dxa"/>
              <w:bottom w:w="100" w:type="dxa"/>
              <w:right w:w="120" w:type="dxa"/>
            </w:tcMar>
          </w:tcPr>
          <w:p>
            <w:r>
              <w:rPr/>
              <w:t xml:space="preserve">[pngcje_upcoming_events count="3"]</w:t>
            </w:r>
          </w:p>
        </w:tc>
        <w:tc>
          <w:tcPr>
            <w:tcW w:w="5760" w:type="dxa"/>
            <w:tcMar>
              <w:top w:w="100" w:type="dxa"/>
              <w:left w:w="120" w:type="dxa"/>
              <w:bottom w:w="100" w:type="dxa"/>
              <w:right w:w="120" w:type="dxa"/>
            </w:tcMar>
          </w:tcPr>
          <w:p>
            <w:r>
              <w:rPr/>
              <w:t xml:space="preserve">Homepage-compatible upcoming events output.</w:t>
            </w:r>
          </w:p>
        </w:tc>
      </w:tr>
    </w:tbl>
    <w:p>
      <w:pPr>
        <w:pStyle w:val="Heading1"/>
        <w:keepNext/>
      </w:pPr>
      <w:r>
        <w:rPr/>
        <w:t xml:space="preserve">20. Practical Value Delivered</w:t>
      </w:r>
    </w:p>
    <w:p>
      <w:pPr/>
      <w:r>
        <w:rPr/>
        <w:t xml:space="preserve">The work delivered a purpose-built institutional website that is easier to manage, richer in content structure, more resilient to plugin changes, and more aligned with PNGCJE's public role. The client now has a structured admin system for the main operational content of the site, backed by templates that keep the frontend polished and consistent.</w:t>
      </w:r>
    </w:p>
    <w:p>
      <w:pPr>
        <w:pStyle w:val="Callout"/>
      </w:pPr>
      <w:r>
        <w:rPr>
          <w:b/>
          <w:color w:val="1A5C2A"/>
        </w:rPr>
        <w:t>In plain terms: </w:t>
      </w:r>
      <w:r>
        <w:t>The theme does not just change how the website looks. It adds a management layer for the Centre's real work: judicial education resources, events, people, governance, newsletters, forms, announcements and public communication.</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pPr>
        <w:tabs>
          <w:tab w:val="num" w:pos="720"/>
        </w:tabs>
        <w:ind w:left="720" w:hanging="360"/>
      </w:pPr>
    </w:lvl>
  </w:abstractNum>
  <w:abstractNum w:abstractNumId="2">
    <w:multiLevelType w:val="hybridMultilevel"/>
    <w:lvl w:ilvl="0">
      <w:start w:val="1"/>
      <w:numFmt w:val="decimal"/>
      <w:lvlText w:val="%1."/>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60" w:line="300" w:lineRule="auto"/>
    </w:pPr>
    <w:rPr>
      <w:rFonts w:ascii="Arial" w:hAnsi="Arial"/>
      <w:sz w:val="22"/>
      <w:color w:val="111111"/>
    </w:rPr>
  </w:style>
  <w:style w:type="paragraph" w:styleId="Title">
    <w:name w:val="Title"/>
    <w:basedOn w:val="Normal"/>
    <w:qFormat/>
    <w:pPr>
      <w:spacing w:after="160"/>
    </w:pPr>
    <w:rPr>
      <w:rFonts w:ascii="Arial" w:hAnsi="Arial"/>
      <w:b/>
      <w:sz w:val="44"/>
      <w:color w:val="1A5C2A"/>
    </w:rPr>
  </w:style>
  <w:style w:type="paragraph" w:styleId="Subtitle">
    <w:name w:val="Subtitle"/>
    <w:basedOn w:val="Normal"/>
    <w:qFormat/>
    <w:pPr>
      <w:spacing w:after="240"/>
    </w:pPr>
    <w:rPr>
      <w:rFonts w:ascii="Arial" w:hAnsi="Arial"/>
      <w:sz w:val="28"/>
      <w:color w:val="D4581A"/>
    </w:rPr>
  </w:style>
  <w:style w:type="paragraph" w:styleId="Heading1">
    <w:name w:val="heading 1"/>
    <w:basedOn w:val="Normal"/>
    <w:next w:val="Normal"/>
    <w:qFormat/>
    <w:pPr>
      <w:keepNext/>
      <w:spacing w:before="320" w:after="120"/>
    </w:pPr>
    <w:rPr>
      <w:rFonts w:ascii="Arial" w:hAnsi="Arial"/>
      <w:b/>
      <w:sz w:val="32"/>
      <w:color w:val="1A5C2A"/>
    </w:rPr>
  </w:style>
  <w:style w:type="paragraph" w:styleId="Heading2">
    <w:name w:val="heading 2"/>
    <w:basedOn w:val="Normal"/>
    <w:next w:val="Normal"/>
    <w:qFormat/>
    <w:pPr>
      <w:keepNext/>
      <w:spacing w:before="240" w:after="100"/>
    </w:pPr>
    <w:rPr>
      <w:rFonts w:ascii="Arial" w:hAnsi="Arial"/>
      <w:b/>
      <w:sz w:val="26"/>
      <w:color w:val="B84A00"/>
    </w:rPr>
  </w:style>
  <w:style w:type="paragraph" w:styleId="Heading3">
    <w:name w:val="heading 3"/>
    <w:basedOn w:val="Normal"/>
    <w:next w:val="Normal"/>
    <w:qFormat/>
    <w:pPr>
      <w:keepNext/>
      <w:spacing w:before="180" w:after="80"/>
    </w:pPr>
    <w:rPr>
      <w:rFonts w:ascii="Arial" w:hAnsi="Arial"/>
      <w:b/>
      <w:sz w:val="24"/>
      <w:color w:val="333333"/>
    </w:rPr>
  </w:style>
  <w:style w:type="paragraph" w:styleId="ListParagraph">
    <w:name w:val="List Paragraph"/>
    <w:basedOn w:val="Normal"/>
    <w:pPr>
      <w:spacing w:after="80" w:line="300" w:lineRule="auto"/>
    </w:pPr>
    <w:rPr>
      <w:rFonts w:ascii="Arial" w:hAnsi="Arial"/>
      <w:sz w:val="21"/>
    </w:rPr>
  </w:style>
  <w:style w:type="paragraph" w:styleId="Callout">
    <w:name w:val="Callout"/>
    <w:basedOn w:val="Normal"/>
    <w:pPr>
      <w:spacing w:before="100" w:after="120"/>
      <w:shd w:fill="F2F7F3"/>
      <w:ind w:left="180" w:right="180"/>
    </w:pPr>
    <w:rPr>
      <w:rFonts w:ascii="Arial" w:hAnsi="Arial"/>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Microsoft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PNGCJE Theme - What's Included</dc:title>
  <dc:creator>ZACQ Industries / WEBMASTA</dc:creator>
  <dc:description>Detailed inventory of the custom PNGCJE WordPress theme.</dc:description>
  <cp:lastModifiedBy>Codex</cp:lastModifiedBy>
  <dcterms:created xsi:type="dcterms:W3CDTF">2026-05-19T00:00:00Z</dcterms:created>
  <dcterms:modified xsi:type="dcterms:W3CDTF">2026-05-19T00:00:00Z</dcterms:modified>
</cp:coreProperties>
</file>