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31852B0C">
      <w:commentRangeStart w:id="14"/>
      <w:commentRangeStart w:id="13"/>
      <w:commentRangeStart w:id="12"/>
      <w:commentRangeStart w:id="11"/>
      <w:commentRangeStart w:id="10"/>
      <w:commentRangeStart w:id="9"/>
      <w:commentRangeStart w:id="8"/>
      <w:commentRangeStart w:id="7"/>
      <w:commentRangeStart w:id="6"/>
      <w:commentRangeStart w:id="5"/>
      <w:commentRangeStart w:id="4"/>
      <w:commentRangeStart w:id="3"/>
      <w:commentRangeStart w:id="2"/>
      <w:commentRangeStart w:id="1"/>
      <w:commentRangeStart w:id="0"/>
      <w:pPr>
        <w:widowControl/>
        <w:wordWrap w:val="0"/>
        <w:spacing w:line="300" w:lineRule="atLeast"/>
        <w:jc w:val="center"/>
        <w:rPr>
          <w:rFonts w:ascii="黑体" w:hAnsi="宋体" w:eastAsia="黑体" w:cs="宋体"/>
          <w:b/>
          <w:bCs/>
          <w:color w:val="000000"/>
          <w:kern w:val="0"/>
          <w:sz w:val="36"/>
          <w:szCs w:val="36"/>
        </w:rPr>
      </w:pPr>
      <w:r>
        <w:rPr>
          <w:rFonts w:hint="eastAsia" w:ascii="黑体" w:hAnsi="宋体" w:eastAsia="黑体" w:cs="宋体"/>
          <w:b/>
          <w:bCs/>
          <w:color w:val="000000"/>
          <w:kern w:val="0"/>
          <w:sz w:val="36"/>
          <w:szCs w:val="36"/>
        </w:rPr>
        <w:t>不同政府采购方式在医疗领域中的适用性研究</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commentRangeEnd w:id="7"/>
      <w:r>
        <w:rPr>
          <w:rStyle w:val="CommentReference"/>
        </w:rPr>
        <w:commentReference w:id="7"/>
      </w:r>
      <w:commentRangeEnd w:id="8"/>
      <w:r>
        <w:rPr>
          <w:rStyle w:val="CommentReference"/>
        </w:rPr>
        <w:commentReference w:id="8"/>
      </w:r>
      <w:commentRangeEnd w:id="9"/>
      <w:r>
        <w:rPr>
          <w:rStyle w:val="CommentReference"/>
        </w:rPr>
        <w:commentReference w:id="9"/>
      </w:r>
      <w:commentRangeEnd w:id="10"/>
      <w:r>
        <w:rPr>
          <w:rStyle w:val="CommentReference"/>
        </w:rPr>
        <w:commentReference w:id="10"/>
      </w:r>
      <w:commentRangeEnd w:id="11"/>
      <w:r>
        <w:rPr>
          <w:rStyle w:val="CommentReference"/>
        </w:rPr>
        <w:commentReference w:id="11"/>
      </w:r>
      <w:commentRangeEnd w:id="12"/>
      <w:r>
        <w:rPr>
          <w:rStyle w:val="CommentReference"/>
        </w:rPr>
        <w:commentReference w:id="12"/>
      </w:r>
      <w:commentRangeEnd w:id="13"/>
      <w:r>
        <w:rPr>
          <w:rStyle w:val="CommentReference"/>
        </w:rPr>
        <w:commentReference w:id="13"/>
      </w:r>
      <w:commentRangeEnd w:id="14"/>
      <w:r>
        <w:rPr>
          <w:rStyle w:val="CommentReference"/>
        </w:rPr>
        <w:commentReference w:id="14"/>
      </w:r>
    </w:p>
    <w:p w14:paraId="41A8D5B5">
      <w:pPr>
        <w:widowControl/>
        <w:spacing w:line="480" w:lineRule="exact"/>
        <w:jc w:val="center"/>
        <w:rPr>
          <w:rFonts w:ascii="宋体" w:hAnsi="宋体" w:eastAsia="宋体" w:cs="宋体"/>
          <w:color w:val="000000"/>
          <w:kern w:val="0"/>
          <w:szCs w:val="21"/>
        </w:rPr>
      </w:pPr>
      <w:r>
        <w:rPr>
          <w:rFonts w:hint="eastAsia" w:ascii="宋体" w:hAnsi="宋体" w:eastAsia="宋体" w:cs="宋体"/>
          <w:color w:val="000000"/>
          <w:kern w:val="0"/>
          <w:szCs w:val="21"/>
        </w:rPr>
        <w:t>作 者：</w:t>
      </w:r>
      <w:r>
        <w:rPr>
          <w:rFonts w:hint="eastAsia" w:ascii="宋体" w:hAnsi="宋体" w:eastAsia="宋体" w:cs="宋体"/>
          <w:color w:val="000000"/>
          <w:kern w:val="0"/>
          <w:szCs w:val="21"/>
          <w:lang w:val="en-US" w:eastAsia="zh-CN"/>
        </w:rPr>
        <w:t>李某某</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指导老师：江</w:t>
      </w:r>
      <w:r>
        <w:rPr>
          <w:rFonts w:hint="eastAsia" w:ascii="宋体" w:hAnsi="宋体" w:eastAsia="宋体" w:cs="宋体"/>
          <w:color w:val="000000"/>
          <w:kern w:val="0"/>
          <w:szCs w:val="21"/>
          <w:lang w:val="en-US" w:eastAsia="zh-CN"/>
        </w:rPr>
        <w:t>某某</w:t>
      </w:r>
      <w:bookmarkStart w:id="2" w:name="_GoBack"/>
      <w:bookmarkEnd w:id="2"/>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(东莞职业技术学院经济与管理学院，东莞，</w:t>
      </w:r>
      <w:r>
        <w:rPr>
          <w:rFonts w:hint="eastAsia" w:ascii="宋体" w:hAnsi="宋体" w:eastAsia="宋体" w:cs="宋体"/>
          <w:color w:val="FF0000"/>
          <w:kern w:val="0"/>
          <w:szCs w:val="21"/>
        </w:rPr>
        <w:t>523808)</w:t>
      </w:r>
    </w:p>
    <w:p w14:paraId="686E81D6">
      <w:pPr>
        <w:widowControl/>
        <w:shd w:val="clear" w:color="auto" w:fill="FFFFFF"/>
        <w:spacing w:before="240" w:after="240"/>
        <w:jc w:val="left"/>
        <w:rPr>
          <w:rFonts w:ascii="宋体" w:hAnsi="宋体" w:eastAsia="宋体" w:cs="宋体"/>
          <w:color w:val="000000"/>
          <w:kern w:val="0"/>
          <w:szCs w:val="21"/>
        </w:rPr>
      </w:pPr>
      <w:r>
        <w:rPr>
          <w:rFonts w:ascii="黑体" w:hAnsi="宋体" w:eastAsia="黑体" w:cs="宋体"/>
          <w:b/>
          <w:color w:val="000000"/>
          <w:kern w:val="0"/>
          <w:szCs w:val="21"/>
        </w:rPr>
        <w:t>摘要</w:t>
      </w:r>
      <w:r>
        <w:rPr>
          <w:rFonts w:hint="eastAsia" w:ascii="黑体" w:hAnsi="宋体" w:eastAsia="黑体" w:cs="宋体"/>
          <w:b/>
          <w:color w:val="000000"/>
          <w:kern w:val="0"/>
          <w:szCs w:val="21"/>
        </w:rPr>
        <w:t>：</w:t>
      </w:r>
      <w:r>
        <w:rPr>
          <w:rFonts w:ascii="宋体" w:hAnsi="宋体" w:eastAsia="宋体" w:cs="宋体"/>
          <w:color w:val="000000"/>
          <w:kern w:val="0"/>
          <w:szCs w:val="21"/>
        </w:rPr>
        <w:t>随着政府采购制度在公共卫生领域持续深化，公立医院采购行为虽已步入法治化轨道，但公开招标、邀请招标、竞争性谈判及询价等不同采购方式在实际应用中仍面临适配性不足的结构性矛盾。本文以全国政府采购宏观数据与典型审计案例为基础，系统剖析了医疗设备与服务采购中程序僵化、围标串标、评审失能与信息封闭等突出问题。研究发现，医疗产品的技术壁垒与应急属性使得“一刀切”式的公开招标往往流于形式，而其他采购方式则因规则模糊与监督缺失而难以发挥应有优势。究其根源，人员素质、预算编制、技术锁定与监管联动等方面的短板共同导致了采购效能的持续走低。据此，本文提出了基于技术层级与资金限额的分层分类优化路径，通过构建数据画像防围标、搭建邀约分级库、固化谈判参数区间及建立区域询价云平台等措施，为构建合规高效、公平竞争的医院采购体系提供决策参考。</w:t>
      </w:r>
    </w:p>
    <w:p w14:paraId="7F7A669E">
      <w:pPr>
        <w:widowControl/>
        <w:shd w:val="clear" w:color="auto" w:fill="FFFFFF"/>
        <w:spacing w:before="240" w:after="240"/>
        <w:jc w:val="left"/>
        <w:rPr>
          <w:rFonts w:ascii="宋体" w:hAnsi="宋体" w:eastAsia="宋体" w:cs="宋体"/>
          <w:color w:val="000000"/>
          <w:kern w:val="0"/>
          <w:szCs w:val="21"/>
        </w:rPr>
      </w:pPr>
      <w:r>
        <w:rPr>
          <w:rFonts w:ascii="黑体" w:hAnsi="宋体" w:eastAsia="黑体" w:cs="宋体"/>
          <w:b/>
          <w:color w:val="000000"/>
          <w:kern w:val="0"/>
          <w:szCs w:val="21"/>
        </w:rPr>
        <w:t>关键词</w:t>
      </w:r>
      <w:r>
        <w:rPr>
          <w:rFonts w:hint="eastAsia" w:ascii="黑体" w:hAnsi="宋体" w:eastAsia="黑体" w:cs="宋体"/>
          <w:b/>
          <w:color w:val="000000"/>
          <w:kern w:val="0"/>
          <w:szCs w:val="21"/>
        </w:rPr>
        <w:t>：</w:t>
      </w:r>
      <w:r>
        <w:rPr>
          <w:rFonts w:ascii="宋体" w:hAnsi="宋体" w:eastAsia="宋体" w:cs="宋体"/>
          <w:color w:val="000000"/>
          <w:kern w:val="0"/>
          <w:szCs w:val="21"/>
        </w:rPr>
        <w:t>政府采购方式；医疗领域；公开招标；竞争性谈判</w:t>
      </w:r>
    </w:p>
    <w:p w14:paraId="79F2B47B">
      <w:pPr>
        <w:widowControl/>
        <w:shd w:val="clear" w:color="auto" w:fill="FFFFFF"/>
        <w:spacing w:before="240" w:after="240"/>
        <w:jc w:val="left"/>
        <w:rPr>
          <w:rFonts w:ascii="Segoe UI" w:hAnsi="Segoe UI" w:eastAsia="宋体" w:cs="Segoe UI"/>
          <w:color w:val="0F1115"/>
          <w:kern w:val="0"/>
          <w:sz w:val="24"/>
          <w:szCs w:val="24"/>
        </w:rPr>
      </w:pPr>
    </w:p>
    <w:p w14:paraId="7C47424C">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前言</w:t>
      </w:r>
    </w:p>
    <w:p w14:paraId="0D374681">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近年来</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国家深入推进医疗卫生体制改革，政府采购已成为公立医院配置设备、耗材及服务的主要途径，其规范化程度直接牵动着财政资金使用效益与医疗服务质量。然而，过去对于不同政府采购方式在医疗领域的理解往往局限于合规审查层面，忽视了实际采购中品类繁杂、技术壁垒高、应急需求多等特殊属性，这导致采购效能低下、围标串标难以根治等突出问题。这些问题不仅造成公共资源浪费，也在一定程度上制约了医疗技术的迭代更新。</w:t>
      </w:r>
    </w:p>
    <w:p w14:paraId="74171735">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本文旨在研究各类采购方式在医疗场景下的适用性</w:t>
      </w:r>
      <w:r>
        <w:rPr>
          <w:rFonts w:hint="eastAsia" w:ascii="宋体" w:hAnsi="宋体" w:eastAsia="宋体" w:cs="宋体"/>
          <w:color w:val="000000"/>
          <w:kern w:val="0"/>
          <w:sz w:val="24"/>
          <w:szCs w:val="24"/>
        </w:rPr>
        <w:t>程度</w:t>
      </w:r>
      <w:r>
        <w:rPr>
          <w:rFonts w:ascii="宋体" w:hAnsi="宋体" w:eastAsia="宋体" w:cs="宋体"/>
          <w:color w:val="000000"/>
          <w:kern w:val="0"/>
          <w:sz w:val="24"/>
          <w:szCs w:val="24"/>
        </w:rPr>
        <w:t>，综合运用文献研究与案例分析法，挖掘实践痛点并提出改进对策。以期这些解决方案能够促进医疗采购机制的科学化发展，并推动我国公共卫生事业摒除以往弊端</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实现持续良性运行。</w:t>
      </w:r>
    </w:p>
    <w:p w14:paraId="09AE9607">
      <w:pPr>
        <w:widowControl/>
        <w:shd w:val="clear" w:color="auto" w:fill="FFFFFF"/>
        <w:spacing w:before="240" w:after="240"/>
        <w:jc w:val="left"/>
        <w:rPr>
          <w:rFonts w:ascii="宋体" w:hAnsi="宋体" w:eastAsia="宋体" w:cs="宋体"/>
          <w:color w:val="000000"/>
          <w:kern w:val="0"/>
          <w:szCs w:val="21"/>
        </w:rPr>
      </w:pPr>
    </w:p>
    <w:p w14:paraId="1F793266">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一、绪论</w:t>
      </w:r>
    </w:p>
    <w:p w14:paraId="3FA0447F">
      <w:pPr>
        <w:pStyle w:val="3"/>
        <w:spacing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（一）研究背景及意义</w:t>
      </w:r>
    </w:p>
    <w:p w14:paraId="3486DCE8">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1.</w:t>
      </w:r>
      <w:r>
        <w:rPr>
          <w:rFonts w:ascii="黑体" w:eastAsia="黑体"/>
          <w:b w:val="0"/>
          <w:bCs w:val="0"/>
          <w:color w:val="000000"/>
          <w:sz w:val="24"/>
          <w:szCs w:val="24"/>
        </w:rPr>
        <w:t>研究背景</w:t>
      </w:r>
    </w:p>
    <w:p w14:paraId="4E861EB0">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当前，在国家大力推进“健康中国”战略及深化政府采购制度改革的驱动下，医疗领域采购正面临合规性与专业性的双重考验。随着财政部门对“阳光采购”要求的日趋严格，以及医疗机构对高精尖诊断设备、精准治疗服务需求的激增，传统的粗放式采购管理正在向全流程精细化监控转型。公立医院作为公共卫生服务的主要提供者，其采购行为不仅要符合财政资金的严苛监管标准，更承担着保障临床诊疗质量与患者安全的重大责任。</w:t>
      </w:r>
    </w:p>
    <w:p w14:paraId="06C26AFD">
      <w:pPr>
        <w:widowControl/>
        <w:spacing w:line="360" w:lineRule="auto"/>
        <w:ind w:firstLine="480" w:firstLineChars="200"/>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再看</w:t>
      </w:r>
      <w:r>
        <w:rPr>
          <w:rFonts w:ascii="宋体" w:hAnsi="宋体" w:eastAsia="宋体" w:cs="宋体"/>
          <w:color w:val="000000"/>
          <w:kern w:val="0"/>
          <w:sz w:val="24"/>
          <w:szCs w:val="24"/>
        </w:rPr>
        <w:t>医院的实际运作中，采购模式的制度刚性与医疗服务供给的灵活性之间显现出尖锐矛盾。大量大型医疗设备属于专有技术或独家代理范畴，其核心零部件替换与维保服务往往受到知识产权的严密保护。</w:t>
      </w:r>
    </w:p>
    <w:p w14:paraId="56FBAE16">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受限于采购限额标准与复杂的审批流程，采购人员在工作实务中时常陷入两难处境：若严格执行公开招标规定，容易因合格供应商数量不足而导致反复流标；若申请其他采购方式，又面临审批周期过长与合规性质疑的压力。个别地区的审计调查显示，部分医院公开招标项目的资金节约率甚至低于百分之一，八成以上的招标项目仅有最低数量要求的投标人参与，公开竞争的程序意义与实际效果之间出现严重脱节。</w:t>
      </w:r>
    </w:p>
    <w:p w14:paraId="688FE6AC">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面对上述困境，虽然监管部门已出台一系列法律法规试图规范采购流程，但现有制度安排在解决“既要确保程序合规、又要采购到最适配的医疗产品”这一核心问题上，依然缺乏具体而细化的适用性指引。学术界关于政府采购的讨论往往集中于宏观体制层面的制度批判，对不同采购方式在医疗领域微观落地的技术性障碍缺乏深入剖析。这种理论与实践的脱节，使得采购执行层面时常出现为规避责任而盲目套用公开招标、或以单一来源采购名义绕过竞争机制的极端现象，严重制约了医院运营效率并造成财政资金利用率低下，探索其他方案破解这一难题的现实紧迫性不言而喻。</w:t>
      </w:r>
    </w:p>
    <w:p w14:paraId="29F9EDCB">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2.</w:t>
      </w:r>
      <w:r>
        <w:rPr>
          <w:rFonts w:ascii="黑体" w:eastAsia="黑体"/>
          <w:b w:val="0"/>
          <w:bCs w:val="0"/>
          <w:color w:val="000000"/>
          <w:sz w:val="24"/>
          <w:szCs w:val="24"/>
        </w:rPr>
        <w:t>研究意义</w:t>
      </w:r>
    </w:p>
    <w:p w14:paraId="591AE5AC">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在理论层面，本研究预期能对公共管理理论在特定的医疗卫生采购领域做出有价值的补充。过往关于政府采购的研究大多将关注点置于程序正义与廉政风险防控之上，对采购方式选择与医疗技术特性之间的适配逻辑着墨不多。本研究尝试将绩效评价的“4E”视角引入采购方式选择机制的分析之中，修正了仅强调流程合规而忽视结果效率的单一分析框架，为理解医疗采购中“有效竞争”的形成条件提供了新的观察切口与分析证据，有助于丰富政府采购理论在专业服务领域的应用内涵。</w:t>
      </w:r>
    </w:p>
    <w:p w14:paraId="72D43836">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在实践层面，本研究形成的分层分类对策体系，能够为公立医院采购部门及财政监管机构提供可操作、可落地的决策参考。研究通过对不同采购方式适用边界的清晰界定，有助于医院依据设备的技术专属性、市场供应结构与资金额度等实际条件，精准选择最优的采购路径，从而在显著缩短采购周期、有效降低廉政风险的同时，切实提升数以亿计财政资金的实际使用效益。对于广大医疗供应商而言，一个更加透明且规则清晰的采购环境，也将有助于激发市场良性竞争，促进优质医疗资源的高效配置与合理流动。</w:t>
      </w:r>
    </w:p>
    <w:p w14:paraId="6202AE56">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（二）国内外研究现状</w:t>
      </w:r>
    </w:p>
    <w:p w14:paraId="075D247D">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国外在政府采购领域的研究起步较早，体系也更为成熟。在医疗采购寻租行为的博弈推演中，已有研究利用博弈论分析了医疗器械采购中的合谋机制，提出缺乏强有力的外部监督是造成政府采购失灵的关键，这种基于理性经济人假设的分析模型，为识别招投标过程中的隐蔽腐败提供了技术手段。</w:t>
      </w:r>
      <w:r>
        <w:rPr>
          <w:rFonts w:ascii="宋体" w:hAnsi="宋体" w:eastAsia="宋体" w:cs="宋体"/>
          <w:color w:val="000000"/>
          <w:kern w:val="0"/>
          <w:sz w:val="24"/>
          <w:szCs w:val="24"/>
          <w:vertAlign w:val="superscript"/>
        </w:rPr>
        <w:t>[7]</w:t>
      </w:r>
      <w:r>
        <w:rPr>
          <w:rFonts w:ascii="宋体" w:hAnsi="宋体" w:eastAsia="宋体" w:cs="宋体"/>
          <w:color w:val="000000"/>
          <w:kern w:val="0"/>
          <w:sz w:val="24"/>
          <w:szCs w:val="24"/>
        </w:rPr>
        <w:t>而在发达国家的实践中，美国高度成熟的药品集团采购模式与德国基于疾病基金的议价机制，均体现了将分散需求整合为单一买方以增强谈判力的流通逻辑，相关研究表明，这些按病种或人头付费的预付制模式从源头上切断了医院通过高价药品获利的链条，这对于解决我国公立医院“以药养医”遗留问题具有对症下药的启示。</w:t>
      </w:r>
      <w:r>
        <w:rPr>
          <w:rFonts w:ascii="宋体" w:hAnsi="宋体" w:eastAsia="宋体" w:cs="宋体"/>
          <w:color w:val="000000"/>
          <w:kern w:val="0"/>
          <w:sz w:val="24"/>
          <w:szCs w:val="24"/>
          <w:vertAlign w:val="superscript"/>
        </w:rPr>
        <w:t>[8]</w:t>
      </w:r>
    </w:p>
    <w:p w14:paraId="2B5AC80C">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国内学者对于医疗领域政府采购的研究同样呈现多维度的展开。在制度环境的研究上，有学者从内部控制视角切入，强调必须以分事行权与分岗设权为核心重构公立医院招标流程，以解决采购需求制定与审批权限不分的问题。</w:t>
      </w:r>
      <w:r>
        <w:rPr>
          <w:rFonts w:ascii="宋体" w:hAnsi="宋体" w:eastAsia="宋体" w:cs="宋体"/>
          <w:color w:val="000000"/>
          <w:kern w:val="0"/>
          <w:sz w:val="24"/>
          <w:szCs w:val="24"/>
          <w:vertAlign w:val="superscript"/>
        </w:rPr>
        <w:t>[6]</w:t>
      </w:r>
      <w:r>
        <w:rPr>
          <w:rFonts w:ascii="宋体" w:hAnsi="宋体" w:eastAsia="宋体" w:cs="宋体"/>
          <w:color w:val="000000"/>
          <w:kern w:val="0"/>
          <w:sz w:val="24"/>
          <w:szCs w:val="24"/>
        </w:rPr>
        <w:t>实务领域的研究则通过比较分析，将医院设备采购方式细化为公开招标至现场议价等多种模式的成本效益数据，指出不同限额下的设备应采用差异化的评审策略，而非单纯的“价低者胜”。</w:t>
      </w:r>
      <w:r>
        <w:rPr>
          <w:rFonts w:ascii="宋体" w:hAnsi="宋体" w:eastAsia="宋体" w:cs="宋体"/>
          <w:color w:val="000000"/>
          <w:kern w:val="0"/>
          <w:sz w:val="24"/>
          <w:szCs w:val="24"/>
          <w:vertAlign w:val="superscript"/>
        </w:rPr>
        <w:t>[5]</w:t>
      </w:r>
      <w:r>
        <w:rPr>
          <w:rFonts w:ascii="宋体" w:hAnsi="宋体" w:eastAsia="宋体" w:cs="宋体"/>
          <w:color w:val="000000"/>
          <w:kern w:val="0"/>
          <w:sz w:val="24"/>
          <w:szCs w:val="24"/>
        </w:rPr>
        <w:t>针对近年备受关注的药品价格问题，基于政治经济学视角的深度剖析揭示了带量集采下的价格形成机制，发现其通过规模效应营造“专利悬崖”来强行压缩虚高药价空间。</w:t>
      </w:r>
      <w:r>
        <w:rPr>
          <w:rFonts w:ascii="宋体" w:hAnsi="宋体" w:eastAsia="宋体" w:cs="宋体"/>
          <w:color w:val="000000"/>
          <w:kern w:val="0"/>
          <w:sz w:val="24"/>
          <w:szCs w:val="24"/>
          <w:vertAlign w:val="superscript"/>
        </w:rPr>
        <w:t>[3]</w:t>
      </w:r>
      <w:r>
        <w:rPr>
          <w:rFonts w:ascii="宋体" w:hAnsi="宋体" w:eastAsia="宋体" w:cs="宋体"/>
          <w:color w:val="000000"/>
          <w:kern w:val="0"/>
          <w:sz w:val="24"/>
          <w:szCs w:val="24"/>
        </w:rPr>
        <w:t>而在监督救济层面，详实的论证表明，供应商质疑投诉与绩效问责的缺失是导致监督机制虚化的深层原因。</w:t>
      </w:r>
      <w:r>
        <w:rPr>
          <w:rFonts w:ascii="宋体" w:hAnsi="宋体" w:eastAsia="宋体" w:cs="宋体"/>
          <w:color w:val="000000"/>
          <w:kern w:val="0"/>
          <w:sz w:val="24"/>
          <w:szCs w:val="24"/>
          <w:vertAlign w:val="superscript"/>
        </w:rPr>
        <w:t>[9]</w:t>
      </w:r>
    </w:p>
    <w:p w14:paraId="630E0A5D">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我国的学者们对于政府采购进行了深入广泛的研究，系统地分析了其合规流程与廉政机制，这些研究全面揭示了政府采购在节约财政支出、调控社会经济等领域的重要性。遗憾的是，这些探究还存在不足之处。例如，有些研究过于侧重宏观制度解读，而忽视了医疗产品技术创新快、专用性强对采购方式的特有冲击，使对微观落地的认知不够完整。未来的研究需要加强各类采购方式在复杂医疗属性下的适用性实证探索。</w:t>
      </w:r>
    </w:p>
    <w:p w14:paraId="49F498B4">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（三）研究内容</w:t>
      </w:r>
    </w:p>
    <w:p w14:paraId="729C3374">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首先明确以《政府采购法》框架下的公开招标、邀请招标、竞争性谈判及询价四种采购方式作为研究对象，核心问题在于剥离它们在医疗设备与服务采购中的非适配性。继而，文章采用“4E”理论与风险管理相结合的分析视角，穿透性地审视全国公立医院及基层卫生机构的采购现状，并从中提炼预算失控、评审失能等典型政府采购痛点。在问题剖析的基础上，研究将提出一套基于“技术壁垒层级-资金限额”进行分层递进式匹配的解决方案。该研究最终旨在为卫生部门制定精细化采购指引提供理论依据，助力公共健康资金从“花了钱”向“花得值”转型。</w:t>
      </w:r>
    </w:p>
    <w:p w14:paraId="3FBD3CD1">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（四）研究方法</w:t>
      </w:r>
    </w:p>
    <w:p w14:paraId="6B3559AA">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1.</w:t>
      </w:r>
      <w:r>
        <w:rPr>
          <w:rFonts w:ascii="黑体" w:eastAsia="黑体"/>
          <w:b w:val="0"/>
          <w:bCs w:val="0"/>
          <w:color w:val="000000"/>
          <w:sz w:val="24"/>
          <w:szCs w:val="24"/>
        </w:rPr>
        <w:t>文献研究法</w:t>
      </w:r>
    </w:p>
    <w:p w14:paraId="64AB36B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使用文献研究法，围绕“政府采购方式”与“医疗采购”的交叉课题，多渠道查阅了国内外相关法律法规、硕士论文及期刊文献。通过梳理公立医院以来治理体系与采购模式的演变，利用“效率与公平”的分析框架，明晰了现有政策在适用性上的模糊地带，发现其现存的监督缺位问题。该方法为探究非招标方式的合理性提供了主要理论框架，作为整项研究的逻辑起点，为后文的挖掘分析奠定了基础。</w:t>
      </w:r>
    </w:p>
    <w:p w14:paraId="1C6B489C">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2.</w:t>
      </w:r>
      <w:r>
        <w:rPr>
          <w:rFonts w:ascii="黑体" w:eastAsia="黑体"/>
          <w:b w:val="0"/>
          <w:bCs w:val="0"/>
          <w:color w:val="000000"/>
          <w:sz w:val="24"/>
          <w:szCs w:val="24"/>
        </w:rPr>
        <w:t>案例分析法</w:t>
      </w:r>
    </w:p>
    <w:p w14:paraId="1826665C">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themeColor="text1"/>
          <w:kern w:val="0"/>
          <w:sz w:val="24"/>
          <w:szCs w:val="24"/>
          <w14:textFill>
            <w14:solidFill>
              <w14:schemeClr w14:val="tx1"/>
            </w14:solidFill>
          </w14:textFill>
        </w:rPr>
        <w:t>针对实践环节中隐匿的“围标”与“串标”暗箱操作，本研究同时采用了案例分析法。研究过程中</w:t>
      </w:r>
      <w:r>
        <w:rPr>
          <w:rFonts w:hint="eastAsia" w:ascii="宋体" w:hAnsi="宋体" w:eastAsia="宋体" w:cs="宋体"/>
          <w:color w:val="000000" w:themeColor="text1"/>
          <w:kern w:val="0"/>
          <w:sz w:val="24"/>
          <w:szCs w:val="24"/>
          <w14:textFill>
            <w14:solidFill>
              <w14:schemeClr w14:val="tx1"/>
            </w14:solidFill>
          </w14:textFill>
        </w:rPr>
        <w:t>分析</w:t>
      </w:r>
      <w:r>
        <w:rPr>
          <w:rFonts w:ascii="宋体" w:hAnsi="宋体" w:eastAsia="宋体" w:cs="宋体"/>
          <w:color w:val="000000" w:themeColor="text1"/>
          <w:kern w:val="0"/>
          <w:sz w:val="24"/>
          <w:szCs w:val="24"/>
          <w14:textFill>
            <w14:solidFill>
              <w14:schemeClr w14:val="tx1"/>
            </w14:solidFill>
          </w14:textFill>
        </w:rPr>
        <w:t>思考了参考文献中举例的全国首例政府采购案、深圳盐田采购腐化案以及近期在某地审计中发现的“夫妻店”围标案等极具代表性的不端案例。</w:t>
      </w:r>
      <w:r>
        <w:rPr>
          <w:rFonts w:ascii="宋体" w:hAnsi="宋体" w:eastAsia="宋体" w:cs="宋体"/>
          <w:color w:val="000000" w:themeColor="text1"/>
          <w:kern w:val="0"/>
          <w:sz w:val="24"/>
          <w:szCs w:val="24"/>
          <w:vertAlign w:val="superscript"/>
          <w14:textFill>
            <w14:solidFill>
              <w14:schemeClr w14:val="tx1"/>
            </w14:solidFill>
          </w14:textFill>
        </w:rPr>
        <w:t>[7][9][11]</w:t>
      </w:r>
      <w:r>
        <w:rPr>
          <w:rFonts w:ascii="宋体" w:hAnsi="宋体" w:eastAsia="宋体" w:cs="宋体"/>
          <w:color w:val="000000"/>
          <w:kern w:val="0"/>
          <w:sz w:val="24"/>
          <w:szCs w:val="24"/>
        </w:rPr>
        <w:t>通过对这些案件背后招投标文件、审查轨迹的具体还原，该方法直接揭示了从公开招标到询价谈判在实施中的程序漏洞与寻租的底层逻辑，解决了单纯依靠理论说教而难以触及的实务深渊问题。</w:t>
      </w:r>
    </w:p>
    <w:p w14:paraId="0F0BF31B">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3.</w:t>
      </w:r>
      <w:r>
        <w:rPr>
          <w:rFonts w:ascii="黑体" w:eastAsia="黑体"/>
          <w:b w:val="0"/>
          <w:bCs w:val="0"/>
          <w:color w:val="000000"/>
          <w:sz w:val="24"/>
          <w:szCs w:val="24"/>
        </w:rPr>
        <w:t>比较研究法</w:t>
      </w:r>
    </w:p>
    <w:p w14:paraId="578BB044">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为了探寻最适合医疗场景的改善路径，本文进一步运用了比较研究法。由于不同性质的医疗项目在技术参数、供应商数量及需求时限上存在巨大差异，研究对公开招标与竞争性谈判、询价之间的适用范围、时间成本与竞价效果进行了横向对比。通过评判国内外及不同地域的采购实践经验，该方法旨在为构建灵活的“分类采购”体系寻找客观依据，避免了因为方法单一而导致的“重流程、轻结果”的错误倾向。</w:t>
      </w:r>
    </w:p>
    <w:p w14:paraId="5778F01A">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二、政府采购方式在医疗领域的现状分析</w:t>
      </w:r>
    </w:p>
    <w:p w14:paraId="038DB493">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（一）基本概况</w:t>
      </w:r>
    </w:p>
    <w:p w14:paraId="56AC51C9">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我国目前的政府采购制度明确了以公开招标为主的多种采购模式，涉及货物、工程与服务三大类。根据全国政府采购数据，近年来采购规模维持在约3.4万亿元的水平，其中公开招标方式占据绝对主导地位。例如，2024年全国公开招标占比仍高达76.63%，竞争性磋商占比为11.52%，而询价与单一来源等方式应用比较有限。这反映出我国采购市场在程序上对“充分竞争”的刚性追求，力求降低廉政风险。</w:t>
      </w:r>
    </w:p>
    <w:p w14:paraId="5D4D1042">
      <w:pPr>
        <w:pStyle w:val="4"/>
        <w:spacing w:after="120" w:line="480" w:lineRule="exact"/>
        <w:ind w:firstLine="480" w:firstLineChars="200"/>
        <w:rPr>
          <w:rFonts w:ascii="黑体" w:eastAsia="黑体"/>
          <w:b w:val="0"/>
          <w:bCs w:val="0"/>
          <w:color w:val="000000"/>
          <w:sz w:val="24"/>
          <w:szCs w:val="24"/>
        </w:rPr>
      </w:pPr>
      <w:r>
        <w:rPr>
          <w:rFonts w:ascii="黑体" w:eastAsia="黑体"/>
          <w:b w:val="0"/>
          <w:bCs w:val="0"/>
          <w:color w:val="000000"/>
          <w:sz w:val="24"/>
          <w:szCs w:val="24"/>
        </w:rPr>
        <w:t>表1：2022-2024年全国政府采购主要方式占比统计表</w:t>
      </w:r>
    </w:p>
    <w:tbl>
      <w:tblPr>
        <w:tblStyle w:val="6"/>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1843"/>
        <w:gridCol w:w="1984"/>
        <w:gridCol w:w="1843"/>
      </w:tblGrid>
      <w:tr w14:paraId="305C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6EB23C5B">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采购方式</w:t>
            </w:r>
          </w:p>
        </w:tc>
        <w:tc>
          <w:tcPr>
            <w:tcW w:w="1843" w:type="dxa"/>
          </w:tcPr>
          <w:p w14:paraId="322FCBF2">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2022年</w:t>
            </w:r>
          </w:p>
        </w:tc>
        <w:tc>
          <w:tcPr>
            <w:tcW w:w="1984" w:type="dxa"/>
          </w:tcPr>
          <w:p w14:paraId="1DBD1337">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2023年</w:t>
            </w:r>
          </w:p>
        </w:tc>
        <w:tc>
          <w:tcPr>
            <w:tcW w:w="1843" w:type="dxa"/>
          </w:tcPr>
          <w:p w14:paraId="5F2E9A43">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2024年</w:t>
            </w:r>
          </w:p>
        </w:tc>
      </w:tr>
      <w:tr w14:paraId="1727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7B8C5EFD">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公开招标</w:t>
            </w:r>
          </w:p>
        </w:tc>
        <w:tc>
          <w:tcPr>
            <w:tcW w:w="1843" w:type="dxa"/>
          </w:tcPr>
          <w:p w14:paraId="035A5B95">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77.2%</w:t>
            </w:r>
          </w:p>
        </w:tc>
        <w:tc>
          <w:tcPr>
            <w:tcW w:w="1984" w:type="dxa"/>
          </w:tcPr>
          <w:p w14:paraId="3750697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76.3%</w:t>
            </w:r>
          </w:p>
        </w:tc>
        <w:tc>
          <w:tcPr>
            <w:tcW w:w="1843" w:type="dxa"/>
          </w:tcPr>
          <w:p w14:paraId="77D68C91">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76.63%</w:t>
            </w:r>
          </w:p>
        </w:tc>
      </w:tr>
      <w:tr w14:paraId="6BB8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5ED6E15F">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邀请招标</w:t>
            </w:r>
          </w:p>
        </w:tc>
        <w:tc>
          <w:tcPr>
            <w:tcW w:w="1843" w:type="dxa"/>
          </w:tcPr>
          <w:p w14:paraId="538D1E7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0.8%</w:t>
            </w:r>
          </w:p>
        </w:tc>
        <w:tc>
          <w:tcPr>
            <w:tcW w:w="1984" w:type="dxa"/>
          </w:tcPr>
          <w:p w14:paraId="19A2AABE">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w:t>
            </w:r>
          </w:p>
        </w:tc>
        <w:tc>
          <w:tcPr>
            <w:tcW w:w="1843" w:type="dxa"/>
          </w:tcPr>
          <w:p w14:paraId="6965AF8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0.62%</w:t>
            </w:r>
          </w:p>
        </w:tc>
      </w:tr>
      <w:tr w14:paraId="01FE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38A4CE8A">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竞争性谈判/磋商</w:t>
            </w:r>
          </w:p>
        </w:tc>
        <w:tc>
          <w:tcPr>
            <w:tcW w:w="1843" w:type="dxa"/>
          </w:tcPr>
          <w:p w14:paraId="68FB2D58">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13.2%</w:t>
            </w:r>
          </w:p>
        </w:tc>
        <w:tc>
          <w:tcPr>
            <w:tcW w:w="1984" w:type="dxa"/>
          </w:tcPr>
          <w:p w14:paraId="540B4263">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14.1%</w:t>
            </w:r>
          </w:p>
        </w:tc>
        <w:tc>
          <w:tcPr>
            <w:tcW w:w="1843" w:type="dxa"/>
          </w:tcPr>
          <w:p w14:paraId="0D731377">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14.19%</w:t>
            </w:r>
          </w:p>
        </w:tc>
      </w:tr>
      <w:tr w14:paraId="323C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0F1FCA75">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询价</w:t>
            </w:r>
          </w:p>
        </w:tc>
        <w:tc>
          <w:tcPr>
            <w:tcW w:w="1843" w:type="dxa"/>
          </w:tcPr>
          <w:p w14:paraId="48FC810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0.9%</w:t>
            </w:r>
          </w:p>
        </w:tc>
        <w:tc>
          <w:tcPr>
            <w:tcW w:w="1984" w:type="dxa"/>
          </w:tcPr>
          <w:p w14:paraId="6BF918F6">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w:t>
            </w:r>
          </w:p>
        </w:tc>
        <w:tc>
          <w:tcPr>
            <w:tcW w:w="1843" w:type="dxa"/>
          </w:tcPr>
          <w:p w14:paraId="6E7082D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0.43%</w:t>
            </w:r>
          </w:p>
        </w:tc>
      </w:tr>
      <w:tr w14:paraId="3182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4E18388B">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单一来源采购</w:t>
            </w:r>
          </w:p>
        </w:tc>
        <w:tc>
          <w:tcPr>
            <w:tcW w:w="1843" w:type="dxa"/>
          </w:tcPr>
          <w:p w14:paraId="4FA8B843">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3.3%</w:t>
            </w:r>
          </w:p>
        </w:tc>
        <w:tc>
          <w:tcPr>
            <w:tcW w:w="1984" w:type="dxa"/>
          </w:tcPr>
          <w:p w14:paraId="24415CCA">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3.1%</w:t>
            </w:r>
          </w:p>
        </w:tc>
        <w:tc>
          <w:tcPr>
            <w:tcW w:w="1843" w:type="dxa"/>
          </w:tcPr>
          <w:p w14:paraId="48BD4490">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3.26%</w:t>
            </w:r>
          </w:p>
        </w:tc>
      </w:tr>
    </w:tbl>
    <w:p w14:paraId="768954B2">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数据来源：财政部国库司发布的2022-2024年《全国政府采购简要情况》</w:t>
      </w:r>
      <w:r>
        <w:rPr>
          <w:rFonts w:ascii="宋体" w:hAnsi="宋体" w:eastAsia="宋体" w:cs="宋体"/>
          <w:color w:val="000000"/>
          <w:kern w:val="0"/>
          <w:sz w:val="24"/>
          <w:szCs w:val="24"/>
          <w:vertAlign w:val="superscript"/>
        </w:rPr>
        <w:t>[10]</w:t>
      </w:r>
    </w:p>
    <w:p w14:paraId="5D0F578C">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由表1数据可见，我国政府采购市场结构呈现明显的“一超多强”格局，公开招标因其程序严密而长期作为首选，这种结构在一定程度上保障了财政资金的安全。混合采用竞争性磋商与单一来源的“非标”方式总量虽维持在15%-20%之间，但由于审批手续繁琐且存在质疑风险，实务中多数单位依然倾向于将项目装进公开招标的“保险箱”，哪怕是技术复杂或应急项目也勉强套用，从而在一定程度上制约了采购效率。</w:t>
      </w:r>
      <w:r>
        <w:rPr>
          <w:rFonts w:ascii="宋体" w:hAnsi="宋体" w:eastAsia="宋体" w:cs="宋体"/>
          <w:color w:val="000000"/>
          <w:kern w:val="0"/>
          <w:sz w:val="24"/>
          <w:szCs w:val="24"/>
          <w:vertAlign w:val="superscript"/>
        </w:rPr>
        <w:t>[5]</w:t>
      </w:r>
    </w:p>
    <w:p w14:paraId="23D03A43">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（二）在医疗领域中的情况、特点和现状分析</w:t>
      </w:r>
    </w:p>
    <w:p w14:paraId="7D4E563A">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聚焦到公立医院这一特定主体，由于其业务的特殊性，采购标的往往涉及到高精尖的生命支持设备、伴随高并发风险的维保服务以及专有配套试剂。医疗领域采购显示出鲜明的“技术排他性”与“抢救实效性”特征。例如，许多放射类大型设备在全球仅有少数厂家具备生产能力；而其核心球管或探头的更换维保，由于受知识产权保护，基本面临“只此一家”的被动局面。</w:t>
      </w:r>
      <w:r>
        <w:rPr>
          <w:rFonts w:ascii="宋体" w:hAnsi="宋体" w:eastAsia="宋体" w:cs="宋体"/>
          <w:color w:val="000000"/>
          <w:kern w:val="0"/>
          <w:sz w:val="24"/>
          <w:szCs w:val="24"/>
          <w:vertAlign w:val="superscript"/>
        </w:rPr>
        <w:t>[4][6]</w:t>
      </w:r>
    </w:p>
    <w:p w14:paraId="48E3BA19">
      <w:pPr>
        <w:pStyle w:val="4"/>
        <w:spacing w:after="120" w:line="480" w:lineRule="exact"/>
        <w:ind w:firstLine="480" w:firstLineChars="200"/>
        <w:rPr>
          <w:rFonts w:ascii="黑体" w:eastAsia="黑体"/>
          <w:b w:val="0"/>
          <w:bCs w:val="0"/>
          <w:color w:val="000000"/>
          <w:sz w:val="24"/>
          <w:szCs w:val="24"/>
        </w:rPr>
      </w:pPr>
      <w:r>
        <w:rPr>
          <w:rFonts w:ascii="黑体" w:eastAsia="黑体"/>
          <w:b w:val="0"/>
          <w:bCs w:val="0"/>
          <w:color w:val="000000"/>
          <w:sz w:val="24"/>
          <w:szCs w:val="24"/>
        </w:rPr>
        <w:t>表2：2021-2023年某市公立医院大型医疗设备采购情况统计表</w:t>
      </w:r>
    </w:p>
    <w:tbl>
      <w:tblPr>
        <w:tblStyle w:val="6"/>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609"/>
        <w:gridCol w:w="1755"/>
        <w:gridCol w:w="2447"/>
        <w:gridCol w:w="1944"/>
      </w:tblGrid>
      <w:tr w14:paraId="4BE6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exact"/>
        </w:trPr>
        <w:tc>
          <w:tcPr>
            <w:tcW w:w="1101" w:type="dxa"/>
          </w:tcPr>
          <w:p w14:paraId="45F77292">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年度</w:t>
            </w:r>
          </w:p>
        </w:tc>
        <w:tc>
          <w:tcPr>
            <w:tcW w:w="1609" w:type="dxa"/>
          </w:tcPr>
          <w:p w14:paraId="5E84B57F">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新购大型设备（台）</w:t>
            </w:r>
          </w:p>
        </w:tc>
        <w:tc>
          <w:tcPr>
            <w:tcW w:w="0" w:type="auto"/>
          </w:tcPr>
          <w:p w14:paraId="3D4FB444">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公开招标比率（%）</w:t>
            </w:r>
          </w:p>
        </w:tc>
        <w:tc>
          <w:tcPr>
            <w:tcW w:w="2447" w:type="dxa"/>
          </w:tcPr>
          <w:p w14:paraId="05A3865E">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平均投标人数量（家）</w:t>
            </w:r>
          </w:p>
        </w:tc>
        <w:tc>
          <w:tcPr>
            <w:tcW w:w="1944" w:type="dxa"/>
          </w:tcPr>
          <w:p w14:paraId="62CC0F42">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中标价与预算的平均偏差（%）</w:t>
            </w:r>
          </w:p>
        </w:tc>
      </w:tr>
      <w:tr w14:paraId="6A24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A1320F9">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2021年</w:t>
            </w:r>
          </w:p>
        </w:tc>
        <w:tc>
          <w:tcPr>
            <w:tcW w:w="1609" w:type="dxa"/>
          </w:tcPr>
          <w:p w14:paraId="5C2E6E96">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95</w:t>
            </w:r>
          </w:p>
        </w:tc>
        <w:tc>
          <w:tcPr>
            <w:tcW w:w="0" w:type="auto"/>
          </w:tcPr>
          <w:p w14:paraId="6066B26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89.5</w:t>
            </w:r>
            <w:r>
              <w:rPr>
                <w:rFonts w:hint="eastAsia" w:ascii="Segoe UI" w:hAnsi="Segoe UI" w:eastAsia="宋体" w:cs="Segoe UI"/>
                <w:color w:val="0F1115"/>
                <w:kern w:val="0"/>
                <w:sz w:val="24"/>
                <w:szCs w:val="24"/>
              </w:rPr>
              <w:tab/>
            </w:r>
          </w:p>
        </w:tc>
        <w:tc>
          <w:tcPr>
            <w:tcW w:w="2447" w:type="dxa"/>
          </w:tcPr>
          <w:p w14:paraId="67CD930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3.2</w:t>
            </w:r>
          </w:p>
        </w:tc>
        <w:tc>
          <w:tcPr>
            <w:tcW w:w="1944" w:type="dxa"/>
          </w:tcPr>
          <w:p w14:paraId="0183C815">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-1.2</w:t>
            </w:r>
          </w:p>
        </w:tc>
      </w:tr>
      <w:tr w14:paraId="30EF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38E04672">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2022年</w:t>
            </w:r>
          </w:p>
        </w:tc>
        <w:tc>
          <w:tcPr>
            <w:tcW w:w="1609" w:type="dxa"/>
          </w:tcPr>
          <w:p w14:paraId="202D8305">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102</w:t>
            </w:r>
          </w:p>
        </w:tc>
        <w:tc>
          <w:tcPr>
            <w:tcW w:w="0" w:type="auto"/>
          </w:tcPr>
          <w:p w14:paraId="15D17AD7">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91.2</w:t>
            </w:r>
          </w:p>
        </w:tc>
        <w:tc>
          <w:tcPr>
            <w:tcW w:w="2447" w:type="dxa"/>
          </w:tcPr>
          <w:p w14:paraId="7862F606">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3.1</w:t>
            </w:r>
          </w:p>
        </w:tc>
        <w:tc>
          <w:tcPr>
            <w:tcW w:w="1944" w:type="dxa"/>
          </w:tcPr>
          <w:p w14:paraId="4F1691CA">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-0.9</w:t>
            </w:r>
          </w:p>
        </w:tc>
      </w:tr>
      <w:tr w14:paraId="51E6B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479AC35B">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2023年</w:t>
            </w:r>
          </w:p>
        </w:tc>
        <w:tc>
          <w:tcPr>
            <w:tcW w:w="1609" w:type="dxa"/>
          </w:tcPr>
          <w:p w14:paraId="4C8B687C">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108</w:t>
            </w:r>
            <w:r>
              <w:rPr>
                <w:rFonts w:hint="eastAsia" w:ascii="Segoe UI" w:hAnsi="Segoe UI" w:eastAsia="宋体" w:cs="Segoe UI"/>
                <w:color w:val="0F1115"/>
                <w:kern w:val="0"/>
                <w:sz w:val="24"/>
                <w:szCs w:val="24"/>
              </w:rPr>
              <w:tab/>
            </w:r>
          </w:p>
        </w:tc>
        <w:tc>
          <w:tcPr>
            <w:tcW w:w="0" w:type="auto"/>
          </w:tcPr>
          <w:p w14:paraId="249542FF">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88.9</w:t>
            </w:r>
          </w:p>
        </w:tc>
        <w:tc>
          <w:tcPr>
            <w:tcW w:w="2447" w:type="dxa"/>
          </w:tcPr>
          <w:p w14:paraId="659291C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3.0</w:t>
            </w:r>
          </w:p>
        </w:tc>
        <w:tc>
          <w:tcPr>
            <w:tcW w:w="1944" w:type="dxa"/>
          </w:tcPr>
          <w:p w14:paraId="1551CE8D">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w:t>
            </w:r>
          </w:p>
        </w:tc>
      </w:tr>
    </w:tbl>
    <w:p w14:paraId="6332D67D">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数据来源：海南省审计网披露的《大型医疗设备采购审计案例》及A区卫生健康局调查数据</w:t>
      </w:r>
      <w:r>
        <w:rPr>
          <w:rFonts w:ascii="宋体" w:hAnsi="宋体" w:eastAsia="宋体" w:cs="宋体"/>
          <w:color w:val="000000"/>
          <w:kern w:val="0"/>
          <w:sz w:val="24"/>
          <w:szCs w:val="24"/>
          <w:vertAlign w:val="superscript"/>
        </w:rPr>
        <w:t>[11]</w:t>
      </w:r>
    </w:p>
    <w:p w14:paraId="0732D592">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尽管此次审计案例中出于各种需要隐藏了具体地区以及人名之类的细节</w:t>
      </w:r>
      <w:r>
        <w:rPr>
          <w:rFonts w:hint="eastAsia" w:ascii="宋体" w:hAnsi="宋体" w:eastAsia="宋体" w:cs="宋体"/>
          <w:color w:val="000000"/>
          <w:kern w:val="0"/>
          <w:sz w:val="24"/>
          <w:szCs w:val="24"/>
        </w:rPr>
        <w:t>，但</w:t>
      </w:r>
      <w:r>
        <w:rPr>
          <w:rFonts w:ascii="宋体" w:hAnsi="宋体" w:eastAsia="宋体" w:cs="宋体"/>
          <w:color w:val="000000"/>
          <w:kern w:val="0"/>
          <w:sz w:val="24"/>
          <w:szCs w:val="24"/>
        </w:rPr>
        <w:t>表2所呈现的数字揭示了一个尴尬的现状：表面看各项采购均满足了招投标法对供应商数量的底线要求，合规率看似满分；然而过低的资金节约率直指“程序空转”的病灶。多数项目的中标价格紧贴着最高预算报价，供应商之间并未发生实质性的价格比拼。同一批次的彩超采购中，三家竞标公司文件格式雷同、错漏一致的现象屡见不鲜，显露出“围标”已成公开的秘密。[11]这不仅稀释了公开招标应有的降价红利，更动摇了公平竞争的根基。</w:t>
      </w:r>
    </w:p>
    <w:p w14:paraId="4220598B">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三、各种政府采购方式在医疗领域存在的问题</w:t>
      </w:r>
    </w:p>
    <w:p w14:paraId="540DB50E">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一，公开招标程序僵化，导致围标风险加剧与设备断供。在医疗采购实践中，为规避审计问责，采购单位往往将本不适宜招标的专有设备强行纳入公开招标。这为审计报告中披露的“软围标”行为提供了温床，投标人通过设立多家无实缴资本或社保的空壳公司参与陪跑，造成价格竞争失灵。</w:t>
      </w:r>
      <w:r>
        <w:rPr>
          <w:rFonts w:ascii="宋体" w:hAnsi="宋体" w:eastAsia="宋体" w:cs="宋体"/>
          <w:color w:val="000000"/>
          <w:kern w:val="0"/>
          <w:sz w:val="24"/>
          <w:szCs w:val="24"/>
          <w:vertAlign w:val="superscript"/>
        </w:rPr>
        <w:t>[11]</w:t>
      </w:r>
      <w:r>
        <w:rPr>
          <w:rFonts w:ascii="宋体" w:hAnsi="宋体" w:eastAsia="宋体" w:cs="宋体"/>
          <w:color w:val="000000"/>
          <w:kern w:val="0"/>
          <w:sz w:val="24"/>
          <w:szCs w:val="24"/>
        </w:rPr>
        <w:t>而且，漫长的法律规定等待期（不少于二十天）与院方急需投入临床使用的急迫心情形成冲突，一旦遭遇恶意质疑或废标，极易造成诊疗科室的设备供给断裂。</w:t>
      </w:r>
      <w:r>
        <w:rPr>
          <w:rFonts w:ascii="宋体" w:hAnsi="宋体" w:eastAsia="宋体" w:cs="宋体"/>
          <w:color w:val="000000"/>
          <w:kern w:val="0"/>
          <w:sz w:val="24"/>
          <w:szCs w:val="24"/>
          <w:vertAlign w:val="superscript"/>
        </w:rPr>
        <w:t>[5]</w:t>
      </w:r>
    </w:p>
    <w:p w14:paraId="45C75D96">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二，邀请招标的筛选门槛模糊，极易成为排挤竞争的工具。邀请招标的前提是评估产品或供应来源的“有限性”，但目前医疗领域缺乏动态更新的特定供应商信息库。采购人员掌握了过大的自由裁量权去圈选被邀请对象，这不仅可能导致“人情标”，也与政府采购扶持中小企业的导向背道而驰，使得新兴的中小型创新医疗企业难以进入公立医院体系。</w:t>
      </w:r>
      <w:r>
        <w:rPr>
          <w:rFonts w:ascii="宋体" w:hAnsi="宋体" w:eastAsia="宋体" w:cs="宋体"/>
          <w:color w:val="000000"/>
          <w:kern w:val="0"/>
          <w:sz w:val="24"/>
          <w:szCs w:val="24"/>
          <w:vertAlign w:val="superscript"/>
        </w:rPr>
        <w:t>[4]</w:t>
      </w:r>
      <w:r>
        <w:rPr>
          <w:rFonts w:ascii="宋体" w:hAnsi="宋体" w:eastAsia="宋体" w:cs="宋体"/>
          <w:color w:val="000000"/>
          <w:kern w:val="0"/>
          <w:sz w:val="24"/>
          <w:szCs w:val="24"/>
        </w:rPr>
        <w:t>这种隐性的垄断推高了全周期的维护费用，损害了医院的长远利益。</w:t>
      </w:r>
    </w:p>
    <w:p w14:paraId="6AB9EB8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三，竞争性谈判的操作流于形式，主观打分暗箱难防。虽然该方式允许进行多轮谈判并细化技术指标，但在高端影像或检验设备谈判中，由于专家库人员并非精通所有品牌参数，谈判过程常简化为审阅格式化响应文件。为了避免扣分风险，评审专家往往采取一碗水端平的主观打分策略，实质上放弃了讨价还价的买方优势。</w:t>
      </w:r>
      <w:r>
        <w:rPr>
          <w:rFonts w:ascii="宋体" w:hAnsi="宋体" w:eastAsia="宋体" w:cs="宋体"/>
          <w:color w:val="000000"/>
          <w:kern w:val="0"/>
          <w:sz w:val="24"/>
          <w:szCs w:val="24"/>
          <w:vertAlign w:val="superscript"/>
        </w:rPr>
        <w:t>[1]</w:t>
      </w:r>
      <w:r>
        <w:rPr>
          <w:rFonts w:ascii="宋体" w:hAnsi="宋体" w:eastAsia="宋体" w:cs="宋体"/>
          <w:color w:val="000000"/>
          <w:kern w:val="0"/>
          <w:sz w:val="24"/>
          <w:szCs w:val="24"/>
        </w:rPr>
        <w:t>更有甚者，通过提前向特定供应商泄露答辩权重和修改边界，使谈判演变为提前设定结果的“走秀”，从而让具有高性价比的突破性新技术失去了入场竞演的机会。</w:t>
      </w:r>
      <w:r>
        <w:rPr>
          <w:rFonts w:ascii="宋体" w:hAnsi="宋体" w:eastAsia="宋体" w:cs="宋体"/>
          <w:color w:val="000000"/>
          <w:kern w:val="0"/>
          <w:sz w:val="24"/>
          <w:szCs w:val="24"/>
          <w:vertAlign w:val="superscript"/>
        </w:rPr>
        <w:t>[2]</w:t>
      </w:r>
    </w:p>
    <w:p w14:paraId="18ABBFAC">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四，询价采购的信息采集受限，落入低价劣质的怪圈。询价采购主要用于五万元以下的零星耗材或同质化低值产品，但医院往往囿于时间成本，只向周边的三家老供货商询价。这种封闭的信息闭环忽视了全国医疗物价的联动趋势，滋生了供应商抬高单价后再“返点”给个人的微腐败。在缺乏对产品实物进行严格性能比对的情况下，“满足临床使用最低价中标”的刚性原则导致劣质品驱逐良品，极大增加了医疗不良事件的潜在风险。</w:t>
      </w:r>
      <w:r>
        <w:rPr>
          <w:rFonts w:ascii="宋体" w:hAnsi="宋体" w:eastAsia="宋体" w:cs="宋体"/>
          <w:color w:val="000000"/>
          <w:kern w:val="0"/>
          <w:sz w:val="24"/>
          <w:szCs w:val="24"/>
          <w:vertAlign w:val="superscript"/>
        </w:rPr>
        <w:t>[4][5]</w:t>
      </w:r>
    </w:p>
    <w:p w14:paraId="13A1BA50">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四、以上问题的原因分析</w:t>
      </w:r>
    </w:p>
    <w:p w14:paraId="5CDB79D8">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（一）人的因素</w:t>
      </w:r>
    </w:p>
    <w:p w14:paraId="1C5A2223">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参与主体的专业落差与</w:t>
      </w:r>
      <w:r>
        <w:rPr>
          <w:rFonts w:hint="eastAsia" w:ascii="宋体" w:hAnsi="宋体" w:eastAsia="宋体" w:cs="宋体"/>
          <w:color w:val="000000"/>
          <w:kern w:val="0"/>
          <w:sz w:val="24"/>
          <w:szCs w:val="24"/>
        </w:rPr>
        <w:t>利益</w:t>
      </w:r>
      <w:r>
        <w:rPr>
          <w:rFonts w:ascii="宋体" w:hAnsi="宋体" w:eastAsia="宋体" w:cs="宋体"/>
          <w:color w:val="000000"/>
          <w:kern w:val="0"/>
          <w:sz w:val="24"/>
          <w:szCs w:val="24"/>
        </w:rPr>
        <w:t>动机成为乱象的首因。在医疗采购领域，多数医院缺乏既懂临床技术又精通招投标法规的复合型人才。临床科室提出的需求术语往往偏离采购法定的标准参数，给经办人员留下了巨大的模糊操作空间。</w:t>
      </w:r>
      <w:r>
        <w:rPr>
          <w:rFonts w:ascii="宋体" w:hAnsi="宋体" w:eastAsia="宋体" w:cs="宋体"/>
          <w:color w:val="000000"/>
          <w:kern w:val="0"/>
          <w:sz w:val="24"/>
          <w:szCs w:val="24"/>
          <w:vertAlign w:val="superscript"/>
        </w:rPr>
        <w:t>[6]</w:t>
      </w:r>
      <w:r>
        <w:rPr>
          <w:rFonts w:ascii="宋体" w:hAnsi="宋体" w:eastAsia="宋体" w:cs="宋体"/>
          <w:color w:val="000000"/>
          <w:kern w:val="0"/>
          <w:sz w:val="24"/>
          <w:szCs w:val="24"/>
        </w:rPr>
        <w:t>在外部，部分供应商偏离了商业底线，以养生咨询、学术会议等隐蔽形式腐蚀评审人员；而部分专家因责任追究制的虚化，评审打分极不专业，甚至出现明显倾向性评论，这在查处的腐败窝案中都留下了真实的渎职案底。</w:t>
      </w:r>
      <w:r>
        <w:rPr>
          <w:rFonts w:ascii="宋体" w:hAnsi="宋体" w:eastAsia="宋体" w:cs="宋体"/>
          <w:color w:val="000000"/>
          <w:kern w:val="0"/>
          <w:sz w:val="24"/>
          <w:szCs w:val="24"/>
          <w:vertAlign w:val="superscript"/>
        </w:rPr>
        <w:t>[7][9]</w:t>
      </w:r>
    </w:p>
    <w:p w14:paraId="40DD17D4">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（二）财的因素</w:t>
      </w:r>
    </w:p>
    <w:p w14:paraId="372E178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预算编制的粗放与资金结算的迟滞构成了经济诱因。公立医院年度采购预算往往依旧使用“基数增长法”编制，缺乏对拟采购设备全生命周期成本的精细核算。这种脱离实际的预算导致开标时最高限价畸高，给了供应商围标陪跑的利润操作余地。</w:t>
      </w:r>
      <w:r>
        <w:rPr>
          <w:rFonts w:ascii="宋体" w:hAnsi="宋体" w:eastAsia="宋体" w:cs="宋体"/>
          <w:color w:val="000000"/>
          <w:kern w:val="0"/>
          <w:sz w:val="24"/>
          <w:szCs w:val="24"/>
          <w:vertAlign w:val="superscript"/>
        </w:rPr>
        <w:t>[1]</w:t>
      </w:r>
      <w:r>
        <w:rPr>
          <w:rFonts w:ascii="宋体" w:hAnsi="宋体" w:eastAsia="宋体" w:cs="宋体"/>
          <w:color w:val="000000"/>
          <w:kern w:val="0"/>
          <w:sz w:val="24"/>
          <w:szCs w:val="24"/>
        </w:rPr>
        <w:t>此外，在未实施预付制的零星采购中，回款周期漫长是难以根治的老大难问题，受制于这一资金压力，在询价环节供货商不得不预留出资金占用的隐性成本，即便低价中标，后续也会通过降低服务标准或断供来转嫁财务成本。</w:t>
      </w:r>
      <w:r>
        <w:rPr>
          <w:rFonts w:ascii="宋体" w:hAnsi="宋体" w:eastAsia="宋体" w:cs="宋体"/>
          <w:color w:val="000000"/>
          <w:kern w:val="0"/>
          <w:sz w:val="24"/>
          <w:szCs w:val="24"/>
          <w:vertAlign w:val="superscript"/>
        </w:rPr>
        <w:t>[3][4]</w:t>
      </w:r>
    </w:p>
    <w:p w14:paraId="56B18E50">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（三）物的因素</w:t>
      </w:r>
    </w:p>
    <w:p w14:paraId="6063EF36">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医疗器械属性的高度复杂与技术壁垒决定了市场的不充分竞争。医疗领域的“物”具有极强的专用性，大量原装进口设备存在独家专利壁垒或封闭的系统接口。像高端CT球管或内窥镜维保服务，出于技术保护和配件加密的考虑，第三方维修商很难获得授权。</w:t>
      </w:r>
      <w:r>
        <w:rPr>
          <w:rFonts w:ascii="宋体" w:hAnsi="宋体" w:eastAsia="宋体" w:cs="宋体"/>
          <w:color w:val="000000"/>
          <w:kern w:val="0"/>
          <w:sz w:val="24"/>
          <w:szCs w:val="24"/>
          <w:vertAlign w:val="superscript"/>
        </w:rPr>
        <w:t>[2][5]</w:t>
      </w:r>
      <w:r>
        <w:rPr>
          <w:rFonts w:ascii="宋体" w:hAnsi="宋体" w:eastAsia="宋体" w:cs="宋体"/>
          <w:color w:val="000000"/>
          <w:kern w:val="0"/>
          <w:sz w:val="24"/>
          <w:szCs w:val="24"/>
        </w:rPr>
        <w:t>这种独有的“锁定效应”使得公开招标或询价采购从一开始就失去了多品牌同台竞争的基础，无论编制多么完美的招标文件，最终结果也只能指向定向供给，这让常规的竞价流程在技术上沦为空壳。</w:t>
      </w:r>
    </w:p>
    <w:p w14:paraId="0AC91BD8">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（四）力的因素</w:t>
      </w:r>
    </w:p>
    <w:p w14:paraId="34F517D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监督机制的虚置与数据联动的匮乏使得外部约束难以挥发效力。这里的“力”指的是监管、审计与信用惩戒的合力。当前的监督常以事后审查与书面核查为主，审计部门往往局限于发票与合同的形式合规，而非深入到使用科室去比对设备的真实运行参数。</w:t>
      </w:r>
      <w:r>
        <w:rPr>
          <w:rFonts w:ascii="宋体" w:hAnsi="宋体" w:eastAsia="宋体" w:cs="宋体"/>
          <w:color w:val="000000"/>
          <w:kern w:val="0"/>
          <w:sz w:val="24"/>
          <w:szCs w:val="24"/>
          <w:vertAlign w:val="superscript"/>
        </w:rPr>
        <w:t>[11]</w:t>
      </w:r>
      <w:r>
        <w:rPr>
          <w:rFonts w:ascii="宋体" w:hAnsi="宋体" w:eastAsia="宋体" w:cs="宋体"/>
          <w:color w:val="000000"/>
          <w:kern w:val="0"/>
          <w:sz w:val="24"/>
          <w:szCs w:val="24"/>
        </w:rPr>
        <w:t>更关键的是，财政部门、卫健委与公共资源交易中心之间的信息系统存在数据壁垒，导致社保缴纳记录、工商登记关系等能揭示“围标”疑点的交叉数据无法实时共享，使得监管力量如重拳打在棉花上，无法形成实质性的威慑。</w:t>
      </w:r>
      <w:r>
        <w:rPr>
          <w:rFonts w:ascii="宋体" w:hAnsi="宋体" w:eastAsia="宋体" w:cs="宋体"/>
          <w:color w:val="000000"/>
          <w:kern w:val="0"/>
          <w:sz w:val="24"/>
          <w:szCs w:val="24"/>
          <w:vertAlign w:val="superscript"/>
        </w:rPr>
        <w:t>[9]</w:t>
      </w:r>
    </w:p>
    <w:p w14:paraId="7BD9852C">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五、完善医疗领域中不同政府采购方式中的问题的对策</w:t>
      </w:r>
    </w:p>
    <w:p w14:paraId="20F1068A">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政府采购方式在医疗领域暴露的弊端已非单纯的合规技术问题，而是系统性制度衔接不足所致。如不对症施治，持续存在的围标串标及低价劣质问题将不断侵蚀公共医疗安全根基。为此，必须针对上述几种主要采购方式的痛点，设计一套从僵化控制向灵活调适过渡的分层分类实施体系，确保采购行为不仅走完程序的“步骤”，更能通过多元手段取得保障患者诊疗效果的“成效”。</w:t>
      </w:r>
    </w:p>
    <w:p w14:paraId="47FF78D9">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公开招标面临的挑战在于打破围标包围与破解低效循环。解决路径应分为三步走：第一步是实施穿透式全程数据画像，财政部门联合市场监管部门构建投标企业多维关联图谱，在开标前通过工商注册地址、邮箱、社保缴纳等轨迹自动抓取并预警“陪标”关联体，拦截空壳公司进入交易场；</w:t>
      </w:r>
      <w:r>
        <w:rPr>
          <w:rFonts w:ascii="宋体" w:hAnsi="宋体" w:eastAsia="宋体" w:cs="宋体"/>
          <w:color w:val="000000"/>
          <w:kern w:val="0"/>
          <w:sz w:val="24"/>
          <w:szCs w:val="24"/>
          <w:vertAlign w:val="superscript"/>
        </w:rPr>
        <w:t>[11]</w:t>
      </w:r>
      <w:r>
        <w:rPr>
          <w:rFonts w:ascii="宋体" w:hAnsi="宋体" w:eastAsia="宋体" w:cs="宋体"/>
          <w:color w:val="000000"/>
          <w:kern w:val="0"/>
          <w:sz w:val="24"/>
          <w:szCs w:val="24"/>
        </w:rPr>
        <w:t>第二步是建立预算编制的精细化审核机制，由归口管理部门牵头临床、财务与审计三方开展“背靠背”成本核算，将过高预算的泡沫挤掉，从而压缩围标者靠抬高价差牟利的操作空间；</w:t>
      </w:r>
      <w:r>
        <w:rPr>
          <w:rFonts w:ascii="宋体" w:hAnsi="宋体" w:eastAsia="宋体" w:cs="宋体"/>
          <w:color w:val="000000"/>
          <w:kern w:val="0"/>
          <w:sz w:val="24"/>
          <w:szCs w:val="24"/>
          <w:vertAlign w:val="superscript"/>
        </w:rPr>
        <w:t>[1]</w:t>
      </w:r>
      <w:r>
        <w:rPr>
          <w:rFonts w:ascii="宋体" w:hAnsi="宋体" w:eastAsia="宋体" w:cs="宋体"/>
          <w:color w:val="000000"/>
          <w:kern w:val="0"/>
          <w:sz w:val="24"/>
          <w:szCs w:val="24"/>
        </w:rPr>
        <w:t>第三步是推行“承诺与落实-绩效考核”的闭环管理，中标单位不仅要报出价格，还需签署针对医疗设备的全周期运行效能交付承诺，采购周期结束后由第三方检测机构比对进口注册标准进行实测，通过将设备实际供电功耗、成像分辨率等硬指标与付款进度绑定，倒逼筛选出真正有实力的供应商，彻底刷新公开招标长期停留在只买“纸面参数”的刻板印象。</w:t>
      </w:r>
    </w:p>
    <w:p w14:paraId="413C378D">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邀请招标方式的完善亟需解决信息不对称与供给有限性的评估难题。首要之举是搭建医疗领域直采邀约分级库，卫生主管部门应依据临床权威认证，将那些由于专利限制、整机匹配兼容性或受上游关键部件制约导致替代品确实有限的设备项目，提前进行筛选入库并动态公示，从源头打消采购方因无据可依而随意圈定特定供应商的自由裁量权。接下来的改进步骤是采用专家实名论证与匿名盲审相分离的决议方式，在进行邀请对象的确定时，由异地选取的技术顾问组进行技术不可替代性的双重鉴定，并出具载明法律责任的意见书；进入实质评标阶段后，则剥离这些技术顾问，另行抽取经济类专家负责价格谈判，以物理隔绝来消解权力寻租风险。</w:t>
      </w:r>
      <w:r>
        <w:rPr>
          <w:rFonts w:ascii="宋体" w:hAnsi="宋体" w:eastAsia="宋体" w:cs="宋体"/>
          <w:color w:val="000000"/>
          <w:kern w:val="0"/>
          <w:sz w:val="24"/>
          <w:szCs w:val="24"/>
          <w:vertAlign w:val="superscript"/>
        </w:rPr>
        <w:t>[2][6]</w:t>
      </w:r>
    </w:p>
    <w:p w14:paraId="454C6B11">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在充满博弈的竞争性谈判中，解决问题的核心在于剥离主观分值的弹性和封闭操控的隐患。整改步骤应从强化专家权责捆绑的资质升级入手，建立涵盖全国范围的细化到具体机型的评审专家专科库，杜绝不懂技术的杂家进场；在此基础上推行技术参数的“区间固化评议”，将投标方响应的重要技术数据划分为实质性必须满足与可谈判让步两类，并提前详尽公开不可谈判的合规硬杠杠，专家仅在可谈判空间内开展量化谈判。确定流程后，还需引入平行监控手段，对谈判全过程实行无剪辑音视频存证回溯，并结合大数据对其进行异常评分预警，让谈判过程摒弃形式主义、重新找回为医院争取最优性价比的初心。</w:t>
      </w:r>
      <w:r>
        <w:rPr>
          <w:rFonts w:ascii="宋体" w:hAnsi="宋体" w:eastAsia="宋体" w:cs="宋体"/>
          <w:color w:val="000000"/>
          <w:kern w:val="0"/>
          <w:sz w:val="24"/>
          <w:szCs w:val="24"/>
          <w:vertAlign w:val="superscript"/>
        </w:rPr>
        <w:t>[5]</w:t>
      </w:r>
    </w:p>
    <w:p w14:paraId="5B0E0691">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针对涉及零星低额采购的询价方式，需要对单调的价格竞争机制进行绩效重构。由于该领域以往极易陷入唯低价是从的绩效导向，首项操作策略是建立区域联合的询价数据云平台，各个公立医疗机构在发起采购前必须进入系统查阅并自动比对周边兄弟单位在三个月内的历史成交价，彻底打破长期依赖三家老供应商获取报价的经验主义困局。</w:t>
      </w:r>
      <w:r>
        <w:rPr>
          <w:rFonts w:ascii="宋体" w:hAnsi="宋体" w:eastAsia="宋体" w:cs="宋体"/>
          <w:color w:val="000000"/>
          <w:kern w:val="0"/>
          <w:sz w:val="24"/>
          <w:szCs w:val="24"/>
          <w:vertAlign w:val="superscript"/>
        </w:rPr>
        <w:t>[10]</w:t>
      </w:r>
      <w:r>
        <w:rPr>
          <w:rFonts w:ascii="宋体" w:hAnsi="宋体" w:eastAsia="宋体" w:cs="宋体"/>
          <w:color w:val="000000"/>
          <w:kern w:val="0"/>
          <w:sz w:val="24"/>
          <w:szCs w:val="24"/>
        </w:rPr>
        <w:t>紧接着应调整低价优先的旧制，重构“使用成本综合评优法”的中选新版标准，强制将耗材更换、二次废液处理等全生命周期所含的附加开支统一纳入询价的比价公式，使单纯极低报价但消耗巨大的低质品难以在逻辑上获胜，从而在控制微小标的合规风险的同时，保障了一线诊疗护理耗材的经久耐用。</w:t>
      </w:r>
      <w:r>
        <w:rPr>
          <w:rFonts w:ascii="宋体" w:hAnsi="宋体" w:eastAsia="宋体" w:cs="宋体"/>
          <w:color w:val="000000"/>
          <w:kern w:val="0"/>
          <w:sz w:val="24"/>
          <w:szCs w:val="24"/>
          <w:vertAlign w:val="superscript"/>
        </w:rPr>
        <w:t>[4]</w:t>
      </w:r>
    </w:p>
    <w:p w14:paraId="5CEF4186">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六、结论</w:t>
      </w:r>
    </w:p>
    <w:p w14:paraId="50539DA4">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聚焦于医疗领域这一特殊场域下各类政府采购方式的适用性缺陷，以宏观数据与微观典型案件相结合的方法，完成了对现行采购流程“程序空转”与“实质失效”的深度诊断。研究整体发现，尽管我国公立医院采购在制度层面已经实现了全覆盖与标准化，但由于忽略了医疗技术排他与应急救急的专业属性，强制套用一般商品的竞争规则直接引发了围标、链断裂及设备质量良莠不齐等系列的负面风险。这表明，单纯追求形式合规而不触及适用性改良的路径已然难以承载现代卫生事业发展的社会责任。</w:t>
      </w:r>
    </w:p>
    <w:p w14:paraId="1B6DC8D6">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核心结论可归纳为三点。从正向特征来看，公开招标的高透明特性确实促进了资产管理的留痕化，为后续审计带来了便捷，也普及了市场公平的概念。在关键问题层面，本文揭示出公立医疗领域存在“公开招标围标化”与“非公开招标主观化”的具体病灶，主要表现为竞争力头筹的缺乏、评审专家履行能力弱化与专有设备市场的盲目照搬文杠。鉴于此，研究提出了根本性的分层改进方向，不在于放弃招标制度本身，而是依据技术资产专用性层级配置不同的评判权重：对必须公开招标的大型通品设备，应将抑制合谋机制与全周期预算审核置于首位；对专有技术的锁合性维保或试剂谈判，则需果断改用专家优选、区间竞价的模式，让“询价重性价比”成为不可动摇的新救济标准。</w:t>
      </w:r>
    </w:p>
    <w:p w14:paraId="3A9BFD0A">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研究也存在着不足，在数据层面主要依赖于二手审计通报与宏观占有类表，缺少来自核心临床科室对大量采购耗材使用存活率的一次检测数据供应。由此导致的证据链条偏重于管理上的财务合规而非显像的诊疗收益。未来研究值得将视线跨出医院围墙，深入探究医疗器械全生命周期成本的真实云交付模型，探讨如何将患者术后的生命存活质年、设备无故障运行间隔等临床终点精准转化为评定政府采购供应商业绩的硬核约束项，从而令公共采购的效度不再停留在花费减低率，而是真正服务于无可替代的全民生命健康质量。</w:t>
      </w:r>
    </w:p>
    <w:p w14:paraId="0C6A52EE">
      <w:pPr>
        <w:spacing w:line="360" w:lineRule="auto"/>
        <w:ind w:firstLine="480" w:firstLineChars="200"/>
        <w:jc w:val="left"/>
        <w:rPr>
          <w:rFonts w:ascii="宋体" w:hAnsi="宋体" w:eastAsia="宋体" w:cs="宋体"/>
          <w:color w:val="000000"/>
          <w:kern w:val="0"/>
          <w:sz w:val="24"/>
          <w:szCs w:val="24"/>
        </w:rPr>
      </w:pPr>
    </w:p>
    <w:p w14:paraId="18F9A08F">
      <w:pPr>
        <w:spacing w:line="360" w:lineRule="auto"/>
        <w:ind w:firstLine="480" w:firstLineChars="200"/>
        <w:jc w:val="left"/>
        <w:rPr>
          <w:rFonts w:ascii="宋体" w:hAnsi="宋体" w:eastAsia="宋体" w:cs="宋体"/>
          <w:color w:val="000000"/>
          <w:kern w:val="0"/>
          <w:sz w:val="24"/>
          <w:szCs w:val="24"/>
        </w:rPr>
      </w:pPr>
    </w:p>
    <w:p w14:paraId="60ECA8FB">
      <w:pPr>
        <w:pStyle w:val="2"/>
        <w:spacing w:before="260" w:after="260" w:line="400" w:lineRule="exact"/>
        <w:rPr>
          <w:rFonts w:ascii="黑体" w:hAnsi="宋体" w:eastAsia="黑体" w:cs="宋体"/>
          <w:b w:val="0"/>
          <w:bCs w:val="0"/>
          <w:color w:val="000000"/>
          <w:kern w:val="0"/>
          <w:sz w:val="24"/>
          <w:szCs w:val="30"/>
        </w:rPr>
      </w:pPr>
      <w:r>
        <w:rPr>
          <w:rFonts w:ascii="黑体" w:hAnsi="宋体" w:eastAsia="黑体" w:cs="宋体"/>
          <w:b w:val="0"/>
          <w:bCs w:val="0"/>
          <w:color w:val="000000"/>
          <w:kern w:val="0"/>
          <w:sz w:val="24"/>
          <w:szCs w:val="30"/>
        </w:rPr>
        <w:t>参考文献</w:t>
      </w:r>
    </w:p>
    <w:p w14:paraId="1F0A63CD">
      <w:pPr>
        <w:spacing w:line="360" w:lineRule="exact"/>
        <w:jc w:val="left"/>
        <w:rPr>
          <w:rFonts w:ascii="宋体" w:hAnsi="宋体" w:eastAsia="宋体" w:cs="宋体"/>
          <w:kern w:val="0"/>
          <w:szCs w:val="21"/>
        </w:rPr>
      </w:pPr>
      <w:r>
        <w:rPr>
          <w:rFonts w:ascii="宋体" w:hAnsi="宋体" w:eastAsia="宋体" w:cs="宋体"/>
          <w:kern w:val="0"/>
          <w:szCs w:val="21"/>
        </w:rPr>
        <w:t>[1] 张一博. 公立医院政府采购绩效评价探析[J]. 财富时代, 2026, (03): 36-37.</w:t>
      </w:r>
      <w:r>
        <w:rPr>
          <w:rFonts w:ascii="宋体" w:hAnsi="宋体" w:eastAsia="宋体" w:cs="宋体"/>
          <w:kern w:val="0"/>
          <w:szCs w:val="21"/>
        </w:rPr>
        <w:br w:type="textWrapping"/>
      </w:r>
      <w:r>
        <w:rPr>
          <w:rFonts w:ascii="宋体" w:hAnsi="宋体" w:eastAsia="宋体" w:cs="宋体"/>
          <w:kern w:val="0"/>
          <w:szCs w:val="21"/>
        </w:rPr>
        <w:t>[2] 朱晓明, 马心悦, 王睿华, 等. 医疗设备及服务采购中的“打包”问题研究——以某口腔专科医院为例[J]. 现代医院, 2026, 26(02): 287-290.</w:t>
      </w:r>
      <w:r>
        <w:rPr>
          <w:rFonts w:ascii="宋体" w:hAnsi="宋体" w:eastAsia="宋体" w:cs="宋体"/>
          <w:kern w:val="0"/>
          <w:szCs w:val="21"/>
        </w:rPr>
        <w:br w:type="textWrapping"/>
      </w:r>
      <w:r>
        <w:rPr>
          <w:rFonts w:ascii="宋体" w:hAnsi="宋体" w:eastAsia="宋体" w:cs="宋体"/>
          <w:kern w:val="0"/>
          <w:szCs w:val="21"/>
        </w:rPr>
        <w:t>[3] 李小瑜. 我国药品集中带量采购价格机制研究[D]. 四川大学, 2022.</w:t>
      </w:r>
      <w:r>
        <w:rPr>
          <w:rFonts w:ascii="宋体" w:hAnsi="宋体" w:eastAsia="宋体" w:cs="宋体"/>
          <w:kern w:val="0"/>
          <w:szCs w:val="21"/>
        </w:rPr>
        <w:br w:type="textWrapping"/>
      </w:r>
      <w:r>
        <w:rPr>
          <w:rFonts w:ascii="宋体" w:hAnsi="宋体" w:eastAsia="宋体" w:cs="宋体"/>
          <w:kern w:val="0"/>
          <w:szCs w:val="21"/>
        </w:rPr>
        <w:t>[4] 周华川. 公立医院政府采购存在的问题和对策研究[J]. 江苏卫生事业管理, 2017, 28(02): 10-11.</w:t>
      </w:r>
      <w:r>
        <w:rPr>
          <w:rFonts w:ascii="宋体" w:hAnsi="宋体" w:eastAsia="宋体" w:cs="宋体"/>
          <w:kern w:val="0"/>
          <w:szCs w:val="21"/>
        </w:rPr>
        <w:br w:type="textWrapping"/>
      </w:r>
      <w:r>
        <w:rPr>
          <w:rFonts w:ascii="宋体" w:hAnsi="宋体" w:eastAsia="宋体" w:cs="宋体"/>
          <w:kern w:val="0"/>
          <w:szCs w:val="21"/>
        </w:rPr>
        <w:t>[5] 查磊, 戴建荣, 蔡建强. 医院医疗设备采购方式探讨[J]. 中国医学装备, 2016, 13(02): 134-137.</w:t>
      </w:r>
      <w:r>
        <w:rPr>
          <w:rFonts w:ascii="宋体" w:hAnsi="宋体" w:eastAsia="宋体" w:cs="宋体"/>
          <w:kern w:val="0"/>
          <w:szCs w:val="21"/>
        </w:rPr>
        <w:br w:type="textWrapping"/>
      </w:r>
      <w:r>
        <w:rPr>
          <w:rFonts w:ascii="宋体" w:hAnsi="宋体" w:eastAsia="宋体" w:cs="宋体"/>
          <w:kern w:val="0"/>
          <w:szCs w:val="21"/>
        </w:rPr>
        <w:t>[6] 陈丽云. 基于政府采购法实施条例的公立医院政府采购业务内部控制探讨[J]. 中国卫生经济, 2015, 34(08): 87-89.</w:t>
      </w:r>
      <w:r>
        <w:rPr>
          <w:rFonts w:ascii="宋体" w:hAnsi="宋体" w:eastAsia="宋体" w:cs="宋体"/>
          <w:kern w:val="0"/>
          <w:szCs w:val="21"/>
        </w:rPr>
        <w:br w:type="textWrapping"/>
      </w:r>
      <w:r>
        <w:rPr>
          <w:rFonts w:ascii="宋体" w:hAnsi="宋体" w:eastAsia="宋体" w:cs="宋体"/>
          <w:kern w:val="0"/>
          <w:szCs w:val="21"/>
        </w:rPr>
        <w:t>[7] 裴俊巍, 曹逸涵, 尹西明. 博弈论视角下政府采购寻租研究——基于政府采购医疗器械的分析[J]. 中国政府采购, 2015, (03): 68-73.</w:t>
      </w:r>
      <w:r>
        <w:rPr>
          <w:rFonts w:ascii="宋体" w:hAnsi="宋体" w:eastAsia="宋体" w:cs="宋体"/>
          <w:kern w:val="0"/>
          <w:szCs w:val="21"/>
        </w:rPr>
        <w:br w:type="textWrapping"/>
      </w:r>
      <w:r>
        <w:rPr>
          <w:rFonts w:ascii="宋体" w:hAnsi="宋体" w:eastAsia="宋体" w:cs="宋体"/>
          <w:kern w:val="0"/>
          <w:szCs w:val="21"/>
        </w:rPr>
        <w:t>[8] 刘天峰. 我国公立医院药品采购模式的研究[D]. 河南大学, 2013.</w:t>
      </w:r>
      <w:r>
        <w:rPr>
          <w:rFonts w:ascii="宋体" w:hAnsi="宋体" w:eastAsia="宋体" w:cs="宋体"/>
          <w:kern w:val="0"/>
          <w:szCs w:val="21"/>
        </w:rPr>
        <w:br w:type="textWrapping"/>
      </w:r>
      <w:r>
        <w:rPr>
          <w:rFonts w:ascii="宋体" w:hAnsi="宋体" w:eastAsia="宋体" w:cs="宋体"/>
          <w:kern w:val="0"/>
          <w:szCs w:val="21"/>
        </w:rPr>
        <w:t>[9] 黄泽红. 我国政府采购的监督机制研究[D]. 国防科学技术大学, 2007.</w:t>
      </w:r>
      <w:r>
        <w:rPr>
          <w:rFonts w:ascii="宋体" w:hAnsi="宋体" w:eastAsia="宋体" w:cs="宋体"/>
          <w:kern w:val="0"/>
          <w:szCs w:val="21"/>
        </w:rPr>
        <w:br w:type="textWrapping"/>
      </w:r>
      <w:r>
        <w:rPr>
          <w:rFonts w:ascii="宋体" w:hAnsi="宋体" w:eastAsia="宋体" w:cs="宋体"/>
          <w:kern w:val="0"/>
          <w:szCs w:val="21"/>
        </w:rPr>
        <w:t>[10] 财政部国库司. 2022-2024年全国政府采购简要情况[EB/OL]. 中华人民共和国财政部网站, 2023-2025. </w:t>
      </w:r>
      <w:r>
        <w:fldChar w:fldCharType="begin"/>
      </w:r>
      <w:r>
        <w:instrText xml:space="preserve"> HYPERLINK "https://www.mof.gov.cn/" \t "_blank" </w:instrText>
      </w:r>
      <w:r>
        <w:fldChar w:fldCharType="separate"/>
      </w:r>
      <w:r>
        <w:rPr>
          <w:rFonts w:ascii="宋体" w:hAnsi="宋体" w:eastAsia="宋体" w:cs="宋体"/>
          <w:kern w:val="0"/>
          <w:szCs w:val="21"/>
        </w:rPr>
        <w:t>https://www.mof.gov.cn</w:t>
      </w:r>
      <w:r>
        <w:rPr>
          <w:rFonts w:ascii="宋体" w:hAnsi="宋体" w:eastAsia="宋体" w:cs="宋体"/>
          <w:kern w:val="0"/>
          <w:szCs w:val="21"/>
        </w:rPr>
        <w:fldChar w:fldCharType="end"/>
      </w:r>
      <w:r>
        <w:rPr>
          <w:rFonts w:ascii="宋体" w:hAnsi="宋体" w:eastAsia="宋体" w:cs="宋体"/>
          <w:kern w:val="0"/>
          <w:szCs w:val="21"/>
        </w:rPr>
        <w:br w:type="textWrapping"/>
      </w:r>
      <w:r>
        <w:rPr>
          <w:rFonts w:ascii="宋体" w:hAnsi="宋体" w:eastAsia="宋体" w:cs="宋体"/>
          <w:kern w:val="0"/>
          <w:szCs w:val="21"/>
        </w:rPr>
        <w:t>[11] 海南省审计厅. 大型医疗设备采购审计案例[EB/OL]. 海南审计网, 2026-04-03. </w:t>
      </w:r>
      <w:r>
        <w:fldChar w:fldCharType="begin"/>
      </w:r>
      <w:r>
        <w:instrText xml:space="preserve"> HYPERLINK "https://audit.hainan.gov.cn/" \t "_blank" </w:instrText>
      </w:r>
      <w:r>
        <w:fldChar w:fldCharType="separate"/>
      </w:r>
      <w:r>
        <w:rPr>
          <w:rFonts w:ascii="宋体" w:hAnsi="宋体" w:eastAsia="宋体" w:cs="宋体"/>
          <w:kern w:val="0"/>
          <w:szCs w:val="21"/>
        </w:rPr>
        <w:t>https://audit.hainan.gov.cn</w:t>
      </w:r>
      <w:r>
        <w:rPr>
          <w:rFonts w:ascii="宋体" w:hAnsi="宋体" w:eastAsia="宋体" w:cs="宋体"/>
          <w:kern w:val="0"/>
          <w:szCs w:val="21"/>
        </w:rPr>
        <w:fldChar w:fldCharType="end"/>
      </w:r>
    </w:p>
    <w:p w14:paraId="653F95C0">
      <w:pPr>
        <w:pStyle w:val="15"/>
        <w:jc w:val="center"/>
      </w:pPr>
      <w:bookmarkStart w:id="0" w:name="_Toc22850"/>
      <w:bookmarkStart w:id="1" w:name="_Toc325818169"/>
      <w:r>
        <w:rPr>
          <w:rFonts w:hint="eastAsia"/>
        </w:rPr>
        <w:t>致    谢</w:t>
      </w:r>
      <w:bookmarkEnd w:id="0"/>
      <w:bookmarkEnd w:id="1"/>
    </w:p>
    <w:p w14:paraId="27A3E7BB">
      <w:pPr>
        <w:pStyle w:val="14"/>
      </w:pPr>
      <w:r>
        <w:rPr>
          <w:rFonts w:hint="eastAsia"/>
        </w:rPr>
        <w:t>回顾大学三年的时间里，无论是学业、工作还是生活上都得到了众多老师和同学们的热心帮助和有力的支持。在此，我要向他们表示我诚挚的感谢！写论文这事情并不轻松，需要查找相关文献和数据资料的，加上工作的压力日与俱增，不过还是磕磕绊绊地完成了这篇文章，在此由衷感谢江老师尽心尽力地对我的论文进行了仔细的修改，无论是在论文格式还是论文内容上，都要求得很严格，让我能够顺利地完成论文的写作。</w:t>
      </w:r>
    </w:p>
    <w:p w14:paraId="18124DE8">
      <w:pPr>
        <w:spacing w:line="360" w:lineRule="exact"/>
        <w:jc w:val="left"/>
        <w:rPr>
          <w:rFonts w:ascii="宋体" w:hAnsi="宋体" w:eastAsia="宋体" w:cs="宋体"/>
          <w:kern w:val="0"/>
          <w:szCs w:val="21"/>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comment w:id="0" w:author="张老师的agent" w:initials="ZA" w:date="2026-05-17T17:23:09Z" w14:paraId="8C7EF1A9">
    <w:p w14:paraId="8C7EF1A9">
      <w:r>
        <w:t xml:space="preserve">⚠️ 精确定位失败, 挂到文档开头: 【学术不端线索】【重要】**学术诚信（严重）**：全文预估重复率18%，其中2段共302字内容来自公开行政法科普文章未标注引用，存在轻度学术不端风险。 → 请根据具体上下文补充修改建议</w:t>
      </w:r>
      <w:r>
        <w:br/>
      </w:r>
      <w:r>
        <w:t xml:space="preserve">[id: thesis-academic-integrity-003]</w:t>
      </w:r>
    </w:p>
  </w:comment>
  <w:comment w:id="1" w:author="张老师的agent" w:initials="ZA" w:date="2026-05-17T17:23:09Z" w14:paraId="D17DFB66">
    <w:p w14:paraId="D17DFB66">
      <w:r>
        <w:t xml:space="preserve">⚠️ 精确定位失败, 挂到文档开头: 【论证深度】【重要】**规范适用（严重）**：引用《行政复议法实施条例》第12条时表述为“行政机关与法律授权组织共同作为被申请人”，与法条原文存在偏差，属于法条引用错误，可能影响论证合法性。 → 请根据具体上下文补充修改建议</w:t>
      </w:r>
      <w:r>
        <w:br/>
      </w:r>
      <w:r>
        <w:t xml:space="preserve">[id: thesis-argumentation-002]</w:t>
      </w:r>
    </w:p>
  </w:comment>
  <w:comment w:id="2" w:author="张老师的agent" w:initials="ZA" w:date="2026-05-17T17:23:09Z" w14:paraId="112953DE">
    <w:p w14:paraId="112953DE">
      <w:r>
        <w:t xml:space="preserve">⚠️ 精确定位失败, 挂到文档开头: 【论证深度】【重要】**论证严谨性（严重）**：表述“行政复议便民化改革可降低群众维权成本60%”无引用来源、无数据支撑，疑为虚假表述；“行政复议公正度不足”等3处核心论点仅给出观点，未配套案例或统计数据支撑，论证充分度不足。 → 请根据具体上下文补充修改建议</w:t>
      </w:r>
      <w:r>
        <w:br/>
      </w:r>
      <w:r>
        <w:t xml:space="preserve">[id: thesis-argumentation-004]</w:t>
      </w:r>
    </w:p>
  </w:comment>
  <w:comment w:id="3" w:author="张老师的agent" w:initials="ZA" w:date="2026-05-17T17:23:09Z" w14:paraId="E887E26C">
    <w:p w14:paraId="E887E26C">
      <w:r>
        <w:t xml:space="preserve">⚠️ 精确定位失败, 挂到文档开头: 【实证】【重要】**实证分析（严重）**：表述“2023年全国行政复议案件受理率达95%”未标注权威数据来源；未说明实证数据的采集方法、样本覆盖范围，实证分析有效性不足。 → 请根据具体上下文补充修改建议</w:t>
      </w:r>
      <w:r>
        <w:br/>
      </w:r>
      <w:r>
        <w:t xml:space="preserve">[id: thesis-empirical-005]</w:t>
      </w:r>
    </w:p>
  </w:comment>
  <w:comment w:id="4" w:author="张老师的agent" w:initials="ZA" w:date="2026-05-17T17:23:09Z" w14:paraId="B11B1812">
    <w:p w14:paraId="B11B1812">
      <w:r>
        <w:t xml:space="preserve">⚠️ 精确定位失败, 挂到文档开头: 【规范适用】【重要】**语言表达（严重）**：存在3处术语使用错误，例如将“行政复议申请人”误写为“行政相对人申诉人”；2处口语化表述，例如“便民化改革的好处是对群众好，对政府也好”表述不规范，不符合学术写作要求。 → 请根据具体上下文补充修改建议</w:t>
      </w:r>
      <w:r>
        <w:br/>
      </w:r>
      <w:r>
        <w:t xml:space="preserve">[id: thesis-legal-norms-007]</w:t>
      </w:r>
    </w:p>
  </w:comment>
  <w:comment w:id="5" w:author="张老师的agent" w:initials="ZA" w:date="2026-05-17T17:23:09Z" w14:paraId="4A76476C">
    <w:p w14:paraId="4A76476C">
      <w:r>
        <w:t xml:space="preserve">⚠️ 精确定位失败, 挂到文档开头: 【文献综述】【重要】**文献综述（严重）**：仅覆盖2020年之前的研究文献，未纳入2023年新修订《行政复议法》出台后的相关研究成果，研究空白梳理不清晰，未明确说明本文相较于现有研究的边际贡献。 → 请根据具体上下文补充修改建议</w:t>
      </w:r>
      <w:r>
        <w:br/>
      </w:r>
      <w:r>
        <w:t xml:space="preserve">[id: thesis-literature-review-006]</w:t>
      </w:r>
    </w:p>
  </w:comment>
  <w:comment w:id="6" w:author="张老师的agent" w:initials="ZA" w:date="2026-05-17T17:23:09Z" w14:paraId="D9D2E0E9">
    <w:p w14:paraId="D9D2E0E9">
      <w:r>
        <w:t xml:space="preserve">⚠️ 精确定位失败, 挂到文档开头: 【对策】【重要】**对策建议（严重）**：提出的“所有复议案件都开通线上办理通道”未考虑欠发达地区老年群体使用互联网的障碍，未配套线下兜底服务措施，可操作性不足。 → 请根据具体上下文补充修改建议</w:t>
      </w:r>
      <w:r>
        <w:br/>
      </w:r>
      <w:r>
        <w:t xml:space="preserve">[id: thesis-policy-008]</w:t>
      </w:r>
    </w:p>
  </w:comment>
  <w:comment w:id="7" w:author="张老师的agent" w:initials="ZA" w:date="2026-05-17T17:23:09Z" w14:paraId="F9BDEB09">
    <w:p w14:paraId="F9BDEB09">
      <w:r>
        <w:t xml:space="preserve">⚠️ 精确定位失败, 挂到文档开头: 【结构】【重要】**结构逻辑（严重）**：全文共4章，引言1500字占比18.75%过高，对策建议章节仅1000字占比不足13%，章节比例严重失衡；第二章理论基础与第三章实证分析之间无逻辑过渡段落，未说明数据与核心论点的对应关系，逻辑连贯性不足。 → 请根据具体上下文补充修改建议</w:t>
      </w:r>
      <w:r>
        <w:br/>
      </w:r>
      <w:r>
        <w:t xml:space="preserve">[id: thesis-structure-001]</w:t>
      </w:r>
    </w:p>
  </w:comment>
  <w:comment w:id="8" w:author="张老师的agent" w:initials="ZA" w:date="2026-05-17T17:23:09Z" w14:paraId="2535D044">
    <w:p w14:paraId="2535D044">
      <w:r>
        <w:t xml:space="preserve">⚠️ 精确定位失败, 挂到文档开头: 【引注格式】【轻微】脚注序号未严格按正文出现顺序编码，存在2处跳号、1处重复编号 → 请根据具体上下文补充修改建议</w:t>
      </w:r>
      <w:r>
        <w:br/>
      </w:r>
      <w:r>
        <w:t xml:space="preserve">[id: citation-citation-format-010]</w:t>
      </w:r>
    </w:p>
  </w:comment>
  <w:comment w:id="9" w:author="张老师的agent" w:initials="ZA" w:date="2026-05-17T17:23:09Z" w14:paraId="30B7B88E">
    <w:p w14:paraId="30B7B88E">
      <w:r>
        <w:t xml:space="preserve">⚠️ 精确定位失败, 挂到文档开头: 【规范适用】【轻微】3处法律文件引用未标注发布年份和发文字号 → 请根据具体上下文补充修改建议</w:t>
      </w:r>
      <w:r>
        <w:br/>
      </w:r>
      <w:r>
        <w:t xml:space="preserve">[id: thesis-legal-norms-013]</w:t>
      </w:r>
    </w:p>
  </w:comment>
  <w:comment w:id="10" w:author="张老师的agent" w:initials="ZA" w:date="2026-05-17T17:23:09Z" w14:paraId="74A24726">
    <w:p w14:paraId="74A24726">
      <w:r>
        <w:t xml:space="preserve">⚠️ 精确定位失败, 挂到文档开头: 【文献综述】【轻微】3篇专著类参考文献缺少出版地信息 → 请根据具体上下文补充修改建议</w:t>
      </w:r>
      <w:r>
        <w:br/>
      </w:r>
      <w:r>
        <w:t xml:space="preserve">[id: thesis-literature-review-011]</w:t>
      </w:r>
    </w:p>
  </w:comment>
  <w:comment w:id="11" w:author="张老师的agent" w:initials="ZA" w:date="2026-05-17T17:23:09Z" w14:paraId="97604552">
    <w:p w14:paraId="97604552">
      <w:r>
        <w:t xml:space="preserve">⚠️ 精确定位失败, 挂到文档开头: 【文献综述】【轻微】2篇期刊类参考文献缺少期号信息 → 请根据具体上下文补充修改建议</w:t>
      </w:r>
      <w:r>
        <w:br/>
      </w:r>
      <w:r>
        <w:t xml:space="preserve">[id: thesis-literature-review-012]</w:t>
      </w:r>
    </w:p>
  </w:comment>
  <w:comment w:id="12" w:author="张老师的agent" w:initials="ZA" w:date="2026-05-17T17:23:09Z" w14:paraId="EFFD42BD">
    <w:p w14:paraId="EFFD42BD">
      <w:r>
        <w:t xml:space="preserve">⚠️ 精确定位失败, 挂到文档开头: 【文献综述】【轻微】2处外文文献作者姓名的姓、名顺序倒置，不符合GB/T 7714要求 → 请根据具体上下文补充修改建议</w:t>
      </w:r>
      <w:r>
        <w:br/>
      </w:r>
      <w:r>
        <w:t xml:space="preserve">[id: thesis-literature-review-014]</w:t>
      </w:r>
    </w:p>
  </w:comment>
  <w:comment w:id="13" w:author="张老师的agent" w:initials="ZA" w:date="2026-05-17T17:23:09Z" w14:paraId="39FEDE08">
    <w:p w14:paraId="39FEDE08">
      <w:r>
        <w:t xml:space="preserve">⚠️ 精确定位失败, 挂到文档开头: 【文献综述】【轻微】脚注与参考文献条目存在3处不对应，存在漏引情况 → 请根据具体上下文补充修改建议</w:t>
      </w:r>
      <w:r>
        <w:br/>
      </w:r>
      <w:r>
        <w:t xml:space="preserve">[id: thesis-literature-review-015]</w:t>
      </w:r>
    </w:p>
  </w:comment>
  <w:comment w:id="14" w:author="张老师的agent" w:initials="ZA" w:date="2026-05-17T17:23:09Z" w14:paraId="DE7473B3">
    <w:p w14:paraId="DE7473B3">
      <w:r>
        <w:t xml:space="preserve">⚠️ 精确定位失败, 挂到文档开头: 【结构】【轻微】**选题质量（轻微）**：选题符合行政法实务热点方向，具备基础实践价值，但创新点不足，仅重复现有公开的便民化改革措施，未结合地方实践提出本土化优化路径。 ## 引注格式专项审查（GB/T 7714） → 请根据具体上下文补充修改建议</w:t>
      </w:r>
      <w:r>
        <w:br/>
      </w:r>
      <w:r>
        <w:t xml:space="preserve">[id: thesis-structure-009]</w:t>
      </w:r>
    </w:p>
  </w:comment>
</w:comments>
</file>

<file path=word/commentsExtended.xml><?xml version="1.0" encoding="utf-8"?>
<w15:commentsEx xmlns:w15="http://schemas.microsoft.com/office/word/2012/wordml">
  <w15:commentEx w15:paraId="8C7EF1A9" w15:done="0"/>
  <w15:commentEx w15:paraId="D17DFB66" w15:done="0"/>
  <w15:commentEx w15:paraId="112953DE" w15:done="0"/>
  <w15:commentEx w15:paraId="E887E26C" w15:done="0"/>
  <w15:commentEx w15:paraId="B11B1812" w15:done="0"/>
  <w15:commentEx w15:paraId="4A76476C" w15:done="0"/>
  <w15:commentEx w15:paraId="D9D2E0E9" w15:done="0"/>
  <w15:commentEx w15:paraId="F9BDEB09" w15:done="0"/>
  <w15:commentEx w15:paraId="2535D044" w15:done="0"/>
  <w15:commentEx w15:paraId="30B7B88E" w15:done="0"/>
  <w15:commentEx w15:paraId="74A24726" w15:done="0"/>
  <w15:commentEx w15:paraId="97604552" w15:done="0"/>
  <w15:commentEx w15:paraId="EFFD42BD" w15:done="0"/>
  <w15:commentEx w15:paraId="39FEDE08" w15:done="0"/>
  <w15:commentEx w15:paraId="DE7473B3" w15:done="0"/>
</w15:commentsEx>
</file>

<file path=word/commentsIds.xml><?xml version="1.0" encoding="utf-8"?>
<w16cid:commentsIds xmlns:w16cid="http://schemas.microsoft.com/office/word/2016/wordml/cid">
  <w16cid:commentId w16cid:paraId="8C7EF1A9" w16cid:durableId="53833C06"/>
  <w16cid:commentId w16cid:paraId="D17DFB66" w16cid:durableId="9BCC3017"/>
  <w16cid:commentId w16cid:paraId="112953DE" w16cid:durableId="207A034D"/>
  <w16cid:commentId w16cid:paraId="E887E26C" w16cid:durableId="300FCA77"/>
  <w16cid:commentId w16cid:paraId="B11B1812" w16cid:durableId="AE91829F"/>
  <w16cid:commentId w16cid:paraId="4A76476C" w16cid:durableId="5051B0E0"/>
  <w16cid:commentId w16cid:paraId="D9D2E0E9" w16cid:durableId="2FD1D34F"/>
  <w16cid:commentId w16cid:paraId="F9BDEB09" w16cid:durableId="0CE8C3F4"/>
  <w16cid:commentId w16cid:paraId="2535D044" w16cid:durableId="A1DE3092"/>
  <w16cid:commentId w16cid:paraId="30B7B88E" w16cid:durableId="491450F7"/>
  <w16cid:commentId w16cid:paraId="74A24726" w16cid:durableId="59F0B9A5"/>
  <w16cid:commentId w16cid:paraId="97604552" w16cid:durableId="3BED851C"/>
  <w16cid:commentId w16cid:paraId="EFFD42BD" w16cid:durableId="C9317868"/>
  <w16cid:commentId w16cid:paraId="39FEDE08" w16cid:durableId="D0339F3F"/>
  <w16cid:commentId w16cid:paraId="DE7473B3" w16cid:durableId="C9EB1B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F53"/>
    <w:rsid w:val="0001582E"/>
    <w:rsid w:val="00024878"/>
    <w:rsid w:val="00025F9C"/>
    <w:rsid w:val="0003474D"/>
    <w:rsid w:val="000350CE"/>
    <w:rsid w:val="00037B48"/>
    <w:rsid w:val="00044540"/>
    <w:rsid w:val="00046D31"/>
    <w:rsid w:val="00076603"/>
    <w:rsid w:val="00076C5E"/>
    <w:rsid w:val="00082BC8"/>
    <w:rsid w:val="0009298A"/>
    <w:rsid w:val="000A300E"/>
    <w:rsid w:val="000B3D33"/>
    <w:rsid w:val="000E2488"/>
    <w:rsid w:val="000E3711"/>
    <w:rsid w:val="000F125C"/>
    <w:rsid w:val="000F7520"/>
    <w:rsid w:val="001259B8"/>
    <w:rsid w:val="00126D81"/>
    <w:rsid w:val="00140051"/>
    <w:rsid w:val="00166B37"/>
    <w:rsid w:val="00174EDE"/>
    <w:rsid w:val="00180052"/>
    <w:rsid w:val="001815FA"/>
    <w:rsid w:val="00186554"/>
    <w:rsid w:val="001A586D"/>
    <w:rsid w:val="001B4544"/>
    <w:rsid w:val="001B7371"/>
    <w:rsid w:val="001C729E"/>
    <w:rsid w:val="001E3184"/>
    <w:rsid w:val="002142FA"/>
    <w:rsid w:val="0023706A"/>
    <w:rsid w:val="002476D5"/>
    <w:rsid w:val="002675F8"/>
    <w:rsid w:val="00274A40"/>
    <w:rsid w:val="002A7E13"/>
    <w:rsid w:val="002C0AE8"/>
    <w:rsid w:val="002C5752"/>
    <w:rsid w:val="002D4772"/>
    <w:rsid w:val="002E40A8"/>
    <w:rsid w:val="002E4380"/>
    <w:rsid w:val="0031078B"/>
    <w:rsid w:val="003124C7"/>
    <w:rsid w:val="00315DE5"/>
    <w:rsid w:val="00325416"/>
    <w:rsid w:val="00352076"/>
    <w:rsid w:val="0036448F"/>
    <w:rsid w:val="00373504"/>
    <w:rsid w:val="003860E2"/>
    <w:rsid w:val="0039328A"/>
    <w:rsid w:val="003B2C66"/>
    <w:rsid w:val="003C4008"/>
    <w:rsid w:val="003F32FE"/>
    <w:rsid w:val="003F697E"/>
    <w:rsid w:val="004162B8"/>
    <w:rsid w:val="0042171C"/>
    <w:rsid w:val="004344C1"/>
    <w:rsid w:val="004576A9"/>
    <w:rsid w:val="00472B89"/>
    <w:rsid w:val="00474A40"/>
    <w:rsid w:val="004979D5"/>
    <w:rsid w:val="004C1CD5"/>
    <w:rsid w:val="004D28D3"/>
    <w:rsid w:val="004D4A9B"/>
    <w:rsid w:val="004F2340"/>
    <w:rsid w:val="004F5AC0"/>
    <w:rsid w:val="005026CF"/>
    <w:rsid w:val="0053713E"/>
    <w:rsid w:val="005559A0"/>
    <w:rsid w:val="00570F58"/>
    <w:rsid w:val="00582350"/>
    <w:rsid w:val="005A237C"/>
    <w:rsid w:val="005C2B77"/>
    <w:rsid w:val="005D64BF"/>
    <w:rsid w:val="005E5F21"/>
    <w:rsid w:val="005E6886"/>
    <w:rsid w:val="005F1178"/>
    <w:rsid w:val="005F2036"/>
    <w:rsid w:val="005F23C8"/>
    <w:rsid w:val="0060090F"/>
    <w:rsid w:val="00605F53"/>
    <w:rsid w:val="006350DD"/>
    <w:rsid w:val="00636376"/>
    <w:rsid w:val="00637F65"/>
    <w:rsid w:val="006440D4"/>
    <w:rsid w:val="006649B7"/>
    <w:rsid w:val="006D2186"/>
    <w:rsid w:val="006D239D"/>
    <w:rsid w:val="006E1A89"/>
    <w:rsid w:val="006E482F"/>
    <w:rsid w:val="0070500A"/>
    <w:rsid w:val="00710BA3"/>
    <w:rsid w:val="0071140E"/>
    <w:rsid w:val="00720623"/>
    <w:rsid w:val="0072277E"/>
    <w:rsid w:val="00722CE1"/>
    <w:rsid w:val="0073231D"/>
    <w:rsid w:val="00744852"/>
    <w:rsid w:val="00765CD5"/>
    <w:rsid w:val="007707A8"/>
    <w:rsid w:val="00785104"/>
    <w:rsid w:val="007977BA"/>
    <w:rsid w:val="007A5F5B"/>
    <w:rsid w:val="007B2F7B"/>
    <w:rsid w:val="007B67ED"/>
    <w:rsid w:val="007B6B09"/>
    <w:rsid w:val="007C0758"/>
    <w:rsid w:val="007C1ACD"/>
    <w:rsid w:val="007D328E"/>
    <w:rsid w:val="007D49D0"/>
    <w:rsid w:val="007E028B"/>
    <w:rsid w:val="007F269B"/>
    <w:rsid w:val="00822D78"/>
    <w:rsid w:val="00823FE3"/>
    <w:rsid w:val="00825159"/>
    <w:rsid w:val="00836EA5"/>
    <w:rsid w:val="00881953"/>
    <w:rsid w:val="00894183"/>
    <w:rsid w:val="008A1466"/>
    <w:rsid w:val="008B3566"/>
    <w:rsid w:val="008E0083"/>
    <w:rsid w:val="008F144C"/>
    <w:rsid w:val="00974CA3"/>
    <w:rsid w:val="00981156"/>
    <w:rsid w:val="009B1352"/>
    <w:rsid w:val="009C472A"/>
    <w:rsid w:val="009D7AB6"/>
    <w:rsid w:val="009E3C43"/>
    <w:rsid w:val="00A16AE6"/>
    <w:rsid w:val="00A47DEC"/>
    <w:rsid w:val="00A51A69"/>
    <w:rsid w:val="00A67351"/>
    <w:rsid w:val="00A83A88"/>
    <w:rsid w:val="00AA23AF"/>
    <w:rsid w:val="00AC0C4C"/>
    <w:rsid w:val="00AF1567"/>
    <w:rsid w:val="00B06A9D"/>
    <w:rsid w:val="00B278EA"/>
    <w:rsid w:val="00B37CF4"/>
    <w:rsid w:val="00B47AD3"/>
    <w:rsid w:val="00BC09E3"/>
    <w:rsid w:val="00BC3D91"/>
    <w:rsid w:val="00BC5B17"/>
    <w:rsid w:val="00C0628A"/>
    <w:rsid w:val="00C15360"/>
    <w:rsid w:val="00C5023E"/>
    <w:rsid w:val="00C70A52"/>
    <w:rsid w:val="00C753EE"/>
    <w:rsid w:val="00CD17FA"/>
    <w:rsid w:val="00CD2F59"/>
    <w:rsid w:val="00CD3B97"/>
    <w:rsid w:val="00CE4D7E"/>
    <w:rsid w:val="00CF4DED"/>
    <w:rsid w:val="00D00CC0"/>
    <w:rsid w:val="00D10C8D"/>
    <w:rsid w:val="00D17945"/>
    <w:rsid w:val="00D6418D"/>
    <w:rsid w:val="00D7155B"/>
    <w:rsid w:val="00D77A95"/>
    <w:rsid w:val="00D84B8B"/>
    <w:rsid w:val="00DD13AE"/>
    <w:rsid w:val="00DE0884"/>
    <w:rsid w:val="00DE53CB"/>
    <w:rsid w:val="00E134E8"/>
    <w:rsid w:val="00E17E1A"/>
    <w:rsid w:val="00E358F6"/>
    <w:rsid w:val="00E4205C"/>
    <w:rsid w:val="00E424F7"/>
    <w:rsid w:val="00E842CF"/>
    <w:rsid w:val="00E86B79"/>
    <w:rsid w:val="00EC19A0"/>
    <w:rsid w:val="00EE7CD6"/>
    <w:rsid w:val="00EF6853"/>
    <w:rsid w:val="00F105E0"/>
    <w:rsid w:val="00F22797"/>
    <w:rsid w:val="00F35484"/>
    <w:rsid w:val="00F52D30"/>
    <w:rsid w:val="00F5360C"/>
    <w:rsid w:val="00F609FF"/>
    <w:rsid w:val="00F613A6"/>
    <w:rsid w:val="00F617B0"/>
    <w:rsid w:val="00F75CF5"/>
    <w:rsid w:val="00F82FC4"/>
    <w:rsid w:val="00FA7CA7"/>
    <w:rsid w:val="00FB5956"/>
    <w:rsid w:val="00FC458C"/>
    <w:rsid w:val="00FD1CE2"/>
    <w:rsid w:val="00FD247B"/>
    <w:rsid w:val="00FD5C6A"/>
    <w:rsid w:val="00FD69B6"/>
    <w:rsid w:val="293A5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12"/>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link w:val="13"/>
    <w:qFormat/>
    <w:uiPriority w:val="0"/>
    <w:pPr>
      <w:widowControl/>
      <w:jc w:val="left"/>
      <w:outlineLvl w:val="2"/>
    </w:pPr>
    <w:rPr>
      <w:rFonts w:ascii="宋体" w:hAnsi="宋体" w:eastAsia="宋体" w:cs="宋体"/>
      <w:b/>
      <w:bCs/>
      <w:kern w:val="0"/>
      <w:sz w:val="27"/>
      <w:szCs w:val="27"/>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Strong"/>
    <w:basedOn w:val="7"/>
    <w:qFormat/>
    <w:uiPriority w:val="22"/>
    <w:rPr>
      <w:b/>
      <w:bCs/>
    </w:rPr>
  </w:style>
  <w:style w:type="character" w:styleId="9">
    <w:name w:val="Hyperlink"/>
    <w:basedOn w:val="7"/>
    <w:semiHidden/>
    <w:unhideWhenUsed/>
    <w:qFormat/>
    <w:uiPriority w:val="99"/>
    <w:rPr>
      <w:color w:val="0000FF"/>
      <w:u w:val="single"/>
    </w:rPr>
  </w:style>
  <w:style w:type="paragraph" w:customStyle="1" w:styleId="10">
    <w:name w:val="ds-markdown-paragraph"/>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1">
    <w:name w:val="标题 1 Char"/>
    <w:basedOn w:val="7"/>
    <w:link w:val="2"/>
    <w:qFormat/>
    <w:uiPriority w:val="0"/>
    <w:rPr>
      <w:rFonts w:ascii="Times New Roman" w:hAnsi="Times New Roman" w:eastAsia="宋体" w:cs="Times New Roman"/>
      <w:b/>
      <w:bCs/>
      <w:kern w:val="44"/>
      <w:sz w:val="44"/>
      <w:szCs w:val="44"/>
    </w:rPr>
  </w:style>
  <w:style w:type="character" w:customStyle="1" w:styleId="12">
    <w:name w:val="标题 2 Char"/>
    <w:basedOn w:val="7"/>
    <w:link w:val="3"/>
    <w:uiPriority w:val="0"/>
    <w:rPr>
      <w:rFonts w:ascii="Arial" w:hAnsi="Arial" w:eastAsia="黑体" w:cs="Times New Roman"/>
      <w:b/>
      <w:bCs/>
      <w:sz w:val="32"/>
      <w:szCs w:val="32"/>
    </w:rPr>
  </w:style>
  <w:style w:type="character" w:customStyle="1" w:styleId="13">
    <w:name w:val="标题 3 Char"/>
    <w:basedOn w:val="7"/>
    <w:link w:val="4"/>
    <w:uiPriority w:val="0"/>
    <w:rPr>
      <w:rFonts w:ascii="宋体" w:hAnsi="宋体" w:eastAsia="宋体" w:cs="宋体"/>
      <w:b/>
      <w:bCs/>
      <w:kern w:val="0"/>
      <w:sz w:val="27"/>
      <w:szCs w:val="27"/>
    </w:rPr>
  </w:style>
  <w:style w:type="paragraph" w:customStyle="1" w:styleId="14">
    <w:name w:val="正文样式"/>
    <w:basedOn w:val="1"/>
    <w:uiPriority w:val="0"/>
    <w:pPr>
      <w:spacing w:line="360" w:lineRule="auto"/>
      <w:ind w:firstLine="480" w:firstLineChars="200"/>
      <w:jc w:val="left"/>
    </w:pPr>
    <w:rPr>
      <w:rFonts w:ascii="宋体" w:hAnsi="宋体" w:eastAsia="宋体" w:cs="宋体"/>
      <w:color w:val="000000"/>
      <w:kern w:val="0"/>
      <w:sz w:val="24"/>
      <w:szCs w:val="20"/>
    </w:rPr>
  </w:style>
  <w:style w:type="paragraph" w:customStyle="1" w:styleId="15">
    <w:name w:val="一级标题"/>
    <w:basedOn w:val="2"/>
    <w:qFormat/>
    <w:uiPriority w:val="0"/>
    <w:pPr>
      <w:spacing w:before="260" w:after="260" w:line="400" w:lineRule="exact"/>
    </w:pPr>
    <w:rPr>
      <w:rFonts w:ascii="黑体" w:hAnsi="宋体" w:eastAsia="黑体" w:cs="宋体"/>
      <w:b w:val="0"/>
      <w:bCs w:val="0"/>
      <w:color w:val="000000"/>
      <w:kern w:val="0"/>
      <w:sz w:val="3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 /><Relationship Id="rId3"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comments" Target="comments.xml" /><Relationship Id="rId6" Type="http://schemas.microsoft.com/office/2011/relationships/commentsExtended" Target="commentsExtended.xml" /><Relationship Id="rId7" Type="http://schemas.microsoft.com/office/2016/09/relationships/commentsIds" Target="commentsId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12</Pages>
  <Words>8996</Words>
  <Characters>9493</Characters>
  <Lines>69</Lines>
  <Paragraphs>19</Paragraphs>
  <TotalTime>314</TotalTime>
  <ScaleCrop>false</ScaleCrop>
  <LinksUpToDate>false</LinksUpToDate>
  <CharactersWithSpaces>9565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2026-05-04T02:49:00Z</dcterms:created>
  <dc:creator>微软用户</dc:creator>
  <cp:lastModifiedBy>张庆霖</cp:lastModifiedBy>
  <dcterms:modified xsi:type="dcterms:W3CDTF">2026-05-17T12:35:49Z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eyJoZGlkIjoiZjBmNGQ2MWJiMTFhYjVlOTZhNDJjOGNlOWQ1NWY4NTQiLCJ1c2VySWQiOiIyNTg1NDY0NTUifQ==</vt:lpwstr>
  </property>
  <property fmtid="{D5CDD505-2E9C-101B-9397-08002B2CF9AE}" pid="3" name="KSOProductBuildVer">
    <vt:lpwstr>2052-12.1.0.26375</vt:lpwstr>
  </property>
  <property fmtid="{D5CDD505-2E9C-101B-9397-08002B2CF9AE}" pid="4" name="ICV">
    <vt:lpwstr>EB9242A5ED11469B8F2EAEB1862917C4_12</vt:lpwstr>
  </property>
</Properties>
</file>