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6="urn:schemas-microsoft-com:office:word" xmlns:r="http://schemas.openxmlformats.org/officeDocument/2006/relationships" xmlns:w="http://schemas.openxmlformats.org/wordprocessingml/2006/main" xmlns:w14="http://schemas.microsoft.com/office/word/2010/wordml" mc:Ignorable="w14 w15 wp14">
  <w:background w:color="FFFFFF"/>
  <w:body>
    <w:p w14:paraId="12F490BF">
      <w:pPr>
        <w:spacing w:line="240" w:lineRule="auto"/>
        <w:ind w:firstLine="0" w:firstLineChars="0"/>
        <w:jc w:val="center"/>
        <w:rPr>
          <w:rFonts w:ascii="Times New Roman" w:hAnsi="Times New Roman"/>
          <w:b/>
          <w:bCs/>
          <w:sz w:val="72"/>
        </w:rPr>
      </w:pPr>
      <w:bookmarkStart w:id="0" w:name="_Toc16668"/>
      <w:bookmarkStart w:id="1" w:name="_Toc17095"/>
      <w:bookmarkStart w:id="2" w:name="_Toc13312"/>
      <w:bookmarkStart w:id="3" w:name="_Toc8452"/>
      <w:r>
        <w:rPr>
          <w:rFonts w:hint="eastAsia" w:ascii="Times New Roman" w:hAnsi="Times New Roman"/>
          <w:b/>
          <w:bCs/>
          <w:sz w:val="72"/>
        </w:rPr>
        <w:t>湘潭大学毕业论文</w:t>
      </w:r>
    </w:p>
    <w:p w14:paraId="5AC3645E">
      <w:pPr>
        <w:tabs>
          <w:tab w:val="left" w:pos="7200"/>
        </w:tabs>
        <w:spacing w:line="600" w:lineRule="auto"/>
        <w:ind w:left="2244" w:leftChars="266" w:hanging="1606" w:hangingChars="5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物业服务</w:t>
      </w:r>
      <w:r>
        <w:rPr>
          <w:rFonts w:hint="eastAsia"/>
          <w:b/>
          <w:bCs/>
          <w:sz w:val="32"/>
          <w:u w:val="single"/>
          <w:lang w:val="en-US" w:eastAsia="zh-CN"/>
        </w:rPr>
        <w:t>合同纠纷预防机制的完善——基于100份裁判文书发掘的启示</w:t>
      </w:r>
      <w:r>
        <w:rPr>
          <w:rFonts w:ascii="Times New Roman" w:hAnsi="Times New Roman"/>
          <w:b/>
          <w:bCs/>
          <w:sz w:val="32"/>
          <w:u w:val="single"/>
        </w:rPr>
        <w:t xml:space="preserve">    </w:t>
      </w:r>
    </w:p>
    <w:p w14:paraId="0E2100C8">
      <w:pPr>
        <w:spacing w:line="600" w:lineRule="auto"/>
        <w:ind w:firstLine="0" w:firstLineChars="0"/>
        <w:jc w:val="center"/>
        <w:rPr>
          <w:rFonts w:ascii="Times New Roman" w:hAnsi="Times New Roman"/>
          <w:b/>
          <w:bCs/>
          <w:sz w:val="32"/>
        </w:rPr>
      </w:pPr>
    </w:p>
    <w:p w14:paraId="4CF59F99">
      <w:pPr>
        <w:spacing w:line="600" w:lineRule="auto"/>
        <w:ind w:firstLine="0" w:firstLineChars="0"/>
        <w:jc w:val="center"/>
        <w:rPr>
          <w:rFonts w:ascii="Times New Roman" w:hAnsi="Times New Roman"/>
          <w:b/>
          <w:bCs/>
          <w:sz w:val="32"/>
        </w:rPr>
      </w:pPr>
    </w:p>
    <w:p w14:paraId="715972CD">
      <w:pPr>
        <w:spacing w:line="600" w:lineRule="auto"/>
        <w:ind w:left="720" w:leftChars="300" w:firstLine="0" w:firstLineChars="0"/>
        <w:jc w:val="left"/>
        <w:rPr>
          <w:rFonts w:ascii="Times New Roman" w:hAnsi="Times New Roman"/>
          <w:b/>
          <w:bCs/>
          <w:sz w:val="32"/>
        </w:rPr>
      </w:pPr>
      <w:r>
        <w:rPr>
          <w:rFonts w:ascii="Calibri" w:hAnsi="Calibri"/>
          <w:sz w:val="32"/>
        </w:rPr>
        <w:pict>
          <ns3:group id="_x0000_s2092" ns4:spid="_x0000_s2092" ns4:spt="203" style="position:absolute;left:0pt;margin-left:113.5pt;margin-top:28.2pt;height:160.45pt;width:306pt;z-index:251663360;mso-width-relative:page;mso-height-relative:page;" coordorigin="6075,6895" coordsize="6120,3209203">
            <ns4:lock ns3:ext="edit"/>
            <ns3:shape id="_x0000_s2093" ns4:spid="_x0000_s2093" ns4:spt="32" type="#_x0000_t32" style="position:absolute;left:6075;top:7690;height:15;width:6120;" filled="f" coordsize="21600,21600">
              <ns3:path arrowok="t"/>
              <ns3:fill on="f" focussize="0,0"/>
              <ns3:stroke weight="1pt"/>
              <ns3:imagedata ns4:title=""/>
              <ns4:lock ns3:ext="edit"/>
            </ns3:shape>
            <ns3:shape id="_x0000_s2094" ns4:spid="_x0000_s2094" ns4:spt="32" type="#_x0000_t32" style="position:absolute;left:6075;top:8515;height:15;width:6120;" filled="f" coordsize="21600,21600">
              <ns3:path arrowok="t"/>
              <ns3:fill on="f" focussize="0,0"/>
              <ns3:stroke weight="1pt"/>
              <ns3:imagedata ns4:title=""/>
              <ns4:lock ns3:ext="edit"/>
            </ns3:shape>
            <ns3:shape id="_x0000_s2095" ns4:spid="_x0000_s2095" ns4:spt="32" type="#_x0000_t32" style="position:absolute;left:6075;top:9310;height:15;width:6120;" filled="f" coordsize="21600,21600">
              <ns3:path arrowok="t"/>
              <ns3:fill on="f" focussize="0,0"/>
              <ns3:stroke weight="1pt"/>
              <ns3:imagedata ns4:title=""/>
              <ns4:lock ns3:ext="edit"/>
            </ns3:shape>
            <ns3:shape id="_x0000_s2096" ns4:spid="_x0000_s2096" ns4:spt="32" type="#_x0000_t32" style="position:absolute;left:6075;top:10090;height:15;width:6120;" filled="f" coordsize="21600,21600">
              <ns3:path arrowok="t"/>
              <ns3:fill on="f" focussize="0,0"/>
              <ns3:stroke weight="1pt"/>
              <ns3:imagedata ns4:title=""/>
              <ns4:lock ns3:ext="edit"/>
            </ns3:shape>
            <ns3:shape id="_x0000_s2097" ns4:spid="_x0000_s2097" ns4:spt="32" type="#_x0000_t32" style="position:absolute;left:6075;top:6895;height:15;width:6120;" filled="f" coordsize="21600,21600">
              <ns3:path arrowok="t"/>
              <ns3:fill on="f" focussize="0,0"/>
              <ns3:stroke weight="1pt"/>
              <ns3:imagedata ns4:title=""/>
              <ns4:lock ns3:ext="edit"/>
            </ns3:shape>
          </ns3:group>
        </w:pict>
      </w:r>
      <w:r>
        <w:rPr>
          <w:rFonts w:hint="eastAsia" w:ascii="Times New Roman" w:hAnsi="Times New Roman"/>
          <w:b/>
          <w:bCs/>
          <w:sz w:val="32"/>
        </w:rPr>
        <w:t>学    院：             法学</w:t>
      </w:r>
      <w:r>
        <w:rPr>
          <w:rFonts w:hint="eastAsia" w:ascii="Times New Roman" w:hAnsi="Times New Roman"/>
          <w:b/>
          <w:bCs/>
          <w:sz w:val="32"/>
          <w:lang w:val="en-US" w:eastAsia="zh-CN"/>
        </w:rPr>
        <w:t>学部</w:t>
      </w:r>
      <w:r>
        <w:rPr>
          <w:rFonts w:hint="eastAsia" w:ascii="Times New Roman" w:hAnsi="Times New Roman"/>
          <w:b/>
          <w:bCs/>
          <w:sz w:val="32"/>
        </w:rPr>
        <w:t xml:space="preserve"> </w:t>
      </w:r>
    </w:p>
    <w:p w14:paraId="416860D8">
      <w:pPr>
        <w:spacing w:line="600" w:lineRule="auto"/>
        <w:ind w:left="720" w:leftChars="300" w:firstLine="0" w:firstLineChars="0"/>
        <w:jc w:val="left"/>
        <w:rPr>
          <w:rFonts w:ascii="Times New Roman" w:hAnsi="Times New Roman"/>
          <w:b/>
          <w:bCs/>
          <w:sz w:val="32"/>
        </w:rPr>
      </w:pPr>
      <w:r>
        <w:rPr>
          <w:rFonts w:hint="eastAsia" w:ascii="Times New Roman" w:hAnsi="Times New Roman"/>
          <w:b/>
          <w:bCs/>
          <w:sz w:val="32"/>
        </w:rPr>
        <w:t>班</w:t>
      </w:r>
      <w:r>
        <w:rPr>
          <w:rFonts w:hint="eastAsia" w:ascii="Times New Roman" w:hAnsi="Times New Roman"/>
          <w:b/>
          <w:bCs/>
          <w:color w:val="000000"/>
          <w:sz w:val="32"/>
        </w:rPr>
        <w:t xml:space="preserve">    级</w:t>
      </w:r>
      <w:r>
        <w:rPr>
          <w:rFonts w:hint="eastAsia" w:ascii="Times New Roman" w:hAnsi="Times New Roman"/>
          <w:b/>
          <w:bCs/>
          <w:sz w:val="32"/>
        </w:rPr>
        <w:t xml:space="preserve">：        </w:t>
      </w:r>
      <w:r>
        <w:rPr>
          <w:rFonts w:ascii="Times New Roman" w:hAnsi="Times New Roman"/>
          <w:b/>
          <w:bCs/>
          <w:sz w:val="32"/>
        </w:rPr>
        <w:t xml:space="preserve">   </w:t>
      </w:r>
      <w:r>
        <w:rPr>
          <w:rFonts w:hint="eastAsia" w:ascii="Times New Roman" w:hAnsi="Times New Roman"/>
          <w:b/>
          <w:bCs/>
          <w:sz w:val="32"/>
        </w:rPr>
        <w:t>202</w:t>
      </w:r>
      <w:r>
        <w:rPr>
          <w:rFonts w:hint="eastAsia" w:ascii="Times New Roman" w:hAnsi="Times New Roman"/>
          <w:b/>
          <w:bCs/>
          <w:sz w:val="32"/>
          <w:lang w:val="en-US" w:eastAsia="zh-CN"/>
        </w:rPr>
        <w:t>2</w:t>
      </w:r>
      <w:r>
        <w:rPr>
          <w:rFonts w:hint="eastAsia" w:ascii="Times New Roman" w:hAnsi="Times New Roman"/>
          <w:b/>
          <w:bCs/>
          <w:sz w:val="32"/>
        </w:rPr>
        <w:t>法学</w:t>
      </w:r>
      <w:r>
        <w:rPr>
          <w:rFonts w:hint="eastAsia" w:ascii="Times New Roman" w:hAnsi="Times New Roman"/>
          <w:b/>
          <w:bCs/>
          <w:sz w:val="32"/>
          <w:lang w:val="en-US" w:eastAsia="zh-CN"/>
        </w:rPr>
        <w:t>2</w:t>
      </w:r>
      <w:r>
        <w:rPr>
          <w:rFonts w:hint="eastAsia" w:ascii="Times New Roman" w:hAnsi="Times New Roman"/>
          <w:b/>
          <w:bCs/>
          <w:sz w:val="32"/>
        </w:rPr>
        <w:t>班</w:t>
      </w:r>
    </w:p>
    <w:p w14:paraId="33FB9A1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202205256404</w:t>
      </w:r>
    </w:p>
    <w:p w14:paraId="4B5B8F2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姓    名：            </w:t>
      </w:r>
      <w:r>
        <w:rPr>
          <w:rFonts w:hint="eastAsia" w:ascii="Times New Roman" w:hAnsi="Times New Roman"/>
          <w:b/>
          <w:bCs/>
          <w:sz w:val="32"/>
          <w:lang w:val="en-US" w:eastAsia="zh-CN"/>
        </w:rPr>
        <w:t xml:space="preserve"> 胡思婷</w:t>
      </w:r>
    </w:p>
    <w:p w14:paraId="79C0EF2C">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张庆霖</w:t>
      </w:r>
    </w:p>
    <w:p w14:paraId="18C2FD14">
      <w:pPr>
        <w:tabs>
          <w:tab w:val="left" w:pos="7200"/>
        </w:tabs>
        <w:spacing w:line="600" w:lineRule="auto"/>
        <w:ind w:firstLine="0" w:firstLineChars="0"/>
        <w:rPr>
          <w:rFonts w:ascii="Times New Roman" w:hAnsi="Times New Roman"/>
          <w:b/>
          <w:bCs/>
          <w:color w:val="FF0000"/>
          <w:sz w:val="21"/>
          <w:szCs w:val="21"/>
        </w:rPr>
      </w:pPr>
      <w:r>
        <w:rPr>
          <w:rFonts w:ascii="Times New Roman" w:hAnsi="Times New Roman"/>
          <w:b/>
          <w:bCs/>
          <w:color w:val="FF0000"/>
          <w:sz w:val="21"/>
          <w:szCs w:val="21"/>
        </w:rPr>
        <w:pict>
          <ns3:group id="组合 24" ns4:spid="_x0000_s2098" ns4:spt="203" style="position:absolute;left:0pt;margin-left:112.75pt;margin-top:-173.05pt;height:160.45pt;width:306pt;z-index:251664384;mso-width-relative:page;mso-height-relative:page;" coordorigin="6060,6895" coordsize="6120,3209">
            <ns4:lock ns3:ext="edit"/>
            <ns3:shape id="自选图形 20" ns4:spid="_x0000_s2099" ns4:spt="32" type="#_x0000_t32" style="position:absolute;left:6060;top:7690;height:15;width:6120;" filled="f" coordsize="21600,21600">
              <ns3:path arrowok="t"/>
              <ns3:fill on="f" focussize="0,0"/>
              <ns3:stroke weight="1pt"/>
              <ns3:imagedata ns4:title=""/>
              <ns4:lock ns3:ext="edit"/>
            </ns3:shape>
            <ns3:shape id="自选图形 2" ns4:spid="_x0000_s2100" ns4:spt="32" type="#_x0000_t32" style="position:absolute;left:6060;top:8515;height:15;width:6120;" filled="f" coordsize="21600,21600">
              <ns3:path arrowok="t"/>
              <ns3:fill on="f" focussize="0,0"/>
              <ns3:stroke weight="1pt"/>
              <ns3:imagedata ns4:title=""/>
              <ns4:lock ns3:ext="edit"/>
            </ns3:shape>
            <ns3:shape id="自选图形 3" ns4:spid="_x0000_s2101" ns4:spt="32" type="#_x0000_t32" style="position:absolute;left:6060;top:9310;height:15;width:6120;" filled="f" coordsize="21600,21600">
              <ns3:path arrowok="t"/>
              <ns3:fill on="f" focussize="0,0"/>
              <ns3:stroke weight="1pt"/>
              <ns3:imagedata ns4:title=""/>
              <ns4:lock ns3:ext="edit"/>
            </ns3:shape>
            <ns3:shape id="自选图形 4" ns4:spid="_x0000_s2102" ns4:spt="32" type="#_x0000_t32" style="position:absolute;left:6060;top:10090;height:15;width:6120;" filled="f" coordsize="21600,21600">
              <ns3:path arrowok="t"/>
              <ns3:fill on="f" focussize="0,0"/>
              <ns3:stroke weight="1pt"/>
              <ns3:imagedata ns4:title=""/>
              <ns4:lock ns3:ext="edit"/>
            </ns3:shape>
            <ns3:shape id="自选图形 5" ns4:spid="_x0000_s2103" ns4:spt="32" type="#_x0000_t32" style="position:absolute;left:6060;top:6895;height:15;width:6120;" filled="f" coordsize="21600,21600">
              <ns3:path arrowok="t"/>
              <ns3:fill on="f" focussize="0,0"/>
              <ns3:stroke weight="1pt"/>
              <ns3:imagedata ns4:title=""/>
              <ns4:lock ns3:ext="edit"/>
            </ns3:shape>
          </ns3:group>
        </w:pict>
      </w:r>
    </w:p>
    <w:p w14:paraId="064AF2DD">
      <w:pPr>
        <w:tabs>
          <w:tab w:val="left" w:pos="7200"/>
        </w:tabs>
        <w:spacing w:line="600" w:lineRule="auto"/>
        <w:ind w:firstLine="0" w:firstLineChars="0"/>
        <w:rPr>
          <w:rFonts w:ascii="Times New Roman" w:hAnsi="Times New Roman"/>
          <w:b/>
          <w:bCs/>
          <w:color w:val="FF0000"/>
          <w:sz w:val="21"/>
          <w:szCs w:val="21"/>
        </w:rPr>
      </w:pPr>
    </w:p>
    <w:p w14:paraId="40B714CF">
      <w:pPr>
        <w:tabs>
          <w:tab w:val="left" w:pos="7200"/>
        </w:tabs>
        <w:spacing w:line="600" w:lineRule="auto"/>
        <w:ind w:firstLine="0" w:firstLineChars="0"/>
        <w:rPr>
          <w:rFonts w:ascii="Times New Roman" w:hAnsi="Times New Roman"/>
          <w:b/>
          <w:bCs/>
          <w:color w:val="FF0000"/>
          <w:sz w:val="21"/>
          <w:szCs w:val="21"/>
        </w:rPr>
      </w:pPr>
    </w:p>
    <w:p w14:paraId="23BA93C6">
      <w:pPr>
        <w:tabs>
          <w:tab w:val="left" w:pos="7200"/>
        </w:tabs>
        <w:spacing w:line="600" w:lineRule="auto"/>
        <w:ind w:firstLine="0" w:firstLineChars="0"/>
        <w:rPr>
          <w:rFonts w:ascii="Times New Roman" w:hAnsi="Times New Roman"/>
          <w:b/>
          <w:bCs/>
          <w:color w:val="FF0000"/>
          <w:sz w:val="21"/>
          <w:szCs w:val="21"/>
        </w:rPr>
      </w:pPr>
    </w:p>
    <w:p w14:paraId="6E0569F0">
      <w:pPr>
        <w:tabs>
          <w:tab w:val="left" w:pos="7200"/>
        </w:tabs>
        <w:spacing w:line="600" w:lineRule="auto"/>
        <w:ind w:firstLine="0" w:firstLineChars="0"/>
        <w:rPr>
          <w:rFonts w:ascii="Times New Roman" w:hAnsi="Times New Roman"/>
          <w:b/>
          <w:bCs/>
          <w:color w:val="FF0000"/>
          <w:sz w:val="21"/>
          <w:szCs w:val="21"/>
        </w:rPr>
      </w:pPr>
    </w:p>
    <w:p w14:paraId="10148ECC">
      <w:pPr>
        <w:spacing w:line="600" w:lineRule="auto"/>
        <w:ind w:firstLine="1928" w:firstLineChars="600"/>
        <w:jc w:val="left"/>
        <w:rPr>
          <w:rFonts w:ascii="Times New Roman" w:hAnsi="Times New Roman"/>
          <w:b/>
          <w:bCs/>
          <w:color w:val="000000"/>
          <w:sz w:val="32"/>
        </w:rPr>
      </w:pPr>
      <w:r>
        <w:rPr>
          <w:rFonts w:ascii="Times New Roman" w:hAnsi="Times New Roman"/>
          <w:b/>
          <w:bCs/>
          <w:sz w:val="32"/>
        </w:rPr>
        <w:pict>
          <ns3:shape id="_x0000_s2104" ns4:spid="_x0000_s2104" ns4:spt="32" type="#_x0000_t32" style="position:absolute;left:0pt;margin-left:176.9pt;margin-top:27.7pt;height:0pt;width:160.3pt;z-index:251665408;mso-width-relative:page;mso-height-relative:page;" ns4:connectortype="straight" filled="f" coordsize="21600,21600">
            <ns3:path arrowok="t"/>
            <ns3:fill on="f" focussize="0,0"/>
            <ns3:stroke weight="1pt"/>
            <ns3:imagedata ns4:title=""/>
            <ns4:lock ns3:ext="edit"/>
          </ns3:shape>
        </w:pic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 xml:space="preserve">   2026</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w:t>
      </w:r>
      <w:r>
        <w:rPr>
          <w:rFonts w:hint="eastAsia"/>
          <w:b/>
          <w:bCs/>
          <w:color w:val="000000"/>
          <w:sz w:val="32"/>
          <w:lang w:val="en-US" w:eastAsia="zh-CN"/>
        </w:rPr>
        <w:t>5</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 xml:space="preserve">月 </w:t>
      </w:r>
    </w:p>
    <w:p w14:paraId="1DD3B431">
      <w:pPr>
        <w:jc w:val="both"/>
        <w:outlineLvl w:val="0"/>
        <w:rPr>
          <w:rFonts w:ascii="Times New Roman" w:hAnsi="Times New Roman"/>
          <w:b/>
          <w:bCs/>
          <w:sz w:val="32"/>
          <w:szCs w:val="36"/>
        </w:rPr>
        <w:sectPr>
          <w:headerReference r:id="rId5" w:type="default"/>
          <w:footerReference r:id="rId6" w:type="default"/>
          <w:pgSz w:w="11906" w:h="16838"/>
          <w:pgMar w:top="1701" w:right="1134" w:bottom="1417" w:left="1701" w:header="850" w:footer="992" w:gutter="0"/>
          <w:pgNumType w:fmt="upperRoman" w:start="1"/>
          <w:cols w:space="720" w:num="1"/>
          <w:docGrid w:type="lines" w:linePitch="322" w:charSpace="0"/>
        </w:sectPr>
      </w:pPr>
    </w:p>
    <w:p w14:paraId="24ABD78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b/>
          <w:bCs/>
          <w:sz w:val="32"/>
          <w:szCs w:val="32"/>
        </w:rPr>
      </w:pPr>
    </w:p>
    <w:p w14:paraId="7F751A0B">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宋体"/>
          <w:lang w:val="en-US" w:eastAsia="zh-CN"/>
        </w:rPr>
      </w:pPr>
      <w:bookmarkStart w:id="4" w:name="_Toc15829"/>
      <w:bookmarkStart w:id="5" w:name="_Toc22052"/>
      <w:r>
        <w:rPr>
          <w:rFonts w:hint="eastAsia"/>
        </w:rPr>
        <w:t>摘</w:t>
      </w:r>
      <w:r>
        <w:rPr>
          <w:rFonts w:hint="eastAsia"/>
          <w:lang w:val="en-US" w:eastAsia="zh-CN"/>
        </w:rPr>
        <w:t xml:space="preserve">  </w:t>
      </w:r>
      <w:r>
        <w:rPr>
          <w:rFonts w:hint="eastAsia"/>
        </w:rPr>
        <w:t>要</w:t>
      </w:r>
      <w:bookmarkEnd w:id="4"/>
      <w:bookmarkEnd w:id="5"/>
      <w:r>
        <w:rPr>
          <w:rFonts w:hint="eastAsia"/>
          <w:lang w:val="en-US" w:eastAsia="zh-CN"/>
        </w:rPr>
        <w:t xml:space="preserve">    </w:t>
      </w:r>
    </w:p>
    <w:p w14:paraId="7BF8A060">
      <w:commentRangeStart w:id="2"/>
      <w:pPr>
        <w:pStyle w:val="52"/>
        <w:bidi w:val="0"/>
        <w:rPr>
          <w:rFonts w:hint="eastAsia"/>
          <w:lang w:eastAsia="zh-CN"/>
        </w:rPr>
      </w:pPr>
      <w:r>
        <w:rPr>
          <w:rFonts w:hint="eastAsia"/>
          <w:lang w:eastAsia="zh-CN"/>
        </w:rPr>
        <w:t>物业服务合同纠纷已</w:t>
      </w:r>
      <w:r>
        <w:rPr>
          <w:rFonts w:hint="eastAsia"/>
          <w:lang w:val="en-US" w:eastAsia="zh-CN"/>
        </w:rPr>
        <w:t>成为</w:t>
      </w:r>
      <w:r>
        <w:rPr>
          <w:rFonts w:hint="eastAsia"/>
          <w:lang w:eastAsia="zh-CN"/>
        </w:rPr>
        <w:t xml:space="preserve">基层社会治理中高频出现的一类民事争议</w:t>
      </w:r>
      <w:commentRangeEnd w:id="2"/>
      <w:r>
        <w:rPr>
          <w:rStyle w:val="CommentReference"/>
        </w:rPr>
        <w:commentReference w:id="2"/>
      </w:r>
      <w:r>
        <w:rPr>
          <w:rFonts w:hint="eastAsia"/>
          <w:lang w:eastAsia="zh-CN"/>
        </w:rPr>
        <w:t xml:space="preserve">。</w:t>
      </w:r>
      <w:r>
        <w:rPr>
          <w:rFonts w:hint="eastAsia"/>
          <w:lang w:val="en-US" w:eastAsia="zh-CN"/>
        </w:rPr>
        <w:t>研究</w:t>
      </w:r>
      <w:commentRangeStart w:id="9"/>
      <w:commentRangeStart w:id="0"/>
      <w:r>
        <w:rPr>
          <w:rFonts w:hint="eastAsia"/>
          <w:lang w:eastAsia="zh-CN"/>
        </w:rPr>
        <w:t xml:space="preserve">以100份裁判文书为样本</w:t>
      </w:r>
      <w:commentRangeEnd w:id="0"/>
      <w:r>
        <w:rPr>
          <w:rStyle w:val="CommentReference"/>
        </w:rPr>
        <w:commentReference w:id="0"/>
      </w:r>
      <w:commentRangeEnd w:id="9"/>
      <w:r>
        <w:rPr>
          <w:rStyle w:val="CommentReference"/>
        </w:rPr>
        <w:commentReference w:id="9"/>
      </w:r>
      <w:r>
        <w:rPr>
          <w:rFonts w:hint="eastAsia"/>
          <w:lang w:eastAsia="zh-CN"/>
        </w:rPr>
        <w:t xml:space="preserve">，</w:t>
      </w:r>
      <w:commentRangeStart w:id="7"/>
      <w:commentRangeStart w:id="5"/>
      <w:r>
        <w:rPr>
          <w:rFonts w:hint="eastAsia"/>
          <w:lang w:eastAsia="zh-CN"/>
        </w:rPr>
        <w:t xml:space="preserve">综合运用实证分析、规范分析和案例分析等方法</w:t>
      </w:r>
      <w:commentRangeEnd w:id="5"/>
      <w:r>
        <w:rPr>
          <w:rStyle w:val="CommentReference"/>
        </w:rPr>
        <w:commentReference w:id="5"/>
      </w:r>
      <w:commentRangeEnd w:id="7"/>
      <w:r>
        <w:rPr>
          <w:rStyle w:val="CommentReference"/>
        </w:rPr>
        <w:commentReference w:id="7"/>
      </w:r>
      <w:r>
        <w:rPr>
          <w:rFonts w:hint="eastAsia"/>
          <w:lang w:eastAsia="zh-CN"/>
        </w:rPr>
        <w:t xml:space="preserve">，对纠纷类型分布</w:t>
      </w:r>
      <w:r>
        <w:rPr>
          <w:rFonts w:hint="eastAsia"/>
          <w:lang w:val="en-US" w:eastAsia="zh-CN"/>
        </w:rPr>
        <w:t>状况</w:t>
      </w:r>
      <w:r>
        <w:rPr>
          <w:rFonts w:hint="eastAsia"/>
          <w:lang w:eastAsia="zh-CN"/>
        </w:rPr>
        <w:t>、争议焦点和裁判理由</w:t>
      </w:r>
      <w:r>
        <w:rPr>
          <w:rFonts w:hint="eastAsia"/>
          <w:lang w:val="en-US" w:eastAsia="zh-CN"/>
        </w:rPr>
        <w:t>进行</w:t>
      </w:r>
      <w:r>
        <w:rPr>
          <w:rFonts w:hint="eastAsia"/>
          <w:lang w:eastAsia="zh-CN"/>
        </w:rPr>
        <w:t>归纳。</w:t>
      </w:r>
      <w:r>
        <w:rPr>
          <w:rFonts w:hint="eastAsia"/>
          <w:lang w:val="en-US" w:eastAsia="zh-CN"/>
        </w:rPr>
        <w:t>从</w:t>
      </w:r>
      <w:r>
        <w:rPr>
          <w:rFonts w:hint="eastAsia"/>
          <w:lang w:eastAsia="zh-CN"/>
        </w:rPr>
        <w:t>统计</w:t>
      </w:r>
      <w:r>
        <w:rPr>
          <w:rFonts w:hint="eastAsia"/>
          <w:lang w:val="en-US" w:eastAsia="zh-CN"/>
        </w:rPr>
        <w:t>结果看</w:t>
      </w:r>
      <w:r>
        <w:rPr>
          <w:rFonts w:hint="eastAsia"/>
          <w:lang w:eastAsia="zh-CN"/>
        </w:rPr>
        <w:t xml:space="preserve">，</w:t>
      </w:r>
      <w:commentRangeStart w:id="4"/>
      <w:r>
        <w:rPr>
          <w:rFonts w:hint="eastAsia"/>
          <w:lang w:eastAsia="zh-CN"/>
        </w:rPr>
        <w:t xml:space="preserve">物业费及收费标准争议占47%</w:t>
      </w:r>
      <w:commentRangeEnd w:id="4"/>
      <w:r>
        <w:rPr>
          <w:rStyle w:val="CommentReference"/>
        </w:rPr>
        <w:commentReference w:id="4"/>
      </w:r>
      <w:r>
        <w:rPr>
          <w:rFonts w:hint="eastAsia"/>
          <w:lang w:eastAsia="zh-CN"/>
        </w:rPr>
        <w:t xml:space="preserve">，服务质量争议占28%，信息披露争议占14%，违约责任及抗辩争议占11%。纠纷</w:t>
      </w:r>
      <w:r>
        <w:rPr>
          <w:rFonts w:hint="eastAsia"/>
          <w:lang w:val="en-US" w:eastAsia="zh-CN"/>
        </w:rPr>
        <w:t>并非</w:t>
      </w:r>
      <w:r>
        <w:rPr>
          <w:rFonts w:hint="eastAsia"/>
          <w:lang w:eastAsia="zh-CN"/>
        </w:rPr>
        <w:t xml:space="preserve">偶发的履约分歧，而是</w:t>
      </w:r>
      <w:commentRangeStart w:id="12"/>
      <w:r>
        <w:rPr>
          <w:rFonts w:hint="eastAsia"/>
          <w:lang w:eastAsia="zh-CN"/>
        </w:rPr>
        <w:t xml:space="preserve">在合同订立、履行和争议显现三个阶段</w:t>
      </w:r>
      <w:r>
        <w:rPr>
          <w:rFonts w:hint="eastAsia"/>
          <w:lang w:val="en-US" w:eastAsia="zh-CN"/>
        </w:rPr>
        <w:t>累积的结果</w:t>
      </w:r>
      <w:commentRangeEnd w:id="12"/>
      <w:r>
        <w:rPr>
          <w:rStyle w:val="CommentReference"/>
        </w:rPr>
        <w:commentReference w:id="12"/>
      </w:r>
      <w:r>
        <w:rPr>
          <w:rFonts w:hint="eastAsia"/>
          <w:lang w:eastAsia="zh-CN"/>
        </w:rPr>
        <w:t>：订立阶段，收费标准跟计费依据约定</w:t>
      </w:r>
      <w:r>
        <w:rPr>
          <w:rFonts w:hint="eastAsia"/>
          <w:lang w:val="en-US" w:eastAsia="zh-CN"/>
        </w:rPr>
        <w:t>不清</w:t>
      </w:r>
      <w:r>
        <w:rPr>
          <w:rFonts w:hint="eastAsia"/>
          <w:lang w:eastAsia="zh-CN"/>
        </w:rPr>
        <w:t>，</w:t>
      </w:r>
      <w:commentRangeStart w:id="1"/>
      <w:r>
        <w:rPr>
          <w:rFonts w:hint="eastAsia"/>
          <w:lang w:val="en-US" w:eastAsia="zh-CN"/>
        </w:rPr>
        <w:t xml:space="preserve">收费请求权因此</w:t>
      </w:r>
      <w:commentRangeStart w:id="10"/>
      <w:r>
        <w:rPr>
          <w:rFonts w:hint="eastAsia"/>
          <w:lang w:val="en-US" w:eastAsia="zh-CN"/>
        </w:rPr>
        <w:t xml:space="preserve">缺少稳定的规则根基</w:t>
      </w:r>
      <w:commentRangeEnd w:id="10"/>
      <w:r>
        <w:rPr>
          <w:rStyle w:val="CommentReference"/>
        </w:rPr>
        <w:commentReference w:id="10"/>
      </w:r>
      <w:commentRangeEnd w:id="1"/>
      <w:r>
        <w:rPr>
          <w:rStyle w:val="CommentReference"/>
        </w:rPr>
        <w:commentReference w:id="1"/>
      </w:r>
      <w:r>
        <w:rPr>
          <w:rFonts w:hint="eastAsia"/>
          <w:lang w:eastAsia="zh-CN"/>
        </w:rPr>
        <w:t xml:space="preserve">；履行阶段，服务情况和费用信息公开不充分，业主对履约状态和收费合理性的</w:t>
      </w:r>
      <w:commentRangeStart w:id="3"/>
      <w:r>
        <w:rPr>
          <w:rFonts w:hint="eastAsia"/>
          <w:lang w:eastAsia="zh-CN"/>
        </w:rPr>
        <w:t xml:space="preserve">信任判断被</w:t>
      </w:r>
      <w:r>
        <w:rPr>
          <w:rFonts w:hint="eastAsia"/>
          <w:lang w:val="en-US" w:eastAsia="zh-CN"/>
        </w:rPr>
        <w:t>逐步消解</w:t>
      </w:r>
      <w:commentRangeEnd w:id="3"/>
      <w:r>
        <w:rPr>
          <w:rStyle w:val="CommentReference"/>
        </w:rPr>
        <w:commentReference w:id="3"/>
      </w:r>
      <w:r>
        <w:rPr>
          <w:rFonts w:hint="eastAsia"/>
          <w:lang w:eastAsia="zh-CN"/>
        </w:rPr>
        <w:t>；</w:t>
      </w:r>
      <w:r>
        <w:rPr>
          <w:rFonts w:hint="eastAsia"/>
          <w:lang w:val="en-US" w:eastAsia="zh-CN"/>
        </w:rPr>
        <w:t>至</w:t>
      </w:r>
      <w:r>
        <w:rPr>
          <w:rFonts w:hint="eastAsia"/>
          <w:lang w:eastAsia="zh-CN"/>
        </w:rPr>
        <w:t>争议显现阶段，异议受理、协商反馈和诉前调解前端程序的供给</w:t>
      </w:r>
      <w:r>
        <w:rPr>
          <w:rFonts w:hint="eastAsia"/>
          <w:lang w:val="en-US" w:eastAsia="zh-CN"/>
        </w:rPr>
        <w:t>不足</w:t>
      </w:r>
      <w:r>
        <w:rPr>
          <w:rFonts w:hint="eastAsia"/>
          <w:lang w:eastAsia="zh-CN"/>
        </w:rPr>
        <w:t>，</w:t>
      </w:r>
      <w:r>
        <w:rPr>
          <w:rFonts w:hint="eastAsia"/>
          <w:lang w:val="en-US" w:eastAsia="zh-CN"/>
        </w:rPr>
        <w:t xml:space="preserve">导致</w:t>
      </w:r>
      <w:commentRangeStart w:id="13"/>
      <w:r>
        <w:rPr>
          <w:rFonts w:hint="eastAsia"/>
          <w:lang w:val="en-US" w:eastAsia="zh-CN"/>
        </w:rPr>
        <w:t xml:space="preserve">本可</w:t>
      </w:r>
      <w:r>
        <w:rPr>
          <w:rFonts w:hint="eastAsia"/>
          <w:lang w:eastAsia="zh-CN"/>
        </w:rPr>
        <w:t xml:space="preserve">在诉前能消解的分歧</w:t>
      </w:r>
      <w:commentRangeEnd w:id="13"/>
      <w:r>
        <w:rPr>
          <w:rStyle w:val="CommentReference"/>
        </w:rPr>
        <w:commentReference w:id="13"/>
      </w:r>
      <w:r>
        <w:rPr>
          <w:rFonts w:hint="eastAsia"/>
          <w:lang w:eastAsia="zh-CN"/>
        </w:rPr>
        <w:t xml:space="preserve">，直接涌</w:t>
      </w:r>
      <w:r>
        <w:rPr>
          <w:rFonts w:hint="eastAsia"/>
          <w:lang w:val="en-US" w:eastAsia="zh-CN"/>
        </w:rPr>
        <w:t>入了</w:t>
      </w:r>
      <w:r>
        <w:rPr>
          <w:rFonts w:hint="eastAsia"/>
          <w:lang w:eastAsia="zh-CN"/>
        </w:rPr>
        <w:t>诉讼</w:t>
      </w:r>
      <w:r>
        <w:rPr>
          <w:rFonts w:hint="eastAsia"/>
          <w:lang w:val="en-US" w:eastAsia="zh-CN"/>
        </w:rPr>
        <w:t>程序</w:t>
      </w:r>
      <w:r>
        <w:rPr>
          <w:rFonts w:hint="eastAsia"/>
          <w:lang w:eastAsia="zh-CN"/>
        </w:rPr>
        <w:t>。</w:t>
      </w:r>
    </w:p>
    <w:p w14:paraId="55659D26">
      <w:pPr>
        <w:pStyle w:val="52"/>
        <w:bidi w:val="0"/>
        <w:rPr>
          <w:rFonts w:hint="eastAsia"/>
          <w:lang w:eastAsia="zh-CN"/>
        </w:rPr>
      </w:pPr>
      <w:r>
        <w:rPr>
          <w:rFonts w:hint="eastAsia"/>
          <w:lang w:eastAsia="zh-CN"/>
        </w:rPr>
        <w:t>预防机制的完善</w:t>
      </w:r>
      <w:r>
        <w:rPr>
          <w:rFonts w:hint="eastAsia"/>
          <w:lang w:val="en-US" w:eastAsia="zh-CN"/>
        </w:rPr>
        <w:t>对策，可沿三个方向推进。在</w:t>
      </w:r>
      <w:r>
        <w:rPr>
          <w:rFonts w:hint="eastAsia"/>
          <w:lang w:eastAsia="zh-CN"/>
        </w:rPr>
        <w:t>订立阶段，</w:t>
      </w:r>
      <w:commentRangeStart w:id="6"/>
      <w:r>
        <w:rPr>
          <w:rFonts w:hint="eastAsia"/>
          <w:lang w:val="en-US" w:eastAsia="zh-CN"/>
        </w:rPr>
        <w:t>明确</w:t>
      </w:r>
      <w:r>
        <w:rPr>
          <w:rFonts w:hint="eastAsia"/>
          <w:lang w:eastAsia="zh-CN"/>
        </w:rPr>
        <w:t>收费项目、计费口径和调价条件</w:t>
      </w:r>
      <w:r>
        <w:rPr>
          <w:rFonts w:hint="eastAsia"/>
          <w:lang w:val="en-US" w:eastAsia="zh-CN"/>
        </w:rPr>
        <w:t>的</w:t>
      </w:r>
      <w:r>
        <w:rPr>
          <w:rFonts w:hint="eastAsia"/>
          <w:lang w:eastAsia="zh-CN"/>
        </w:rPr>
        <w:t xml:space="preserve">清单化规则</w:t>
      </w:r>
      <w:commentRangeEnd w:id="6"/>
      <w:r>
        <w:rPr>
          <w:rStyle w:val="CommentReference"/>
        </w:rPr>
        <w:commentReference w:id="6"/>
      </w:r>
      <w:r>
        <w:rPr>
          <w:rFonts w:hint="eastAsia"/>
          <w:lang w:eastAsia="zh-CN"/>
        </w:rPr>
        <w:t xml:space="preserve">；</w:t>
      </w:r>
      <w:r>
        <w:rPr>
          <w:rFonts w:hint="eastAsia"/>
          <w:lang w:val="en-US" w:eastAsia="zh-CN"/>
        </w:rPr>
        <w:t>在</w:t>
      </w:r>
      <w:r>
        <w:rPr>
          <w:rFonts w:hint="eastAsia"/>
          <w:lang w:eastAsia="zh-CN"/>
        </w:rPr>
        <w:t>履行阶段，</w:t>
      </w:r>
      <w:r>
        <w:rPr>
          <w:rFonts w:hint="eastAsia"/>
          <w:lang w:val="en-US" w:eastAsia="zh-CN"/>
        </w:rPr>
        <w:t>搭建</w:t>
      </w:r>
      <w:r>
        <w:rPr>
          <w:rFonts w:hint="eastAsia"/>
          <w:lang w:eastAsia="zh-CN"/>
        </w:rPr>
        <w:t>分类公开、固定频次、过程留痕的信息公开操作框架；</w:t>
      </w:r>
      <w:r>
        <w:rPr>
          <w:rFonts w:hint="eastAsia"/>
          <w:lang w:val="en-US" w:eastAsia="zh-CN"/>
        </w:rPr>
        <w:t>在</w:t>
      </w:r>
      <w:r>
        <w:rPr>
          <w:rFonts w:hint="eastAsia"/>
          <w:lang w:eastAsia="zh-CN"/>
        </w:rPr>
        <w:t>争议显现阶段，设置书面异议登记、限期答复、协商留痕和调解分流</w:t>
      </w:r>
      <w:r>
        <w:rPr>
          <w:rFonts w:hint="eastAsia"/>
          <w:lang w:val="en-US" w:eastAsia="zh-CN"/>
        </w:rPr>
        <w:t>的</w:t>
      </w:r>
      <w:r>
        <w:rPr>
          <w:rFonts w:hint="eastAsia"/>
          <w:lang w:eastAsia="zh-CN"/>
        </w:rPr>
        <w:t>递进程序。</w:t>
      </w:r>
      <w:r>
        <w:rPr>
          <w:rFonts w:hint="eastAsia"/>
          <w:lang w:val="en-US" w:eastAsia="zh-CN"/>
        </w:rPr>
        <w:t>将</w:t>
      </w:r>
      <w:r>
        <w:rPr>
          <w:rFonts w:hint="eastAsia"/>
          <w:lang w:eastAsia="zh-CN"/>
        </w:rPr>
        <w:t>预防机制嵌</w:t>
      </w:r>
      <w:r>
        <w:rPr>
          <w:rFonts w:hint="eastAsia"/>
          <w:lang w:val="en-US" w:eastAsia="zh-CN"/>
        </w:rPr>
        <w:t>入</w:t>
      </w:r>
      <w:r>
        <w:rPr>
          <w:rFonts w:hint="eastAsia"/>
          <w:lang w:eastAsia="zh-CN"/>
        </w:rPr>
        <w:t>合同运行的全过程，</w:t>
      </w:r>
      <w:r>
        <w:rPr>
          <w:rFonts w:hint="eastAsia"/>
          <w:lang w:val="en-US" w:eastAsia="zh-CN"/>
        </w:rPr>
        <w:t>对</w:t>
      </w:r>
      <w:r>
        <w:rPr>
          <w:rFonts w:hint="eastAsia"/>
          <w:lang w:eastAsia="zh-CN"/>
        </w:rPr>
        <w:t>降低这类纠纷的诉讼化程度具有积极意义。</w:t>
      </w:r>
    </w:p>
    <w:p w14:paraId="546DC366">
      <w:pPr>
        <w:pStyle w:val="52"/>
        <w:bidi w:val="0"/>
        <w:rPr>
          <w:rFonts w:hint="eastAsia"/>
          <w:lang w:eastAsia="zh-CN"/>
        </w:rPr>
      </w:pPr>
    </w:p>
    <w:p w14:paraId="6B27EF43">
      <w:pPr>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6" w:name="_Toc28123"/>
      <w:bookmarkStart w:id="7" w:name="_Toc21510"/>
      <w:r>
        <w:rPr>
          <w:rFonts w:hint="eastAsia" w:ascii="Times New Roman" w:hAnsi="Times New Roman" w:eastAsia="宋体"/>
          <w:b/>
          <w:bCs/>
          <w:sz w:val="24"/>
          <w:szCs w:val="32"/>
        </w:rPr>
        <w:t>关键词：</w:t>
      </w:r>
      <w:r>
        <w:rPr>
          <w:rFonts w:hint="eastAsia" w:ascii="Times New Roman" w:hAnsi="Times New Roman" w:eastAsia="宋体"/>
          <w:kern w:val="44"/>
          <w:sz w:val="21"/>
          <w:lang w:val="en-US" w:eastAsia="zh-CN"/>
        </w:rPr>
        <w:t>物业服务</w:t>
      </w:r>
      <w:r>
        <w:rPr>
          <w:rFonts w:hint="eastAsia"/>
          <w:kern w:val="44"/>
          <w:sz w:val="21"/>
          <w:lang w:val="en-US" w:eastAsia="zh-CN"/>
        </w:rPr>
        <w:t>合同</w:t>
      </w:r>
      <w:r>
        <w:rPr>
          <w:rFonts w:hint="eastAsia" w:ascii="Times New Roman" w:hAnsi="Times New Roman" w:eastAsia="宋体"/>
          <w:kern w:val="44"/>
          <w:sz w:val="21"/>
          <w:lang w:val="en-US" w:eastAsia="zh-CN"/>
        </w:rPr>
        <w:t>纠纷</w:t>
      </w:r>
      <w:r>
        <w:rPr>
          <w:rFonts w:hint="eastAsia" w:ascii="Times New Roman" w:hAnsi="Times New Roman" w:eastAsia="宋体"/>
          <w:kern w:val="44"/>
          <w:sz w:val="21"/>
        </w:rPr>
        <w:t>；</w:t>
      </w:r>
      <w:r>
        <w:rPr>
          <w:rFonts w:hint="eastAsia"/>
          <w:kern w:val="44"/>
          <w:sz w:val="21"/>
          <w:lang w:val="en-US" w:eastAsia="zh-CN"/>
        </w:rPr>
        <w:t>预防机制</w:t>
      </w:r>
      <w:r>
        <w:rPr>
          <w:rFonts w:hint="eastAsia" w:ascii="Times New Roman" w:hAnsi="Times New Roman" w:eastAsia="宋体"/>
          <w:kern w:val="44"/>
          <w:sz w:val="21"/>
        </w:rPr>
        <w:t>；</w:t>
      </w:r>
      <w:bookmarkEnd w:id="6"/>
      <w:bookmarkEnd w:id="7"/>
      <w:bookmarkStart w:id="8" w:name="_Toc30406"/>
      <w:bookmarkStart w:id="9" w:name="_Toc14354"/>
      <w:bookmarkStart w:id="10" w:name="_Toc5860"/>
      <w:r>
        <w:rPr>
          <w:rFonts w:hint="eastAsia"/>
          <w:kern w:val="44"/>
          <w:sz w:val="21"/>
          <w:lang w:val="en-US" w:eastAsia="zh-CN"/>
        </w:rPr>
        <w:t>裁判文书</w:t>
      </w:r>
    </w:p>
    <w:p w14:paraId="43A8662B">
      <w:pPr>
        <w:spacing w:before="50" w:beforeLines="50" w:after="50" w:afterLines="50"/>
        <w:ind w:firstLine="1446"/>
        <w:jc w:val="center"/>
        <w:outlineLvl w:val="0"/>
        <w:rPr>
          <w:rFonts w:hint="eastAsia" w:ascii="Times New Roman" w:hAnsi="Times New Roman" w:eastAsia="宋体"/>
          <w:bCs/>
          <w:sz w:val="32"/>
          <w:szCs w:val="32"/>
        </w:rPr>
      </w:pPr>
      <w:bookmarkStart w:id="11" w:name="_Toc19792"/>
      <w:bookmarkStart w:id="12" w:name="_Toc4225"/>
      <w:r>
        <w:rPr>
          <w:rFonts w:hint="eastAsia" w:ascii="Times New Roman" w:hAnsi="Times New Roman" w:eastAsia="宋体"/>
          <w:bCs/>
          <w:sz w:val="32"/>
          <w:szCs w:val="32"/>
        </w:rPr>
        <w:t>Abstract</w:t>
      </w:r>
      <w:bookmarkEnd w:id="8"/>
      <w:bookmarkEnd w:id="9"/>
      <w:bookmarkEnd w:id="10"/>
      <w:bookmarkEnd w:id="11"/>
      <w:bookmarkEnd w:id="12"/>
    </w:p>
    <w:p w14:paraId="701A978A">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rPr>
      </w:pPr>
      <w:r>
        <w:rPr>
          <w:rFonts w:hint="eastAsia"/>
          <w:sz w:val="24"/>
        </w:rPr>
        <w:t xml:space="preserve">Property service contract disputes have become a kind of civil disputes that occur frequently in grassroots social governance. Taking 100 judgment documents as samples, this paper summarizes the distribution of dispute types, the focus of disputes and the reasons for judgment by means of empirical analysis, normative analysis and case analysis. According to the statistical results, the disputes of property fees and charging standards accounted for 47 %, the disputes of service quality accounted for 28 %, the disputes of information disclosure accounted for 14 %, and the disputes of liability for breach of contract and defense accounted for 11 %. The dispute is not an occasional performance disagreement, but a result of the accumulation of three stages : the conclusion of the contract, the performance of the contract and the appearance of the dispute : in the conclusion stage, the charging standard and the charging basis are not clearly agreed, and the charging claim lacks a stable rule foundation ; in the stage of performance, the disclosure of service situation and cost information is not sufficient, and </w:t>
      </w:r>
      <w:commentRangeStart w:id="11"/>
      <w:r>
        <w:rPr>
          <w:rFonts w:hint="eastAsia"/>
          <w:sz w:val="24"/>
        </w:rPr>
        <w:t xml:space="preserve">the owner 's trust judgment</w:t>
      </w:r>
      <w:commentRangeEnd w:id="11"/>
      <w:r>
        <w:rPr>
          <w:rStyle w:val="CommentReference"/>
        </w:rPr>
        <w:commentReference w:id="11"/>
      </w:r>
      <w:r>
        <w:rPr>
          <w:rFonts w:hint="eastAsia"/>
          <w:sz w:val="24"/>
        </w:rPr>
        <w:t xml:space="preserve"> on the performance status and the rationality of the fee is gradually dispelled. In the stage of dispute emergence, the lack of supply of objection acceptance, negotiation feedback and pre-litigation mediation front-end procedures has led to differences that could have been resolved before the litigation, which has directly poured into the litigation procedure. </w:t>
      </w:r>
    </w:p>
    <w:p w14:paraId="3BE5C9DD">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r>
        <w:rPr>
          <w:rFonts w:hint="eastAsia"/>
          <w:sz w:val="24"/>
        </w:rPr>
        <w:t xml:space="preserve">The perfect countermeasures of the prevention mechanism can be promoted in three directions. In the establishment stage, the list rules of charging items, billing caliber and price adjustment conditions are clarified ; in the performance stage, the information disclosure operation framework of classified disclosure, fixed frequency and process trace is built. In the stage of dispute emergence, a progressive procedure of written objection registration, deadline reply, </w:t>
      </w:r>
      <w:commentRangeStart w:id="14"/>
      <w:r>
        <w:rPr>
          <w:rFonts w:hint="eastAsia"/>
          <w:sz w:val="24"/>
        </w:rPr>
        <w:t xml:space="preserve">consultation mark</w:t>
      </w:r>
      <w:commentRangeEnd w:id="14"/>
      <w:r>
        <w:rPr>
          <w:rStyle w:val="CommentReference"/>
        </w:rPr>
        <w:commentReference w:id="14"/>
      </w:r>
      <w:r>
        <w:rPr>
          <w:rFonts w:hint="eastAsia"/>
          <w:sz w:val="24"/>
        </w:rPr>
        <w:t xml:space="preserve"> and mediation diversion is set up. Embedding the prevention mechanism into the whole process of contract operation is of positive significance to reduce the litigation degree of such disputes.</w:t>
      </w:r>
      <w:r>
        <w:rPr>
          <w:rFonts w:hint="eastAsia"/>
          <w:sz w:val="24"/>
          <w:lang w:val="en-US" w:eastAsia="zh-CN"/>
        </w:rPr>
        <w:t>.</w:t>
      </w:r>
    </w:p>
    <w:p w14:paraId="4793CCD4">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p>
    <w:p w14:paraId="0D675A30">
      <w:pPr>
        <w:pStyle w:val="23"/>
        <w:keepNext w:val="0"/>
        <w:keepLines w:val="0"/>
        <w:widowControl/>
        <w:suppressLineNumbers w:val="0"/>
      </w:pPr>
      <w:r>
        <w:rPr>
          <w:rFonts w:ascii="Times New Roman" w:hAnsi="Times New Roman" w:eastAsia="宋体"/>
          <w:b/>
          <w:bCs/>
          <w:kern w:val="44"/>
          <w:sz w:val="24"/>
          <w:szCs w:val="32"/>
        </w:rPr>
        <w:t>Key</w:t>
      </w:r>
      <w:r>
        <w:rPr>
          <w:rFonts w:hint="eastAsia" w:ascii="Times New Roman" w:hAnsi="Times New Roman" w:eastAsia="宋体"/>
          <w:b/>
          <w:bCs/>
          <w:kern w:val="44"/>
          <w:sz w:val="24"/>
          <w:szCs w:val="32"/>
        </w:rPr>
        <w:t xml:space="preserve"> </w:t>
      </w:r>
      <w:r>
        <w:rPr>
          <w:rFonts w:ascii="Times New Roman" w:hAnsi="Times New Roman" w:eastAsia="宋体"/>
          <w:b/>
          <w:bCs/>
          <w:kern w:val="44"/>
          <w:sz w:val="24"/>
          <w:szCs w:val="32"/>
        </w:rPr>
        <w:t>words</w:t>
      </w:r>
      <w:r>
        <w:rPr>
          <w:rFonts w:hint="eastAsia" w:ascii="Times New Roman" w:hAnsi="Times New Roman" w:eastAsia="宋体"/>
          <w:b/>
          <w:bCs/>
          <w:kern w:val="44"/>
          <w:sz w:val="24"/>
          <w:szCs w:val="32"/>
        </w:rPr>
        <w:t>:</w:t>
      </w:r>
      <w:r>
        <w:rPr>
          <w:rFonts w:hint="eastAsia" w:ascii="Times New Roman" w:hAnsi="Times New Roman" w:eastAsia="宋体"/>
          <w:kern w:val="44"/>
          <w:sz w:val="24"/>
        </w:rPr>
        <w:t>Property service contract disputes;prevention mechanism;judgment documents</w:t>
      </w:r>
    </w:p>
    <w:p w14:paraId="291FF997">
      <w:pPr>
        <w:spacing w:before="50" w:beforeLines="50" w:after="50" w:afterLines="50" w:line="400" w:lineRule="exact"/>
        <w:ind w:firstLine="480" w:firstLineChars="200"/>
        <w:rPr>
          <w:rFonts w:ascii="Times New Roman" w:hAnsi="Times New Roman" w:eastAsia="宋体"/>
          <w:kern w:val="44"/>
          <w:sz w:val="24"/>
        </w:rPr>
        <w:sectPr>
          <w:headerReference r:id="rId9" w:type="default"/>
          <w:footerReference r:id="rId10" w:type="default"/>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14:paraId="5C57392A">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rPr>
          <w:rFonts w:hint="eastAsia" w:ascii="Times New Roman" w:hAnsi="Times New Roman" w:eastAsia="宋体"/>
          <w:b/>
          <w:sz w:val="32"/>
          <w:szCs w:val="32"/>
        </w:rPr>
      </w:pPr>
      <w:r>
        <w:rPr>
          <w:rFonts w:hint="eastAsia" w:ascii="Times New Roman" w:hAnsi="Times New Roman" w:eastAsia="宋体"/>
          <w:b/>
          <w:sz w:val="32"/>
          <w:szCs w:val="32"/>
        </w:rPr>
        <w:t>目</w:t>
      </w:r>
      <w:r>
        <w:rPr>
          <w:rFonts w:hint="eastAsia" w:eastAsia="宋体"/>
          <w:b/>
          <w:sz w:val="32"/>
          <w:szCs w:val="32"/>
          <w:lang w:val="en-US" w:eastAsia="zh-CN"/>
        </w:rPr>
        <w:t xml:space="preserve">  </w:t>
      </w:r>
      <w:r>
        <w:rPr>
          <w:rFonts w:hint="eastAsia" w:ascii="Times New Roman" w:hAnsi="Times New Roman" w:eastAsia="宋体"/>
          <w:b/>
          <w:sz w:val="32"/>
          <w:szCs w:val="32"/>
        </w:rPr>
        <w:t>录</w:t>
      </w:r>
    </w:p>
    <w:bookmarkEnd w:id="0"/>
    <w:bookmarkEnd w:id="1"/>
    <w:bookmarkEnd w:id="2"/>
    <w:bookmarkEnd w:id="3"/>
    <w:p w14:paraId="2E1D2748">
      <w:pPr>
        <w:pStyle w:val="18"/>
        <w:tabs>
          <w:tab w:val="right" w:leader="dot" w:pos="9071"/>
        </w:tabs>
      </w:pPr>
      <w:bookmarkStart w:id="13" w:name="_Toc26024"/>
      <w:bookmarkStart w:id="14" w:name="_Toc8904"/>
      <w:bookmarkStart w:id="15" w:name="_Toc9373"/>
      <w:bookmarkStart w:id="16" w:name="_Toc21956"/>
      <w:bookmarkStart w:id="17" w:name="_Toc15020_WPSOffice_Level2"/>
      <w:bookmarkStart w:id="18" w:name="_Toc533261391"/>
      <w:bookmarkStart w:id="19" w:name="_Toc152619889"/>
      <w:bookmarkStart w:id="20" w:name="_Toc532872738"/>
      <w:bookmarkStart w:id="21" w:name="_Toc32753_WPSOffice_Level2"/>
      <w:bookmarkStart w:id="22" w:name="_Toc19851_WPSOffice_Level2"/>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_Toc22052 </w:instrText>
      </w:r>
      <w:r>
        <w:rPr>
          <w:rFonts w:hint="eastAsia"/>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_Toc22052 \h </w:instrText>
      </w:r>
      <w:r>
        <w:fldChar w:fldCharType="separate"/>
      </w:r>
      <w:r>
        <w:t>I</w:t>
      </w:r>
      <w:r>
        <w:fldChar w:fldCharType="end"/>
      </w:r>
      <w:r>
        <w:rPr>
          <w:rFonts w:hint="eastAsia"/>
        </w:rPr>
        <w:fldChar w:fldCharType="end"/>
      </w:r>
    </w:p>
    <w:p w14:paraId="5F91F7C4">
      <w:pPr>
        <w:pStyle w:val="18"/>
        <w:tabs>
          <w:tab w:val="right" w:leader="dot" w:pos="9071"/>
        </w:tabs>
      </w:pPr>
      <w:r>
        <w:rPr>
          <w:rFonts w:hint="eastAsia"/>
        </w:rPr>
        <w:fldChar w:fldCharType="begin"/>
      </w:r>
      <w:r>
        <w:rPr>
          <w:rFonts w:hint="eastAsia"/>
        </w:rPr>
        <w:instrText xml:space="preserve"> HYPERLINK \l _Toc4225 </w:instrText>
      </w:r>
      <w:r>
        <w:rPr>
          <w:rFonts w:hint="eastAsia"/>
        </w:rPr>
        <w:fldChar w:fldCharType="separate"/>
      </w:r>
      <w:r>
        <w:rPr>
          <w:rFonts w:hint="eastAsia" w:ascii="Times New Roman" w:hAnsi="Times New Roman" w:eastAsia="宋体"/>
          <w:bCs/>
          <w:szCs w:val="32"/>
        </w:rPr>
        <w:t>Abstract</w:t>
      </w:r>
      <w:r>
        <w:tab/>
      </w:r>
      <w:r>
        <w:fldChar w:fldCharType="begin"/>
      </w:r>
      <w:r>
        <w:instrText xml:space="preserve"> PAGEREF _Toc4225 \h </w:instrText>
      </w:r>
      <w:r>
        <w:fldChar w:fldCharType="separate"/>
      </w:r>
      <w:r>
        <w:t>II</w:t>
      </w:r>
      <w:r>
        <w:fldChar w:fldCharType="end"/>
      </w:r>
      <w:r>
        <w:rPr>
          <w:rFonts w:hint="eastAsia"/>
        </w:rPr>
        <w:fldChar w:fldCharType="end"/>
      </w:r>
    </w:p>
    <w:p w14:paraId="0D531C27">
      <w:pPr>
        <w:pStyle w:val="18"/>
        <w:tabs>
          <w:tab w:val="right" w:leader="dot" w:pos="9071"/>
        </w:tabs>
      </w:pPr>
      <w:r>
        <w:rPr>
          <w:rFonts w:hint="eastAsia"/>
        </w:rPr>
        <w:fldChar w:fldCharType="begin"/>
      </w:r>
      <w:r>
        <w:rPr>
          <w:rFonts w:hint="eastAsia"/>
        </w:rPr>
        <w:instrText xml:space="preserve"> HYPERLINK \l _Toc11649 </w:instrText>
      </w:r>
      <w:r>
        <w:rPr>
          <w:rFonts w:hint="eastAsia"/>
        </w:rPr>
        <w:fldChar w:fldCharType="separate"/>
      </w:r>
      <w:r>
        <w:rPr>
          <w:rFonts w:hint="eastAsia" w:ascii="宋体" w:hAnsi="宋体" w:eastAsia="宋体" w:cs="宋体"/>
        </w:rPr>
        <w:t xml:space="preserve">一、 </w:t>
      </w:r>
      <w:r>
        <w:rPr>
          <w:rFonts w:hint="eastAsia"/>
        </w:rPr>
        <w:t>绪论</w:t>
      </w:r>
      <w:r>
        <w:tab/>
      </w:r>
      <w:r>
        <w:fldChar w:fldCharType="begin"/>
      </w:r>
      <w:r>
        <w:instrText xml:space="preserve"> PAGEREF _Toc11649 \h </w:instrText>
      </w:r>
      <w:r>
        <w:fldChar w:fldCharType="separate"/>
      </w:r>
      <w:r>
        <w:t>1</w:t>
      </w:r>
      <w:r>
        <w:fldChar w:fldCharType="end"/>
      </w:r>
      <w:r>
        <w:rPr>
          <w:rFonts w:hint="eastAsia"/>
        </w:rPr>
        <w:fldChar w:fldCharType="end"/>
      </w:r>
    </w:p>
    <w:p w14:paraId="015827A6">
      <w:pPr>
        <w:pStyle w:val="22"/>
        <w:tabs>
          <w:tab w:val="right" w:leader="dot" w:pos="9071"/>
        </w:tabs>
      </w:pPr>
      <w:r>
        <w:rPr>
          <w:rFonts w:hint="eastAsia"/>
        </w:rPr>
        <w:fldChar w:fldCharType="begin"/>
      </w:r>
      <w:r>
        <w:rPr>
          <w:rFonts w:hint="eastAsia"/>
        </w:rPr>
        <w:instrText xml:space="preserve"> HYPERLINK \l _Toc31080 </w:instrText>
      </w:r>
      <w:r>
        <w:rPr>
          <w:rFonts w:hint="eastAsia"/>
        </w:rPr>
        <w:fldChar w:fldCharType="separate"/>
      </w:r>
      <w:r>
        <w:rPr>
          <w:rFonts w:hint="eastAsia"/>
        </w:rPr>
        <w:t>（一）</w:t>
      </w:r>
      <w:r>
        <w:rPr>
          <w:rFonts w:hint="eastAsia"/>
          <w:lang w:val="en-US" w:eastAsia="zh-CN"/>
        </w:rPr>
        <w:t>研究背景及研究意义</w:t>
      </w:r>
      <w:r>
        <w:tab/>
      </w:r>
      <w:r>
        <w:fldChar w:fldCharType="begin"/>
      </w:r>
      <w:r>
        <w:instrText xml:space="preserve"> PAGEREF _Toc31080 \h </w:instrText>
      </w:r>
      <w:r>
        <w:fldChar w:fldCharType="separate"/>
      </w:r>
      <w:r>
        <w:t>1</w:t>
      </w:r>
      <w:r>
        <w:fldChar w:fldCharType="end"/>
      </w:r>
      <w:r>
        <w:rPr>
          <w:rFonts w:hint="eastAsia"/>
        </w:rPr>
        <w:fldChar w:fldCharType="end"/>
      </w:r>
    </w:p>
    <w:p w14:paraId="343CDA0F">
      <w:pPr>
        <w:pStyle w:val="12"/>
        <w:tabs>
          <w:tab w:val="right" w:leader="dot" w:pos="9071"/>
        </w:tabs>
      </w:pPr>
      <w:r>
        <w:rPr>
          <w:rFonts w:hint="eastAsia"/>
        </w:rPr>
        <w:fldChar w:fldCharType="begin"/>
      </w:r>
      <w:r>
        <w:rPr>
          <w:rFonts w:hint="eastAsia"/>
        </w:rPr>
        <w:instrText xml:space="preserve"> HYPERLINK \l _Toc22381 </w:instrText>
      </w:r>
      <w:r>
        <w:rPr>
          <w:rFonts w:hint="eastAsia"/>
        </w:rPr>
        <w:fldChar w:fldCharType="separate"/>
      </w:r>
      <w:r>
        <w:rPr>
          <w:rFonts w:hint="eastAsia"/>
        </w:rPr>
        <w:t>1.</w:t>
      </w:r>
      <w:r>
        <w:rPr>
          <w:rFonts w:hint="eastAsia"/>
          <w:lang w:val="en-US" w:eastAsia="zh-CN"/>
        </w:rPr>
        <w:t>研究背景</w:t>
      </w:r>
      <w:r>
        <w:tab/>
      </w:r>
      <w:r>
        <w:fldChar w:fldCharType="begin"/>
      </w:r>
      <w:r>
        <w:instrText xml:space="preserve"> PAGEREF _Toc22381 \h </w:instrText>
      </w:r>
      <w:r>
        <w:fldChar w:fldCharType="separate"/>
      </w:r>
      <w:r>
        <w:t>1</w:t>
      </w:r>
      <w:r>
        <w:fldChar w:fldCharType="end"/>
      </w:r>
      <w:r>
        <w:rPr>
          <w:rFonts w:hint="eastAsia"/>
        </w:rPr>
        <w:fldChar w:fldCharType="end"/>
      </w:r>
    </w:p>
    <w:p w14:paraId="5B9D2B2F">
      <w:pPr>
        <w:pStyle w:val="12"/>
        <w:tabs>
          <w:tab w:val="right" w:leader="dot" w:pos="9071"/>
        </w:tabs>
      </w:pPr>
      <w:r>
        <w:rPr>
          <w:rFonts w:hint="eastAsia"/>
        </w:rPr>
        <w:fldChar w:fldCharType="begin"/>
      </w:r>
      <w:r>
        <w:rPr>
          <w:rFonts w:hint="eastAsia"/>
        </w:rPr>
        <w:instrText xml:space="preserve"> HYPERLINK \l _Toc14564 </w:instrText>
      </w:r>
      <w:r>
        <w:rPr>
          <w:rFonts w:hint="eastAsia"/>
        </w:rPr>
        <w:fldChar w:fldCharType="separate"/>
      </w:r>
      <w:r>
        <w:rPr>
          <w:rFonts w:hint="eastAsia"/>
          <w:lang w:val="en-US" w:eastAsia="zh-CN"/>
        </w:rPr>
        <w:t>2.研究意义</w:t>
      </w:r>
      <w:r>
        <w:tab/>
      </w:r>
      <w:r>
        <w:fldChar w:fldCharType="begin"/>
      </w:r>
      <w:r>
        <w:instrText xml:space="preserve"> PAGEREF _Toc14564 \h </w:instrText>
      </w:r>
      <w:r>
        <w:fldChar w:fldCharType="separate"/>
      </w:r>
      <w:r>
        <w:t>2</w:t>
      </w:r>
      <w:r>
        <w:fldChar w:fldCharType="end"/>
      </w:r>
      <w:r>
        <w:rPr>
          <w:rFonts w:hint="eastAsia"/>
        </w:rPr>
        <w:fldChar w:fldCharType="end"/>
      </w:r>
    </w:p>
    <w:p w14:paraId="30C696CA">
      <w:pPr>
        <w:pStyle w:val="22"/>
        <w:tabs>
          <w:tab w:val="right" w:leader="dot" w:pos="9071"/>
        </w:tabs>
      </w:pPr>
      <w:r>
        <w:rPr>
          <w:rFonts w:hint="eastAsia"/>
        </w:rPr>
        <w:fldChar w:fldCharType="begin"/>
      </w:r>
      <w:r>
        <w:rPr>
          <w:rFonts w:hint="eastAsia"/>
        </w:rPr>
        <w:instrText xml:space="preserve"> HYPERLINK \l _Toc8155 </w:instrText>
      </w:r>
      <w:r>
        <w:rPr>
          <w:rFonts w:hint="eastAsia"/>
        </w:rPr>
        <w:fldChar w:fldCharType="separate"/>
      </w:r>
      <w:r>
        <w:rPr>
          <w:rFonts w:hint="eastAsia"/>
        </w:rPr>
        <w:t>（二）</w:t>
      </w:r>
      <w:r>
        <w:rPr>
          <w:rFonts w:hint="eastAsia"/>
          <w:lang w:val="en-US" w:eastAsia="zh-CN"/>
        </w:rPr>
        <w:t>国内外研究综述</w:t>
      </w:r>
      <w:r>
        <w:tab/>
      </w:r>
      <w:r>
        <w:fldChar w:fldCharType="begin"/>
      </w:r>
      <w:r>
        <w:instrText xml:space="preserve"> PAGEREF _Toc8155 \h </w:instrText>
      </w:r>
      <w:r>
        <w:fldChar w:fldCharType="separate"/>
      </w:r>
      <w:r>
        <w:t>2</w:t>
      </w:r>
      <w:r>
        <w:fldChar w:fldCharType="end"/>
      </w:r>
      <w:r>
        <w:rPr>
          <w:rFonts w:hint="eastAsia"/>
        </w:rPr>
        <w:fldChar w:fldCharType="end"/>
      </w:r>
    </w:p>
    <w:p w14:paraId="5309883C">
      <w:pPr>
        <w:pStyle w:val="22"/>
        <w:tabs>
          <w:tab w:val="right" w:leader="dot" w:pos="9071"/>
        </w:tabs>
      </w:pPr>
      <w:r>
        <w:rPr>
          <w:rFonts w:hint="eastAsia"/>
        </w:rPr>
        <w:fldChar w:fldCharType="begin"/>
      </w:r>
      <w:r>
        <w:rPr>
          <w:rFonts w:hint="eastAsia"/>
        </w:rPr>
        <w:instrText xml:space="preserve"> HYPERLINK \l _Toc3857 </w:instrText>
      </w:r>
      <w:r>
        <w:rPr>
          <w:rFonts w:hint="eastAsia"/>
        </w:rPr>
        <w:fldChar w:fldCharType="separate"/>
      </w:r>
      <w:r>
        <w:rPr>
          <w:rFonts w:hint="eastAsia"/>
        </w:rPr>
        <w:t>（三）</w:t>
      </w:r>
      <w:r>
        <w:rPr>
          <w:rFonts w:hint="eastAsia"/>
          <w:lang w:val="en-US" w:eastAsia="zh-CN"/>
        </w:rPr>
        <w:t>研究方法与创新点</w:t>
      </w:r>
      <w:r>
        <w:tab/>
      </w:r>
      <w:r>
        <w:fldChar w:fldCharType="begin"/>
      </w:r>
      <w:r>
        <w:instrText xml:space="preserve"> PAGEREF _Toc3857 \h </w:instrText>
      </w:r>
      <w:r>
        <w:fldChar w:fldCharType="separate"/>
      </w:r>
      <w:r>
        <w:t>4</w:t>
      </w:r>
      <w:r>
        <w:fldChar w:fldCharType="end"/>
      </w:r>
      <w:r>
        <w:rPr>
          <w:rFonts w:hint="eastAsia"/>
        </w:rPr>
        <w:fldChar w:fldCharType="end"/>
      </w:r>
    </w:p>
    <w:p w14:paraId="5F6AB9A2">
      <w:pPr>
        <w:pStyle w:val="12"/>
        <w:tabs>
          <w:tab w:val="right" w:leader="dot" w:pos="9071"/>
        </w:tabs>
      </w:pPr>
      <w:r>
        <w:rPr>
          <w:rFonts w:hint="eastAsia"/>
        </w:rPr>
        <w:fldChar w:fldCharType="begin"/>
      </w:r>
      <w:r>
        <w:rPr>
          <w:rFonts w:hint="eastAsia"/>
        </w:rPr>
        <w:instrText xml:space="preserve"> HYPERLINK \l _Toc17035 </w:instrText>
      </w:r>
      <w:r>
        <w:rPr>
          <w:rFonts w:hint="eastAsia"/>
        </w:rPr>
        <w:fldChar w:fldCharType="separate"/>
      </w:r>
      <w:r>
        <w:rPr>
          <w:rFonts w:hint="eastAsia"/>
          <w:lang w:val="en-US" w:eastAsia="zh-CN"/>
        </w:rPr>
        <w:t>1</w:t>
      </w:r>
      <w:r>
        <w:rPr>
          <w:rFonts w:hint="eastAsia"/>
        </w:rPr>
        <w:t>.</w:t>
      </w:r>
      <w:r>
        <w:rPr>
          <w:rFonts w:hint="eastAsia"/>
          <w:lang w:val="en-US" w:eastAsia="zh-CN"/>
        </w:rPr>
        <w:t>研究方法</w:t>
      </w:r>
      <w:r>
        <w:tab/>
      </w:r>
      <w:r>
        <w:fldChar w:fldCharType="begin"/>
      </w:r>
      <w:r>
        <w:instrText xml:space="preserve"> PAGEREF _Toc17035 \h </w:instrText>
      </w:r>
      <w:r>
        <w:fldChar w:fldCharType="separate"/>
      </w:r>
      <w:r>
        <w:t>4</w:t>
      </w:r>
      <w:r>
        <w:fldChar w:fldCharType="end"/>
      </w:r>
      <w:r>
        <w:rPr>
          <w:rFonts w:hint="eastAsia"/>
        </w:rPr>
        <w:fldChar w:fldCharType="end"/>
      </w:r>
    </w:p>
    <w:p w14:paraId="5DFB90A0">
      <w:pPr>
        <w:pStyle w:val="12"/>
        <w:tabs>
          <w:tab w:val="right" w:leader="dot" w:pos="9071"/>
        </w:tabs>
      </w:pPr>
      <w:r>
        <w:rPr>
          <w:rFonts w:hint="eastAsia"/>
        </w:rPr>
        <w:fldChar w:fldCharType="begin"/>
      </w:r>
      <w:r>
        <w:rPr>
          <w:rFonts w:hint="eastAsia"/>
        </w:rPr>
        <w:instrText xml:space="preserve"> HYPERLINK \l _Toc7294 </w:instrText>
      </w:r>
      <w:r>
        <w:rPr>
          <w:rFonts w:hint="eastAsia"/>
        </w:rPr>
        <w:fldChar w:fldCharType="separate"/>
      </w:r>
      <w:r>
        <w:rPr>
          <w:rFonts w:hint="eastAsia"/>
        </w:rPr>
        <w:t>2.创新</w:t>
      </w:r>
      <w:r>
        <w:rPr>
          <w:rFonts w:hint="eastAsia"/>
          <w:lang w:val="en-US" w:eastAsia="zh-CN"/>
        </w:rPr>
        <w:t>点</w:t>
      </w:r>
      <w:r>
        <w:tab/>
      </w:r>
      <w:r>
        <w:fldChar w:fldCharType="begin"/>
      </w:r>
      <w:r>
        <w:instrText xml:space="preserve"> PAGEREF _Toc7294 \h </w:instrText>
      </w:r>
      <w:r>
        <w:fldChar w:fldCharType="separate"/>
      </w:r>
      <w:r>
        <w:t>5</w:t>
      </w:r>
      <w:r>
        <w:fldChar w:fldCharType="end"/>
      </w:r>
      <w:r>
        <w:rPr>
          <w:rFonts w:hint="eastAsia"/>
        </w:rPr>
        <w:fldChar w:fldCharType="end"/>
      </w:r>
    </w:p>
    <w:p w14:paraId="39338B6C">
      <w:pPr>
        <w:pStyle w:val="18"/>
        <w:tabs>
          <w:tab w:val="right" w:leader="dot" w:pos="9071"/>
        </w:tabs>
      </w:pPr>
      <w:r>
        <w:rPr>
          <w:rFonts w:hint="eastAsia"/>
        </w:rPr>
        <w:fldChar w:fldCharType="begin"/>
      </w:r>
      <w:r>
        <w:rPr>
          <w:rFonts w:hint="eastAsia"/>
        </w:rPr>
        <w:instrText xml:space="preserve"> HYPERLINK \l _Toc2674 </w:instrText>
      </w:r>
      <w:r>
        <w:rPr>
          <w:rFonts w:hint="eastAsia"/>
        </w:rPr>
        <w:fldChar w:fldCharType="separate"/>
      </w:r>
      <w:r>
        <w:rPr>
          <w:rFonts w:hint="eastAsia"/>
        </w:rPr>
        <w:t>二</w:t>
      </w:r>
      <w:r>
        <w:rPr>
          <w:rFonts w:hint="eastAsia"/>
          <w:lang w:val="en-US"/>
        </w:rPr>
        <w:t>、 物业服务合同纠纷预防机制的基础与观察思路</w:t>
      </w:r>
      <w:r>
        <w:tab/>
      </w:r>
      <w:r>
        <w:fldChar w:fldCharType="begin"/>
      </w:r>
      <w:r>
        <w:instrText xml:space="preserve"> PAGEREF _Toc2674 \h </w:instrText>
      </w:r>
      <w:r>
        <w:fldChar w:fldCharType="separate"/>
      </w:r>
      <w:r>
        <w:t>5</w:t>
      </w:r>
      <w:r>
        <w:fldChar w:fldCharType="end"/>
      </w:r>
      <w:r>
        <w:rPr>
          <w:rFonts w:hint="eastAsia"/>
        </w:rPr>
        <w:fldChar w:fldCharType="end"/>
      </w:r>
    </w:p>
    <w:p w14:paraId="5FAB352C">
      <w:pPr>
        <w:pStyle w:val="22"/>
        <w:tabs>
          <w:tab w:val="right" w:leader="dot" w:pos="9071"/>
        </w:tabs>
      </w:pPr>
      <w:r>
        <w:rPr>
          <w:rFonts w:hint="eastAsia"/>
        </w:rPr>
        <w:fldChar w:fldCharType="begin"/>
      </w:r>
      <w:r>
        <w:rPr>
          <w:rFonts w:hint="eastAsia"/>
        </w:rPr>
        <w:instrText xml:space="preserve"> HYPERLINK \l _Toc611 </w:instrText>
      </w:r>
      <w:r>
        <w:rPr>
          <w:rFonts w:hint="eastAsia"/>
        </w:rPr>
        <w:fldChar w:fldCharType="separate"/>
      </w:r>
      <w:r>
        <w:rPr>
          <w:rFonts w:hint="eastAsia"/>
          <w:lang w:val="en-US" w:eastAsia="zh-CN"/>
        </w:rPr>
        <w:t xml:space="preserve">(一) </w:t>
      </w:r>
      <w:r>
        <w:rPr>
          <w:rFonts w:hint="eastAsia"/>
        </w:rPr>
        <w:t>物业服务合同纠纷预防的基本依据</w:t>
      </w:r>
      <w:r>
        <w:tab/>
      </w:r>
      <w:r>
        <w:fldChar w:fldCharType="begin"/>
      </w:r>
      <w:r>
        <w:instrText xml:space="preserve"> PAGEREF _Toc611 \h </w:instrText>
      </w:r>
      <w:r>
        <w:fldChar w:fldCharType="separate"/>
      </w:r>
      <w:r>
        <w:t>6</w:t>
      </w:r>
      <w:r>
        <w:fldChar w:fldCharType="end"/>
      </w:r>
      <w:r>
        <w:rPr>
          <w:rFonts w:hint="eastAsia"/>
        </w:rPr>
        <w:fldChar w:fldCharType="end"/>
      </w:r>
    </w:p>
    <w:p w14:paraId="42CD2078">
      <w:pPr>
        <w:pStyle w:val="12"/>
        <w:tabs>
          <w:tab w:val="right" w:leader="dot" w:pos="9071"/>
        </w:tabs>
      </w:pPr>
      <w:r>
        <w:rPr>
          <w:rFonts w:hint="eastAsia"/>
        </w:rPr>
        <w:fldChar w:fldCharType="begin"/>
      </w:r>
      <w:r>
        <w:rPr>
          <w:rFonts w:hint="eastAsia"/>
        </w:rPr>
        <w:instrText xml:space="preserve"> HYPERLINK \l _Toc30103 </w:instrText>
      </w:r>
      <w:r>
        <w:rPr>
          <w:rFonts w:hint="eastAsia"/>
        </w:rPr>
        <w:fldChar w:fldCharType="separate"/>
      </w:r>
      <w:r>
        <w:rPr>
          <w:rFonts w:hint="eastAsia"/>
        </w:rPr>
        <w:t>1. 物业服务合同的持续履行特征</w:t>
      </w:r>
      <w:r>
        <w:tab/>
      </w:r>
      <w:r>
        <w:fldChar w:fldCharType="begin"/>
      </w:r>
      <w:r>
        <w:instrText xml:space="preserve"> PAGEREF _Toc30103 \h </w:instrText>
      </w:r>
      <w:r>
        <w:fldChar w:fldCharType="separate"/>
      </w:r>
      <w:r>
        <w:t>6</w:t>
      </w:r>
      <w:r>
        <w:fldChar w:fldCharType="end"/>
      </w:r>
      <w:r>
        <w:rPr>
          <w:rFonts w:hint="eastAsia"/>
        </w:rPr>
        <w:fldChar w:fldCharType="end"/>
      </w:r>
    </w:p>
    <w:p w14:paraId="04738889">
      <w:pPr>
        <w:pStyle w:val="12"/>
        <w:tabs>
          <w:tab w:val="right" w:leader="dot" w:pos="9071"/>
        </w:tabs>
      </w:pPr>
      <w:r>
        <w:rPr>
          <w:rFonts w:hint="eastAsia"/>
        </w:rPr>
        <w:fldChar w:fldCharType="begin"/>
      </w:r>
      <w:r>
        <w:rPr>
          <w:rFonts w:hint="eastAsia"/>
        </w:rPr>
        <w:instrText xml:space="preserve"> HYPERLINK \l _Toc27028 </w:instrText>
      </w:r>
      <w:r>
        <w:rPr>
          <w:rFonts w:hint="eastAsia"/>
        </w:rPr>
        <w:fldChar w:fldCharType="separate"/>
      </w:r>
      <w:r>
        <w:rPr>
          <w:rFonts w:hint="eastAsia"/>
        </w:rPr>
        <w:t>2. 物业服务人的说明与公开义务</w:t>
      </w:r>
      <w:r>
        <w:tab/>
      </w:r>
      <w:r>
        <w:fldChar w:fldCharType="begin"/>
      </w:r>
      <w:r>
        <w:instrText xml:space="preserve"> PAGEREF _Toc27028 \h </w:instrText>
      </w:r>
      <w:r>
        <w:fldChar w:fldCharType="separate"/>
      </w:r>
      <w:r>
        <w:t>6</w:t>
      </w:r>
      <w:r>
        <w:fldChar w:fldCharType="end"/>
      </w:r>
      <w:r>
        <w:rPr>
          <w:rFonts w:hint="eastAsia"/>
        </w:rPr>
        <w:fldChar w:fldCharType="end"/>
      </w:r>
    </w:p>
    <w:p w14:paraId="710E2F5E">
      <w:pPr>
        <w:pStyle w:val="12"/>
        <w:tabs>
          <w:tab w:val="right" w:leader="dot" w:pos="9071"/>
        </w:tabs>
      </w:pPr>
      <w:r>
        <w:rPr>
          <w:rFonts w:hint="eastAsia"/>
        </w:rPr>
        <w:fldChar w:fldCharType="begin"/>
      </w:r>
      <w:r>
        <w:rPr>
          <w:rFonts w:hint="eastAsia"/>
        </w:rPr>
        <w:instrText xml:space="preserve"> HYPERLINK \l _Toc18628 </w:instrText>
      </w:r>
      <w:r>
        <w:rPr>
          <w:rFonts w:hint="eastAsia"/>
        </w:rPr>
        <w:fldChar w:fldCharType="separate"/>
      </w:r>
      <w:r>
        <w:rPr>
          <w:rFonts w:hint="eastAsia"/>
        </w:rPr>
        <w:t>3. 纠纷前端预防的必要性</w:t>
      </w:r>
      <w:r>
        <w:tab/>
      </w:r>
      <w:r>
        <w:fldChar w:fldCharType="begin"/>
      </w:r>
      <w:r>
        <w:instrText xml:space="preserve"> PAGEREF _Toc18628 \h </w:instrText>
      </w:r>
      <w:r>
        <w:fldChar w:fldCharType="separate"/>
      </w:r>
      <w:r>
        <w:t>6</w:t>
      </w:r>
      <w:r>
        <w:fldChar w:fldCharType="end"/>
      </w:r>
      <w:r>
        <w:rPr>
          <w:rFonts w:hint="eastAsia"/>
        </w:rPr>
        <w:fldChar w:fldCharType="end"/>
      </w:r>
    </w:p>
    <w:p w14:paraId="28E972DA">
      <w:pPr>
        <w:pStyle w:val="22"/>
        <w:tabs>
          <w:tab w:val="right" w:leader="dot" w:pos="9071"/>
        </w:tabs>
      </w:pPr>
      <w:r>
        <w:rPr>
          <w:rFonts w:hint="eastAsia"/>
        </w:rPr>
        <w:fldChar w:fldCharType="begin"/>
      </w:r>
      <w:r>
        <w:rPr>
          <w:rFonts w:hint="eastAsia"/>
        </w:rPr>
        <w:instrText xml:space="preserve"> HYPERLINK \l _Toc19950 </w:instrText>
      </w:r>
      <w:r>
        <w:rPr>
          <w:rFonts w:hint="eastAsia"/>
        </w:rPr>
        <w:fldChar w:fldCharType="separate"/>
      </w:r>
      <w:r>
        <w:rPr>
          <w:rFonts w:hint="eastAsia"/>
        </w:rPr>
        <w:t>（二）</w:t>
      </w:r>
      <w:r>
        <w:rPr>
          <w:rFonts w:hint="eastAsia"/>
          <w:lang w:val="en-US" w:eastAsia="zh-CN"/>
        </w:rPr>
        <w:t>本文的</w:t>
      </w:r>
      <w:r>
        <w:rPr>
          <w:rFonts w:hint="eastAsia"/>
        </w:rPr>
        <w:t>观察思路</w:t>
      </w:r>
      <w:r>
        <w:tab/>
      </w:r>
      <w:r>
        <w:fldChar w:fldCharType="begin"/>
      </w:r>
      <w:r>
        <w:instrText xml:space="preserve"> PAGEREF _Toc19950 \h </w:instrText>
      </w:r>
      <w:r>
        <w:fldChar w:fldCharType="separate"/>
      </w:r>
      <w:r>
        <w:t>7</w:t>
      </w:r>
      <w:r>
        <w:fldChar w:fldCharType="end"/>
      </w:r>
      <w:r>
        <w:rPr>
          <w:rFonts w:hint="eastAsia"/>
        </w:rPr>
        <w:fldChar w:fldCharType="end"/>
      </w:r>
    </w:p>
    <w:p w14:paraId="765EAC0D">
      <w:pPr>
        <w:pStyle w:val="18"/>
        <w:tabs>
          <w:tab w:val="right" w:leader="dot" w:pos="9071"/>
        </w:tabs>
      </w:pPr>
      <w:r>
        <w:rPr>
          <w:rFonts w:hint="eastAsia"/>
        </w:rPr>
        <w:fldChar w:fldCharType="begin"/>
      </w:r>
      <w:r>
        <w:rPr>
          <w:rFonts w:hint="eastAsia"/>
        </w:rPr>
        <w:instrText xml:space="preserve"> HYPERLINK \l _Toc6576 </w:instrText>
      </w:r>
      <w:r>
        <w:rPr>
          <w:rFonts w:hint="eastAsia"/>
        </w:rPr>
        <w:fldChar w:fldCharType="separate"/>
      </w:r>
      <w:r>
        <w:rPr>
          <w:rFonts w:hint="eastAsia"/>
        </w:rPr>
        <w:t>三、</w:t>
      </w:r>
      <w:r>
        <w:rPr>
          <w:rFonts w:hint="eastAsia"/>
          <w:lang w:val="en-US"/>
        </w:rPr>
        <w:t xml:space="preserve"> 100</w:t>
      </w:r>
      <w:r>
        <w:rPr>
          <w:rFonts w:hint="eastAsia"/>
          <w:lang w:val="en-US" w:eastAsia="zh-CN"/>
        </w:rPr>
        <w:t>份裁判文书反映的物业服务合同纠纷风险点及预防机制缺失</w:t>
      </w:r>
      <w:r>
        <w:tab/>
      </w:r>
      <w:r>
        <w:fldChar w:fldCharType="begin"/>
      </w:r>
      <w:r>
        <w:instrText xml:space="preserve"> PAGEREF _Toc6576 \h </w:instrText>
      </w:r>
      <w:r>
        <w:fldChar w:fldCharType="separate"/>
      </w:r>
      <w:r>
        <w:t>8</w:t>
      </w:r>
      <w:r>
        <w:fldChar w:fldCharType="end"/>
      </w:r>
      <w:r>
        <w:rPr>
          <w:rFonts w:hint="eastAsia"/>
        </w:rPr>
        <w:fldChar w:fldCharType="end"/>
      </w:r>
    </w:p>
    <w:p w14:paraId="2A0FA62A">
      <w:pPr>
        <w:pStyle w:val="22"/>
        <w:tabs>
          <w:tab w:val="right" w:leader="dot" w:pos="9071"/>
        </w:tabs>
      </w:pPr>
      <w:r>
        <w:rPr>
          <w:rFonts w:hint="eastAsia"/>
        </w:rPr>
        <w:fldChar w:fldCharType="begin"/>
      </w:r>
      <w:r>
        <w:rPr>
          <w:rFonts w:hint="eastAsia"/>
        </w:rPr>
        <w:instrText xml:space="preserve"> HYPERLINK \l _Toc6742 </w:instrText>
      </w:r>
      <w:r>
        <w:rPr>
          <w:rFonts w:hint="eastAsia"/>
        </w:rPr>
        <w:fldChar w:fldCharType="separate"/>
      </w:r>
      <w:r>
        <w:rPr>
          <w:rFonts w:hint="eastAsia"/>
        </w:rPr>
        <w:t>（一</w:t>
      </w:r>
      <w:r>
        <w:rPr>
          <w:rFonts w:hint="eastAsia"/>
          <w:lang w:val="en-US" w:eastAsia="zh-CN"/>
        </w:rPr>
        <w:t>)</w:t>
      </w:r>
      <w:r>
        <w:rPr>
          <w:rFonts w:hint="eastAsia"/>
        </w:rPr>
        <w:t>样本来源</w:t>
      </w:r>
      <w:r>
        <w:tab/>
      </w:r>
      <w:r>
        <w:fldChar w:fldCharType="begin"/>
      </w:r>
      <w:r>
        <w:instrText xml:space="preserve"> PAGEREF _Toc6742 \h </w:instrText>
      </w:r>
      <w:r>
        <w:fldChar w:fldCharType="separate"/>
      </w:r>
      <w:r>
        <w:t>8</w:t>
      </w:r>
      <w:r>
        <w:fldChar w:fldCharType="end"/>
      </w:r>
      <w:r>
        <w:rPr>
          <w:rFonts w:hint="eastAsia"/>
        </w:rPr>
        <w:fldChar w:fldCharType="end"/>
      </w:r>
    </w:p>
    <w:p w14:paraId="41C223E8">
      <w:pPr>
        <w:pStyle w:val="22"/>
        <w:tabs>
          <w:tab w:val="right" w:leader="dot" w:pos="9071"/>
        </w:tabs>
      </w:pPr>
      <w:r>
        <w:rPr>
          <w:rFonts w:hint="eastAsia"/>
        </w:rPr>
        <w:fldChar w:fldCharType="begin"/>
      </w:r>
      <w:r>
        <w:rPr>
          <w:rFonts w:hint="eastAsia"/>
        </w:rPr>
        <w:instrText xml:space="preserve"> HYPERLINK \l _Toc19347 </w:instrText>
      </w:r>
      <w:r>
        <w:rPr>
          <w:rFonts w:hint="eastAsia"/>
        </w:rPr>
        <w:fldChar w:fldCharType="separate"/>
      </w:r>
      <w:r>
        <w:rPr>
          <w:rFonts w:hint="eastAsia"/>
          <w:lang w:eastAsia="zh-CN"/>
        </w:rPr>
        <w:t>（</w:t>
      </w:r>
      <w:r>
        <w:rPr>
          <w:rFonts w:hint="eastAsia"/>
          <w:lang w:val="en-US" w:eastAsia="zh-CN"/>
        </w:rPr>
        <w:t>二</w:t>
      </w:r>
      <w:r>
        <w:rPr>
          <w:rFonts w:hint="eastAsia"/>
          <w:lang w:eastAsia="zh-CN"/>
        </w:rPr>
        <w:t>）</w:t>
      </w:r>
      <w:r>
        <w:rPr>
          <w:rFonts w:hint="default"/>
        </w:rPr>
        <w:t>样本基本分布特征</w:t>
      </w:r>
      <w:r>
        <w:tab/>
      </w:r>
      <w:r>
        <w:fldChar w:fldCharType="begin"/>
      </w:r>
      <w:r>
        <w:instrText xml:space="preserve"> PAGEREF _Toc19347 \h </w:instrText>
      </w:r>
      <w:r>
        <w:fldChar w:fldCharType="separate"/>
      </w:r>
      <w:r>
        <w:t>8</w:t>
      </w:r>
      <w:r>
        <w:fldChar w:fldCharType="end"/>
      </w:r>
      <w:r>
        <w:rPr>
          <w:rFonts w:hint="eastAsia"/>
        </w:rPr>
        <w:fldChar w:fldCharType="end"/>
      </w:r>
    </w:p>
    <w:p w14:paraId="17B949EB">
      <w:pPr>
        <w:pStyle w:val="22"/>
        <w:tabs>
          <w:tab w:val="right" w:leader="dot" w:pos="9071"/>
        </w:tabs>
      </w:pPr>
      <w:r>
        <w:rPr>
          <w:rFonts w:hint="eastAsia"/>
        </w:rPr>
        <w:fldChar w:fldCharType="begin"/>
      </w:r>
      <w:r>
        <w:rPr>
          <w:rFonts w:hint="eastAsia"/>
        </w:rPr>
        <w:instrText xml:space="preserve"> HYPERLINK \l _Toc16767 </w:instrText>
      </w:r>
      <w:r>
        <w:rPr>
          <w:rFonts w:hint="eastAsia"/>
        </w:rPr>
        <w:fldChar w:fldCharType="separate"/>
      </w:r>
      <w:r>
        <w:rPr>
          <w:rFonts w:hint="default"/>
        </w:rPr>
        <w:t>（三）纠纷类型分布与主要争点</w:t>
      </w:r>
      <w:r>
        <w:tab/>
      </w:r>
      <w:r>
        <w:fldChar w:fldCharType="begin"/>
      </w:r>
      <w:r>
        <w:instrText xml:space="preserve"> PAGEREF _Toc16767 \h </w:instrText>
      </w:r>
      <w:r>
        <w:fldChar w:fldCharType="separate"/>
      </w:r>
      <w:r>
        <w:t>10</w:t>
      </w:r>
      <w:r>
        <w:fldChar w:fldCharType="end"/>
      </w:r>
      <w:r>
        <w:rPr>
          <w:rFonts w:hint="eastAsia"/>
        </w:rPr>
        <w:fldChar w:fldCharType="end"/>
      </w:r>
    </w:p>
    <w:p w14:paraId="276FFFD7">
      <w:pPr>
        <w:pStyle w:val="22"/>
        <w:tabs>
          <w:tab w:val="right" w:leader="dot" w:pos="9071"/>
        </w:tabs>
      </w:pPr>
      <w:r>
        <w:rPr>
          <w:rFonts w:hint="eastAsia"/>
        </w:rPr>
        <w:fldChar w:fldCharType="begin"/>
      </w:r>
      <w:r>
        <w:rPr>
          <w:rFonts w:hint="eastAsia"/>
        </w:rPr>
        <w:instrText xml:space="preserve"> HYPERLINK \l _Toc6466 </w:instrText>
      </w:r>
      <w:r>
        <w:rPr>
          <w:rFonts w:hint="eastAsia"/>
        </w:rPr>
        <w:fldChar w:fldCharType="separate"/>
      </w:r>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r>
        <w:tab/>
      </w:r>
      <w:r>
        <w:fldChar w:fldCharType="begin"/>
      </w:r>
      <w:r>
        <w:instrText xml:space="preserve"> PAGEREF _Toc6466 \h </w:instrText>
      </w:r>
      <w:r>
        <w:fldChar w:fldCharType="separate"/>
      </w:r>
      <w:r>
        <w:t>11</w:t>
      </w:r>
      <w:r>
        <w:fldChar w:fldCharType="end"/>
      </w:r>
      <w:r>
        <w:rPr>
          <w:rFonts w:hint="eastAsia"/>
        </w:rPr>
        <w:fldChar w:fldCharType="end"/>
      </w:r>
    </w:p>
    <w:p w14:paraId="5B8C5675">
      <w:pPr>
        <w:pStyle w:val="22"/>
        <w:tabs>
          <w:tab w:val="right" w:leader="dot" w:pos="9071"/>
        </w:tabs>
      </w:pPr>
      <w:r>
        <w:rPr>
          <w:rFonts w:hint="eastAsia"/>
        </w:rPr>
        <w:fldChar w:fldCharType="begin"/>
      </w:r>
      <w:r>
        <w:rPr>
          <w:rFonts w:hint="eastAsia"/>
        </w:rPr>
        <w:instrText xml:space="preserve"> HYPERLINK \l _Toc8722 </w:instrText>
      </w:r>
      <w:r>
        <w:rPr>
          <w:rFonts w:hint="eastAsia"/>
        </w:rPr>
        <w:fldChar w:fldCharType="separate"/>
      </w:r>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r>
        <w:tab/>
      </w:r>
      <w:r>
        <w:fldChar w:fldCharType="begin"/>
      </w:r>
      <w:r>
        <w:instrText xml:space="preserve"> PAGEREF _Toc8722 \h </w:instrText>
      </w:r>
      <w:r>
        <w:fldChar w:fldCharType="separate"/>
      </w:r>
      <w:r>
        <w:t>13</w:t>
      </w:r>
      <w:r>
        <w:fldChar w:fldCharType="end"/>
      </w:r>
      <w:r>
        <w:rPr>
          <w:rFonts w:hint="eastAsia"/>
        </w:rPr>
        <w:fldChar w:fldCharType="end"/>
      </w:r>
    </w:p>
    <w:p w14:paraId="4F4C1CEF">
      <w:pPr>
        <w:pStyle w:val="22"/>
        <w:tabs>
          <w:tab w:val="right" w:leader="dot" w:pos="9071"/>
        </w:tabs>
      </w:pPr>
      <w:r>
        <w:rPr>
          <w:rFonts w:hint="eastAsia"/>
        </w:rPr>
        <w:fldChar w:fldCharType="begin"/>
      </w:r>
      <w:r>
        <w:rPr>
          <w:rFonts w:hint="eastAsia"/>
        </w:rPr>
        <w:instrText xml:space="preserve"> HYPERLINK \l _Toc24902 </w:instrText>
      </w:r>
      <w:r>
        <w:rPr>
          <w:rFonts w:hint="eastAsia"/>
        </w:rPr>
        <w:fldChar w:fldCharType="separate"/>
      </w:r>
      <w:r>
        <w:rPr>
          <w:rFonts w:hint="eastAsia"/>
          <w:lang w:eastAsia="zh-CN"/>
        </w:rPr>
        <w:t>（六）</w:t>
      </w:r>
      <w:r>
        <w:rPr>
          <w:rFonts w:hint="eastAsia"/>
          <w:lang w:val="en-US" w:eastAsia="zh-CN"/>
        </w:rPr>
        <w:t>争议显现阶段：</w:t>
      </w:r>
      <w:r>
        <w:rPr>
          <w:rFonts w:hint="eastAsia"/>
          <w:lang w:eastAsia="zh-CN"/>
        </w:rPr>
        <w:t>异议处理和协商程序不足</w:t>
      </w:r>
      <w:r>
        <w:tab/>
      </w:r>
      <w:r>
        <w:fldChar w:fldCharType="begin"/>
      </w:r>
      <w:r>
        <w:instrText xml:space="preserve"> PAGEREF _Toc24902 \h </w:instrText>
      </w:r>
      <w:r>
        <w:fldChar w:fldCharType="separate"/>
      </w:r>
      <w:r>
        <w:t>15</w:t>
      </w:r>
      <w:r>
        <w:fldChar w:fldCharType="end"/>
      </w:r>
      <w:r>
        <w:rPr>
          <w:rFonts w:hint="eastAsia"/>
        </w:rPr>
        <w:fldChar w:fldCharType="end"/>
      </w:r>
    </w:p>
    <w:p w14:paraId="7B01B20E">
      <w:pPr>
        <w:pStyle w:val="18"/>
        <w:tabs>
          <w:tab w:val="right" w:leader="dot" w:pos="9071"/>
        </w:tabs>
      </w:pPr>
      <w:r>
        <w:rPr>
          <w:rFonts w:hint="eastAsia"/>
        </w:rPr>
        <w:fldChar w:fldCharType="begin"/>
      </w:r>
      <w:r>
        <w:rPr>
          <w:rFonts w:hint="eastAsia"/>
        </w:rPr>
        <w:instrText xml:space="preserve"> HYPERLINK \l _Toc14577 </w:instrText>
      </w:r>
      <w:r>
        <w:rPr>
          <w:rFonts w:hint="eastAsia"/>
        </w:rPr>
        <w:fldChar w:fldCharType="separate"/>
      </w:r>
      <w:r>
        <w:rPr>
          <w:rFonts w:hint="eastAsia"/>
          <w:lang w:val="en-US" w:eastAsia="zh-CN"/>
        </w:rPr>
        <w:t xml:space="preserve">四、 </w:t>
      </w:r>
      <w:r>
        <w:rPr>
          <w:rFonts w:hint="eastAsia"/>
        </w:rPr>
        <w:t>物业服务合同纠纷预防机制的完善</w:t>
      </w:r>
      <w:r>
        <w:rPr>
          <w:rFonts w:hint="eastAsia"/>
          <w:lang w:val="en-US" w:eastAsia="zh-CN"/>
        </w:rPr>
        <w:t>对策</w:t>
      </w:r>
      <w:r>
        <w:tab/>
      </w:r>
      <w:r>
        <w:fldChar w:fldCharType="begin"/>
      </w:r>
      <w:r>
        <w:instrText xml:space="preserve"> PAGEREF _Toc14577 \h </w:instrText>
      </w:r>
      <w:r>
        <w:fldChar w:fldCharType="separate"/>
      </w:r>
      <w:r>
        <w:t>17</w:t>
      </w:r>
      <w:r>
        <w:fldChar w:fldCharType="end"/>
      </w:r>
      <w:r>
        <w:rPr>
          <w:rFonts w:hint="eastAsia"/>
        </w:rPr>
        <w:fldChar w:fldCharType="end"/>
      </w:r>
    </w:p>
    <w:p w14:paraId="4B86C768">
      <w:pPr>
        <w:pStyle w:val="22"/>
        <w:tabs>
          <w:tab w:val="right" w:leader="dot" w:pos="9071"/>
        </w:tabs>
      </w:pPr>
      <w:r>
        <w:rPr>
          <w:rFonts w:hint="eastAsia"/>
        </w:rPr>
        <w:fldChar w:fldCharType="begin"/>
      </w:r>
      <w:r>
        <w:rPr>
          <w:rFonts w:hint="eastAsia"/>
        </w:rPr>
        <w:instrText xml:space="preserve"> HYPERLINK \l _Toc19336 </w:instrText>
      </w:r>
      <w:r>
        <w:rPr>
          <w:rFonts w:hint="eastAsia"/>
        </w:rPr>
        <w:fldChar w:fldCharType="separate"/>
      </w:r>
      <w:r>
        <w:rPr>
          <w:rFonts w:hint="eastAsia"/>
          <w:lang w:val="en-US" w:eastAsia="zh-CN"/>
        </w:rPr>
        <w:t>（一）明确收费标准和计费规则</w:t>
      </w:r>
      <w:r>
        <w:tab/>
      </w:r>
      <w:r>
        <w:fldChar w:fldCharType="begin"/>
      </w:r>
      <w:r>
        <w:instrText xml:space="preserve"> PAGEREF _Toc19336 \h </w:instrText>
      </w:r>
      <w:r>
        <w:fldChar w:fldCharType="separate"/>
      </w:r>
      <w:r>
        <w:t>17</w:t>
      </w:r>
      <w:r>
        <w:fldChar w:fldCharType="end"/>
      </w:r>
      <w:r>
        <w:rPr>
          <w:rFonts w:hint="eastAsia"/>
        </w:rPr>
        <w:fldChar w:fldCharType="end"/>
      </w:r>
    </w:p>
    <w:p w14:paraId="4D2E3869">
      <w:pPr>
        <w:pStyle w:val="22"/>
        <w:tabs>
          <w:tab w:val="right" w:leader="dot" w:pos="9071"/>
        </w:tabs>
      </w:pPr>
      <w:r>
        <w:rPr>
          <w:rFonts w:hint="eastAsia"/>
        </w:rPr>
        <w:fldChar w:fldCharType="begin"/>
      </w:r>
      <w:r>
        <w:rPr>
          <w:rFonts w:hint="eastAsia"/>
        </w:rPr>
        <w:instrText xml:space="preserve"> HYPERLINK \l _Toc31400 </w:instrText>
      </w:r>
      <w:r>
        <w:rPr>
          <w:rFonts w:hint="eastAsia"/>
        </w:rPr>
        <w:fldChar w:fldCharType="separate"/>
      </w:r>
      <w:r>
        <w:rPr>
          <w:rFonts w:hint="eastAsia"/>
          <w:lang w:val="en-US" w:eastAsia="zh-CN"/>
        </w:rPr>
        <w:t>（二）强化服务信息和费用信息公开</w:t>
      </w:r>
      <w:r>
        <w:tab/>
      </w:r>
      <w:r>
        <w:fldChar w:fldCharType="begin"/>
      </w:r>
      <w:r>
        <w:instrText xml:space="preserve"> PAGEREF _Toc31400 \h </w:instrText>
      </w:r>
      <w:r>
        <w:fldChar w:fldCharType="separate"/>
      </w:r>
      <w:r>
        <w:t>18</w:t>
      </w:r>
      <w:r>
        <w:fldChar w:fldCharType="end"/>
      </w:r>
      <w:r>
        <w:rPr>
          <w:rFonts w:hint="eastAsia"/>
        </w:rPr>
        <w:fldChar w:fldCharType="end"/>
      </w:r>
    </w:p>
    <w:p w14:paraId="64D7EB61">
      <w:pPr>
        <w:pStyle w:val="22"/>
        <w:tabs>
          <w:tab w:val="right" w:leader="dot" w:pos="9071"/>
        </w:tabs>
      </w:pPr>
      <w:r>
        <w:rPr>
          <w:rFonts w:hint="eastAsia"/>
        </w:rPr>
        <w:fldChar w:fldCharType="begin"/>
      </w:r>
      <w:r>
        <w:rPr>
          <w:rFonts w:hint="eastAsia"/>
        </w:rPr>
        <w:instrText xml:space="preserve"> HYPERLINK \l _Toc23949 </w:instrText>
      </w:r>
      <w:r>
        <w:rPr>
          <w:rFonts w:hint="eastAsia"/>
        </w:rPr>
        <w:fldChar w:fldCharType="separate"/>
      </w:r>
      <w:r>
        <w:rPr>
          <w:rFonts w:hint="eastAsia"/>
          <w:lang w:val="en-US" w:eastAsia="zh-CN"/>
        </w:rPr>
        <w:t>（三）完善异议受理和协商调解程序</w:t>
      </w:r>
      <w:r>
        <w:tab/>
      </w:r>
      <w:r>
        <w:fldChar w:fldCharType="begin"/>
      </w:r>
      <w:r>
        <w:instrText xml:space="preserve"> PAGEREF _Toc23949 \h </w:instrText>
      </w:r>
      <w:r>
        <w:fldChar w:fldCharType="separate"/>
      </w:r>
      <w:r>
        <w:t>19</w:t>
      </w:r>
      <w:r>
        <w:fldChar w:fldCharType="end"/>
      </w:r>
      <w:r>
        <w:rPr>
          <w:rFonts w:hint="eastAsia"/>
        </w:rPr>
        <w:fldChar w:fldCharType="end"/>
      </w:r>
    </w:p>
    <w:p w14:paraId="005FC78D">
      <w:pPr>
        <w:pStyle w:val="18"/>
        <w:tabs>
          <w:tab w:val="right" w:leader="dot" w:pos="9071"/>
        </w:tabs>
      </w:pPr>
      <w:r>
        <w:rPr>
          <w:rFonts w:hint="eastAsia"/>
        </w:rPr>
        <w:fldChar w:fldCharType="begin"/>
      </w:r>
      <w:r>
        <w:rPr>
          <w:rFonts w:hint="eastAsia"/>
        </w:rPr>
        <w:instrText xml:space="preserve"> HYPERLINK \l _Toc13638 </w:instrText>
      </w:r>
      <w:r>
        <w:rPr>
          <w:rFonts w:hint="eastAsia"/>
        </w:rPr>
        <w:fldChar w:fldCharType="separate"/>
      </w:r>
      <w:r>
        <w:rPr>
          <w:rFonts w:hint="eastAsia"/>
        </w:rPr>
        <w:t>五、</w:t>
      </w:r>
      <w:r>
        <w:rPr>
          <w:rFonts w:hint="eastAsia"/>
          <w:lang w:val="en-US"/>
        </w:rPr>
        <w:t xml:space="preserve"> </w:t>
      </w:r>
      <w:r>
        <w:rPr>
          <w:rFonts w:hint="eastAsia"/>
        </w:rPr>
        <w:t>结论</w:t>
      </w:r>
      <w:r>
        <w:tab/>
      </w:r>
      <w:r>
        <w:fldChar w:fldCharType="begin"/>
      </w:r>
      <w:r>
        <w:instrText xml:space="preserve"> PAGEREF _Toc13638 \h </w:instrText>
      </w:r>
      <w:r>
        <w:fldChar w:fldCharType="separate"/>
      </w:r>
      <w:r>
        <w:t>21</w:t>
      </w:r>
      <w:r>
        <w:fldChar w:fldCharType="end"/>
      </w:r>
      <w:r>
        <w:rPr>
          <w:rFonts w:hint="eastAsia"/>
        </w:rPr>
        <w:fldChar w:fldCharType="end"/>
      </w:r>
    </w:p>
    <w:p w14:paraId="4DE13A70">
      <w:pPr>
        <w:pStyle w:val="18"/>
        <w:tabs>
          <w:tab w:val="right" w:leader="dot" w:pos="9071"/>
        </w:tabs>
      </w:pPr>
      <w:r>
        <w:rPr>
          <w:rFonts w:hint="eastAsia"/>
        </w:rPr>
        <w:fldChar w:fldCharType="begin"/>
      </w:r>
      <w:r>
        <w:rPr>
          <w:rFonts w:hint="eastAsia"/>
        </w:rPr>
        <w:instrText xml:space="preserve"> HYPERLINK \l _Toc31056 </w:instrText>
      </w:r>
      <w:r>
        <w:rPr>
          <w:rFonts w:hint="eastAsia"/>
        </w:rPr>
        <w:fldChar w:fldCharType="separate"/>
      </w:r>
      <w:r>
        <w:rPr>
          <w:rFonts w:hint="eastAsia"/>
          <w:bCs/>
        </w:rPr>
        <w:t>参考文献</w:t>
      </w:r>
      <w:r>
        <w:tab/>
      </w:r>
      <w:r>
        <w:fldChar w:fldCharType="begin"/>
      </w:r>
      <w:r>
        <w:instrText xml:space="preserve"> PAGEREF _Toc31056 \h </w:instrText>
      </w:r>
      <w:r>
        <w:fldChar w:fldCharType="separate"/>
      </w:r>
      <w:r>
        <w:t>22</w:t>
      </w:r>
      <w:r>
        <w:fldChar w:fldCharType="end"/>
      </w:r>
      <w:r>
        <w:rPr>
          <w:rFonts w:hint="eastAsia"/>
        </w:rPr>
        <w:fldChar w:fldCharType="end"/>
      </w:r>
    </w:p>
    <w:p w14:paraId="38DD72C2">
      <w:pPr>
        <w:pStyle w:val="18"/>
        <w:tabs>
          <w:tab w:val="right" w:leader="dot" w:pos="9071"/>
        </w:tabs>
      </w:pPr>
      <w:r>
        <w:rPr>
          <w:rFonts w:hint="eastAsia"/>
        </w:rPr>
        <w:fldChar w:fldCharType="begin"/>
      </w:r>
      <w:r>
        <w:rPr>
          <w:rFonts w:hint="eastAsia"/>
        </w:rPr>
        <w:instrText xml:space="preserve"> HYPERLINK \l _Toc9790 </w:instrText>
      </w:r>
      <w:r>
        <w:rPr>
          <w:rFonts w:hint="eastAsia"/>
        </w:rPr>
        <w:fldChar w:fldCharType="separate"/>
      </w:r>
      <w:r>
        <w:rPr>
          <w:rFonts w:hint="eastAsia" w:ascii="Times New Roman" w:hAnsi="Times New Roman"/>
          <w:bCs/>
          <w:szCs w:val="32"/>
          <w:shd w:val="clear" w:color="auto" w:fill="FFFFFF"/>
        </w:rPr>
        <w:t>致</w:t>
      </w:r>
      <w:r>
        <w:rPr>
          <w:rFonts w:hint="eastAsia"/>
          <w:bCs/>
          <w:szCs w:val="32"/>
          <w:shd w:val="clear" w:color="auto" w:fill="FFFFFF"/>
          <w:lang w:val="en-US" w:eastAsia="zh-CN"/>
        </w:rPr>
        <w:t xml:space="preserve">  </w:t>
      </w:r>
      <w:r>
        <w:rPr>
          <w:rFonts w:hint="eastAsia" w:ascii="Times New Roman" w:hAnsi="Times New Roman"/>
          <w:bCs/>
          <w:szCs w:val="32"/>
          <w:shd w:val="clear" w:color="auto" w:fill="FFFFFF"/>
        </w:rPr>
        <w:t>谢</w:t>
      </w:r>
      <w:r>
        <w:tab/>
      </w:r>
      <w:r>
        <w:fldChar w:fldCharType="begin"/>
      </w:r>
      <w:r>
        <w:instrText xml:space="preserve"> PAGEREF _Toc9790 \h </w:instrText>
      </w:r>
      <w:r>
        <w:fldChar w:fldCharType="separate"/>
      </w:r>
      <w:r>
        <w:t>23</w:t>
      </w:r>
      <w:r>
        <w:fldChar w:fldCharType="end"/>
      </w:r>
      <w:r>
        <w:rPr>
          <w:rFonts w:hint="eastAsia"/>
        </w:rPr>
        <w:fldChar w:fldCharType="end"/>
      </w:r>
    </w:p>
    <w:p w14:paraId="3F8E61F8">
      <w:pPr>
        <w:pStyle w:val="18"/>
        <w:tabs>
          <w:tab w:val="right" w:leader="dot" w:pos="9071"/>
        </w:tabs>
        <w:rPr>
          <w:rFonts w:hint="eastAsia"/>
        </w:rPr>
        <w:sectPr>
          <w:headerReference r:id="rId11" w:type="default"/>
          <w:footerReference r:id="rId12"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r>
        <w:rPr>
          <w:rFonts w:hint="eastAsia"/>
        </w:rPr>
        <w:fldChar w:fldCharType="end"/>
      </w:r>
    </w:p>
    <w:p w14:paraId="06F48CE0">
      <w:pPr>
        <w:pStyle w:val="2"/>
        <w:bidi w:val="0"/>
      </w:pPr>
      <w:r>
        <w:rPr>
          <w:rFonts w:hint="eastAsia"/>
          <w:lang w:val="en-US" w:eastAsia="zh-CN"/>
        </w:rPr>
        <w:t xml:space="preserve"> </w:t>
      </w:r>
      <w:bookmarkStart w:id="23" w:name="_Toc15771"/>
      <w:bookmarkStart w:id="24" w:name="_Toc11649"/>
      <w:r>
        <w:rPr>
          <w:rFonts w:hint="eastAsia"/>
        </w:rPr>
        <w:t>绪论</w:t>
      </w:r>
      <w:bookmarkEnd w:id="13"/>
      <w:bookmarkEnd w:id="14"/>
      <w:bookmarkEnd w:id="15"/>
      <w:bookmarkEnd w:id="16"/>
      <w:bookmarkEnd w:id="23"/>
      <w:bookmarkEnd w:id="24"/>
    </w:p>
    <w:p w14:paraId="4A10439B">
      <w:pPr>
        <w:pStyle w:val="3"/>
        <w:bidi w:val="0"/>
        <w:rPr>
          <w:rFonts w:hint="default"/>
          <w:lang w:val="en-US" w:eastAsia="zh-CN"/>
        </w:rPr>
      </w:pPr>
      <w:bookmarkStart w:id="25" w:name="_Toc11345"/>
      <w:bookmarkStart w:id="26" w:name="_Toc11626"/>
      <w:bookmarkStart w:id="27" w:name="_Toc20624"/>
      <w:bookmarkStart w:id="28" w:name="_Toc20354"/>
      <w:bookmarkStart w:id="29" w:name="_Toc28684"/>
      <w:bookmarkStart w:id="30" w:name="_Toc20213"/>
      <w:bookmarkStart w:id="31" w:name="_Toc31080"/>
      <w:r>
        <w:rPr>
          <w:rFonts w:hint="eastAsia"/>
        </w:rPr>
        <w:t>（一）</w:t>
      </w:r>
      <w:bookmarkEnd w:id="25"/>
      <w:bookmarkEnd w:id="26"/>
      <w:bookmarkEnd w:id="27"/>
      <w:bookmarkEnd w:id="28"/>
      <w:bookmarkEnd w:id="29"/>
      <w:r>
        <w:rPr>
          <w:rFonts w:hint="eastAsia"/>
          <w:lang w:val="en-US" w:eastAsia="zh-CN"/>
        </w:rPr>
        <w:t>研究背景及研究意义</w:t>
      </w:r>
      <w:bookmarkEnd w:id="30"/>
      <w:bookmarkEnd w:id="31"/>
    </w:p>
    <w:p w14:paraId="11AE145F">
      <w:pPr>
        <w:pStyle w:val="4"/>
        <w:bidi w:val="0"/>
        <w:rPr>
          <w:rFonts w:hint="eastAsia"/>
          <w:lang w:val="en-US" w:eastAsia="zh-CN"/>
        </w:rPr>
      </w:pPr>
      <w:bookmarkStart w:id="32" w:name="_Toc21523"/>
      <w:bookmarkStart w:id="33" w:name="_Toc4507"/>
      <w:bookmarkStart w:id="34" w:name="_Toc9786"/>
      <w:bookmarkStart w:id="35" w:name="_Toc26768"/>
      <w:bookmarkStart w:id="36" w:name="_Toc18786"/>
      <w:bookmarkStart w:id="37" w:name="_Toc11059_WPSOffice_Level3"/>
      <w:bookmarkStart w:id="38" w:name="_Toc23785"/>
      <w:bookmarkStart w:id="39" w:name="_Toc30955"/>
      <w:bookmarkStart w:id="40" w:name="_Toc22381"/>
      <w:r>
        <w:rPr>
          <w:rFonts w:hint="eastAsia"/>
        </w:rPr>
        <w:t>1.</w:t>
      </w:r>
      <w:bookmarkEnd w:id="32"/>
      <w:bookmarkEnd w:id="33"/>
      <w:bookmarkEnd w:id="34"/>
      <w:bookmarkEnd w:id="35"/>
      <w:bookmarkEnd w:id="36"/>
      <w:bookmarkEnd w:id="37"/>
      <w:bookmarkEnd w:id="38"/>
      <w:r>
        <w:rPr>
          <w:rFonts w:hint="eastAsia"/>
          <w:lang w:val="en-US" w:eastAsia="zh-CN"/>
        </w:rPr>
        <w:t>研究背景</w:t>
      </w:r>
      <w:bookmarkEnd w:id="39"/>
      <w:bookmarkEnd w:id="40"/>
    </w:p>
    <w:p w14:paraId="40BCD401">
      <w:pPr>
        <w:rPr>
          <w:rFonts w:hint="default"/>
          <w:lang w:val="en-US" w:eastAsia="zh-CN"/>
        </w:rPr>
      </w:pPr>
      <w:r>
        <w:rPr>
          <w:rFonts w:hint="default"/>
          <w:lang w:val="en-US" w:eastAsia="zh-CN"/>
        </w:rPr>
        <w:t>随着城镇化水平不断提高，住宅小区已成</w:t>
      </w:r>
      <w:r>
        <w:rPr>
          <w:rFonts w:hint="eastAsia"/>
          <w:lang w:val="en-US" w:eastAsia="zh-CN"/>
        </w:rPr>
        <w:t>为</w:t>
      </w:r>
      <w:r>
        <w:rPr>
          <w:rFonts w:hint="default"/>
          <w:lang w:val="en-US" w:eastAsia="zh-CN"/>
        </w:rPr>
        <w:t>基层社会治理</w:t>
      </w:r>
      <w:r>
        <w:rPr>
          <w:rFonts w:hint="eastAsia"/>
          <w:lang w:val="en-US" w:eastAsia="zh-CN"/>
        </w:rPr>
        <w:t>的</w:t>
      </w:r>
      <w:r>
        <w:rPr>
          <w:rFonts w:hint="default"/>
          <w:lang w:val="en-US" w:eastAsia="zh-CN"/>
        </w:rPr>
        <w:t>基本单元</w:t>
      </w:r>
      <w:r>
        <w:rPr>
          <w:rFonts w:hint="eastAsia"/>
          <w:lang w:val="en-US" w:eastAsia="zh-CN"/>
        </w:rPr>
        <w:t>。</w:t>
      </w:r>
      <w:r>
        <w:rPr>
          <w:rFonts w:hint="default"/>
          <w:lang w:val="en-US" w:eastAsia="zh-CN"/>
        </w:rPr>
        <w:t>在物业服务行业规模持续扩大的过程中，围绕物业费缴纳、服务质量、信息公开以及履约抗辩</w:t>
      </w:r>
      <w:r>
        <w:rPr>
          <w:rFonts w:hint="eastAsia"/>
          <w:lang w:val="en-US" w:eastAsia="zh-CN"/>
        </w:rPr>
        <w:t>等</w:t>
      </w:r>
      <w:r>
        <w:rPr>
          <w:rFonts w:hint="default"/>
          <w:lang w:val="en-US" w:eastAsia="zh-CN"/>
        </w:rPr>
        <w:t>问题</w:t>
      </w:r>
      <w:r>
        <w:rPr>
          <w:rFonts w:hint="eastAsia"/>
          <w:lang w:val="en-US" w:eastAsia="zh-CN"/>
        </w:rPr>
        <w:t>出现</w:t>
      </w:r>
      <w:r>
        <w:rPr>
          <w:rFonts w:hint="default"/>
          <w:lang w:val="en-US" w:eastAsia="zh-CN"/>
        </w:rPr>
        <w:t>的物业服务合同纠纷越来越多，成了影响社区秩序、邻里关系和基层治理稳定的一类重要民事争议。</w:t>
      </w:r>
    </w:p>
    <w:p w14:paraId="0E1031FB">
      <w:pPr>
        <w:rPr>
          <w:rFonts w:hint="default"/>
          <w:lang w:val="en-US" w:eastAsia="zh-CN"/>
        </w:rPr>
      </w:pPr>
      <w:r>
        <w:rPr>
          <w:rFonts w:hint="default"/>
          <w:lang w:val="en-US" w:eastAsia="zh-CN"/>
        </w:rPr>
        <w:t>从司法实践的情况来看，物业服务合同纠纷已经呈现</w:t>
      </w:r>
      <w:r>
        <w:rPr>
          <w:rFonts w:hint="eastAsia"/>
          <w:lang w:val="en-US" w:eastAsia="zh-CN"/>
        </w:rPr>
        <w:t>明显</w:t>
      </w:r>
      <w:r>
        <w:rPr>
          <w:rFonts w:hint="default"/>
          <w:lang w:val="en-US" w:eastAsia="zh-CN"/>
        </w:rPr>
        <w:t>高发的势头。2021年到2025年，全国法院共审结了物业纠纷案件439万</w:t>
      </w:r>
      <w:r>
        <w:rPr>
          <w:rFonts w:hint="eastAsia"/>
          <w:lang w:val="en-US" w:eastAsia="zh-CN"/>
        </w:rPr>
        <w:t>余</w:t>
      </w:r>
      <w:r>
        <w:rPr>
          <w:rFonts w:hint="default"/>
          <w:lang w:val="en-US" w:eastAsia="zh-CN"/>
        </w:rPr>
        <w:t>件，平均每年约87.8万件。</w:t>
      </w:r>
      <w:r>
        <w:rPr>
          <w:rStyle w:val="34"/>
          <w:rFonts w:hint="default"/>
          <w:lang w:val="en-US" w:eastAsia="zh-CN"/>
        </w:rPr>
        <w:footnoteReference w:id="0"/>
      </w:r>
      <w:r>
        <w:rPr>
          <w:rFonts w:hint="eastAsia"/>
          <w:lang w:val="en-US" w:eastAsia="zh-CN"/>
        </w:rPr>
        <w:t>仅以</w:t>
      </w:r>
      <w:r>
        <w:rPr>
          <w:rFonts w:hint="default"/>
          <w:lang w:val="en-US" w:eastAsia="zh-CN"/>
        </w:rPr>
        <w:t>2025年，全国法院受理的物业服务合同纠纷一审案件就达到了29.47万件，跟上年相比上升了37.28%。</w:t>
      </w:r>
      <w:r>
        <w:rPr>
          <w:rStyle w:val="34"/>
          <w:rFonts w:hint="default"/>
          <w:lang w:val="en-US" w:eastAsia="zh-CN"/>
        </w:rPr>
        <w:footnoteReference w:id="1"/>
      </w:r>
      <w:r>
        <w:rPr>
          <w:rFonts w:hint="default"/>
          <w:lang w:val="en-US" w:eastAsia="zh-CN"/>
        </w:rPr>
        <w:t>地方上的数据同样能说明问题。</w:t>
      </w:r>
      <w:r>
        <w:rPr>
          <w:rFonts w:hint="eastAsia"/>
          <w:lang w:val="en-US" w:eastAsia="zh-CN"/>
        </w:rPr>
        <w:t>以</w:t>
      </w:r>
      <w:r>
        <w:rPr>
          <w:rFonts w:hint="default"/>
          <w:lang w:val="en-US" w:eastAsia="zh-CN"/>
        </w:rPr>
        <w:t>广东省</w:t>
      </w:r>
      <w:r>
        <w:rPr>
          <w:rFonts w:hint="eastAsia"/>
          <w:lang w:val="en-US" w:eastAsia="zh-CN"/>
        </w:rPr>
        <w:t>为例</w:t>
      </w:r>
      <w:r>
        <w:rPr>
          <w:rFonts w:hint="default"/>
          <w:lang w:val="en-US" w:eastAsia="zh-CN"/>
        </w:rPr>
        <w:t>，2024年全省法院物业服务合同纠纷一审结案42636件，其中诉中调解结案的有11098件，调解结案的案件量同比增长了125%。</w:t>
      </w:r>
      <w:r>
        <w:rPr>
          <w:rStyle w:val="34"/>
          <w:rFonts w:hint="default"/>
          <w:lang w:val="en-US" w:eastAsia="zh-CN"/>
        </w:rPr>
        <w:footnoteReference w:id="2"/>
      </w:r>
      <w:r>
        <w:rPr>
          <w:rFonts w:hint="default"/>
          <w:lang w:val="en-US" w:eastAsia="zh-CN"/>
        </w:rPr>
        <w:t>四川省2024年到2025年9月一审新收的各类涉物业纠纷案件达到了70796件。</w:t>
      </w:r>
      <w:r>
        <w:rPr>
          <w:rStyle w:val="34"/>
          <w:rFonts w:hint="default"/>
          <w:lang w:val="en-US" w:eastAsia="zh-CN"/>
        </w:rPr>
        <w:footnoteReference w:id="3"/>
      </w:r>
      <w:r>
        <w:rPr>
          <w:rFonts w:hint="default"/>
          <w:lang w:val="en-US" w:eastAsia="zh-CN"/>
        </w:rPr>
        <w:t>除司法数据</w:t>
      </w:r>
      <w:r>
        <w:rPr>
          <w:rFonts w:hint="eastAsia"/>
          <w:lang w:val="en-US" w:eastAsia="zh-CN"/>
        </w:rPr>
        <w:t>外</w:t>
      </w:r>
      <w:r>
        <w:rPr>
          <w:rFonts w:hint="default"/>
          <w:lang w:val="en-US" w:eastAsia="zh-CN"/>
        </w:rPr>
        <w:t>，消费投诉和行业运行方面的数据也反映</w:t>
      </w:r>
      <w:r>
        <w:rPr>
          <w:rFonts w:hint="eastAsia"/>
          <w:lang w:val="en-US" w:eastAsia="zh-CN"/>
        </w:rPr>
        <w:t>出</w:t>
      </w:r>
      <w:r>
        <w:rPr>
          <w:rFonts w:hint="default"/>
          <w:lang w:val="en-US" w:eastAsia="zh-CN"/>
        </w:rPr>
        <w:t>物业服务关系的紧张状态。2025年全国消协组织受理的物业类投诉有12.87万件，同比上涨16.8%，连续三年排在了服务类投诉的前列。</w:t>
      </w:r>
      <w:r>
        <w:rPr>
          <w:rStyle w:val="34"/>
          <w:rFonts w:hint="default"/>
          <w:lang w:val="en-US" w:eastAsia="zh-CN"/>
        </w:rPr>
        <w:footnoteReference w:id="4"/>
      </w:r>
      <w:r>
        <w:rPr>
          <w:rFonts w:hint="default"/>
          <w:lang w:val="en-US" w:eastAsia="zh-CN"/>
        </w:rPr>
        <w:t>同一年，全国住宅物业服务满意度掉到了69.1分，比上一年降</w:t>
      </w:r>
      <w:r>
        <w:rPr>
          <w:rFonts w:hint="eastAsia"/>
          <w:lang w:val="en-US" w:eastAsia="zh-CN"/>
        </w:rPr>
        <w:t>低</w:t>
      </w:r>
      <w:r>
        <w:rPr>
          <w:rFonts w:hint="default"/>
          <w:lang w:val="en-US" w:eastAsia="zh-CN"/>
        </w:rPr>
        <w:t>大约2个百分点；全国物业服务企业（500强）的平均物业费收缴率也降到</w:t>
      </w:r>
      <w:r>
        <w:rPr>
          <w:rFonts w:hint="eastAsia"/>
          <w:lang w:val="en-US" w:eastAsia="zh-CN"/>
        </w:rPr>
        <w:t>至</w:t>
      </w:r>
      <w:r>
        <w:rPr>
          <w:rFonts w:hint="default"/>
          <w:lang w:val="en-US" w:eastAsia="zh-CN"/>
        </w:rPr>
        <w:t>71%，连续四年下滑。</w:t>
      </w:r>
      <w:r>
        <w:rPr>
          <w:rStyle w:val="34"/>
          <w:rFonts w:hint="default"/>
          <w:lang w:val="en-US" w:eastAsia="zh-CN"/>
        </w:rPr>
        <w:footnoteReference w:id="5"/>
      </w:r>
      <w:r>
        <w:rPr>
          <w:rFonts w:hint="eastAsia"/>
          <w:lang w:val="en-US" w:eastAsia="zh-CN"/>
        </w:rPr>
        <w:t>整合数据发现，</w:t>
      </w:r>
      <w:r>
        <w:rPr>
          <w:rFonts w:hint="default"/>
          <w:lang w:val="en-US" w:eastAsia="zh-CN"/>
        </w:rPr>
        <w:t>物业服务合同纠纷已不是零星的个案，而是</w:t>
      </w:r>
      <w:r>
        <w:rPr>
          <w:rFonts w:hint="eastAsia"/>
          <w:lang w:val="en-US" w:eastAsia="zh-CN"/>
        </w:rPr>
        <w:t>一个</w:t>
      </w:r>
      <w:r>
        <w:rPr>
          <w:rFonts w:hint="default"/>
          <w:lang w:val="en-US" w:eastAsia="zh-CN"/>
        </w:rPr>
        <w:t>带有较强普遍性的现实问题。</w:t>
      </w:r>
    </w:p>
    <w:p w14:paraId="71F076D5">
      <w:pPr>
        <w:rPr>
          <w:rFonts w:hint="default"/>
          <w:lang w:val="en-US" w:eastAsia="zh-CN"/>
        </w:rPr>
      </w:pPr>
      <w:r>
        <w:rPr>
          <w:rFonts w:hint="default"/>
          <w:lang w:val="en-US" w:eastAsia="zh-CN"/>
        </w:rPr>
        <w:t>在</w:t>
      </w:r>
      <w:r>
        <w:rPr>
          <w:rFonts w:hint="eastAsia"/>
          <w:lang w:val="en-US" w:eastAsia="zh-CN"/>
        </w:rPr>
        <w:t>此</w:t>
      </w:r>
      <w:r>
        <w:rPr>
          <w:rFonts w:hint="default"/>
          <w:lang w:val="en-US" w:eastAsia="zh-CN"/>
        </w:rPr>
        <w:t>背景下，</w:t>
      </w:r>
      <w:r>
        <w:rPr>
          <w:rFonts w:hint="eastAsia"/>
          <w:lang w:val="en-US" w:eastAsia="zh-CN"/>
        </w:rPr>
        <w:t>只</w:t>
      </w:r>
      <w:r>
        <w:rPr>
          <w:rFonts w:hint="default"/>
          <w:lang w:val="en-US" w:eastAsia="zh-CN"/>
        </w:rPr>
        <w:t>靠诉讼程序去做事后救济，很难充分应对物业服务合同纠纷高频、琐碎、持续和关系性强的现实特点。</w:t>
      </w:r>
      <w:r>
        <w:rPr>
          <w:rStyle w:val="34"/>
          <w:rFonts w:hint="default"/>
          <w:lang w:val="en-US" w:eastAsia="zh-CN"/>
        </w:rPr>
        <w:footnoteReference w:id="6"/>
      </w:r>
      <w:r>
        <w:rPr>
          <w:rFonts w:hint="default"/>
          <w:lang w:val="en-US" w:eastAsia="zh-CN"/>
        </w:rPr>
        <w:t>有学者在探讨此类纠纷的处理路径时也指出，物业服务合同纠纷不宜一概通过司法裁判解决，更妥当的做法是将化解纠纷的</w:t>
      </w:r>
      <w:r>
        <w:rPr>
          <w:rFonts w:hint="eastAsia"/>
          <w:lang w:val="en-US" w:eastAsia="zh-CN"/>
        </w:rPr>
        <w:t>关口</w:t>
      </w:r>
      <w:r>
        <w:rPr>
          <w:rFonts w:hint="default"/>
          <w:lang w:val="en-US" w:eastAsia="zh-CN"/>
        </w:rPr>
        <w:t>前移。研究</w:t>
      </w:r>
      <w:r>
        <w:rPr>
          <w:rFonts w:hint="eastAsia"/>
          <w:lang w:val="en-US" w:eastAsia="zh-CN"/>
        </w:rPr>
        <w:t>重心转至诉前预防，去</w:t>
      </w:r>
      <w:r>
        <w:rPr>
          <w:rFonts w:hint="default"/>
          <w:lang w:val="en-US" w:eastAsia="zh-CN"/>
        </w:rPr>
        <w:t>探讨物业服务合同纠纷预防机制的完善</w:t>
      </w:r>
      <w:r>
        <w:rPr>
          <w:rFonts w:hint="eastAsia"/>
          <w:lang w:val="en-US" w:eastAsia="zh-CN"/>
        </w:rPr>
        <w:t>对策</w:t>
      </w:r>
      <w:r>
        <w:rPr>
          <w:rFonts w:hint="default"/>
          <w:lang w:val="en-US" w:eastAsia="zh-CN"/>
        </w:rPr>
        <w:t>。基于</w:t>
      </w:r>
      <w:r>
        <w:rPr>
          <w:rFonts w:hint="eastAsia"/>
          <w:lang w:val="en-US" w:eastAsia="zh-CN"/>
        </w:rPr>
        <w:t>此</w:t>
      </w:r>
      <w:r>
        <w:rPr>
          <w:rFonts w:hint="default"/>
          <w:lang w:val="en-US" w:eastAsia="zh-CN"/>
        </w:rPr>
        <w:t>，这项研究</w:t>
      </w:r>
      <w:r>
        <w:rPr>
          <w:rFonts w:hint="eastAsia"/>
          <w:lang w:val="en-US" w:eastAsia="zh-CN"/>
        </w:rPr>
        <w:t>用</w:t>
      </w:r>
      <w:r>
        <w:rPr>
          <w:rFonts w:hint="default"/>
          <w:lang w:val="en-US" w:eastAsia="zh-CN"/>
        </w:rPr>
        <w:t>100份物业服务合同纠纷裁判文书</w:t>
      </w:r>
      <w:r>
        <w:rPr>
          <w:rFonts w:hint="eastAsia"/>
          <w:lang w:val="en-US" w:eastAsia="zh-CN"/>
        </w:rPr>
        <w:t>作为</w:t>
      </w:r>
      <w:r>
        <w:rPr>
          <w:rFonts w:hint="default"/>
          <w:lang w:val="en-US" w:eastAsia="zh-CN"/>
        </w:rPr>
        <w:t>样本，</w:t>
      </w:r>
      <w:r>
        <w:rPr>
          <w:rFonts w:hint="eastAsia"/>
          <w:lang w:val="en-US" w:eastAsia="zh-CN"/>
        </w:rPr>
        <w:t>根据裁判文书来</w:t>
      </w:r>
      <w:r>
        <w:rPr>
          <w:rFonts w:hint="default"/>
          <w:lang w:val="en-US" w:eastAsia="zh-CN"/>
        </w:rPr>
        <w:t>分析纠纷在不同阶段的具体表现和形成原因，同时吸收源头预防、就地化解和非诉分流这些实践做法的启示，最后给出相应的</w:t>
      </w:r>
      <w:r>
        <w:rPr>
          <w:rFonts w:hint="eastAsia"/>
          <w:lang w:val="en-US" w:eastAsia="zh-CN"/>
        </w:rPr>
        <w:t>对策</w:t>
      </w:r>
      <w:r>
        <w:rPr>
          <w:rFonts w:hint="default"/>
          <w:lang w:val="en-US" w:eastAsia="zh-CN"/>
        </w:rPr>
        <w:t>建议，以期给减少物业服务合同纠纷的诉讼化程度提供参考。</w:t>
      </w:r>
    </w:p>
    <w:p w14:paraId="1E1EC553">
      <w:pPr>
        <w:pStyle w:val="4"/>
        <w:bidi w:val="0"/>
        <w:rPr>
          <w:rFonts w:hint="eastAsia"/>
          <w:lang w:val="en-US" w:eastAsia="zh-CN"/>
        </w:rPr>
      </w:pPr>
      <w:bookmarkStart w:id="41" w:name="_Toc14564"/>
      <w:r>
        <w:rPr>
          <w:rFonts w:hint="eastAsia"/>
          <w:lang w:val="en-US" w:eastAsia="zh-CN"/>
        </w:rPr>
        <w:t>2.研究意义</w:t>
      </w:r>
      <w:bookmarkEnd w:id="41"/>
    </w:p>
    <w:p w14:paraId="774E5006">
      <w:pPr>
        <w:rPr>
          <w:rFonts w:hint="default"/>
          <w:lang w:val="en-US" w:eastAsia="zh-CN"/>
        </w:rPr>
      </w:pPr>
      <w:r>
        <w:rPr>
          <w:rFonts w:hint="default"/>
          <w:lang w:val="en-US" w:eastAsia="zh-CN"/>
        </w:rPr>
        <w:t>这项研究把主题定在物业服务合同纠纷预防机制的完善上，结合100份裁判文书来展开分析</w:t>
      </w:r>
      <w:r>
        <w:rPr>
          <w:rFonts w:hint="eastAsia"/>
          <w:lang w:val="en-US" w:eastAsia="zh-CN"/>
        </w:rPr>
        <w:t>。</w:t>
      </w:r>
    </w:p>
    <w:p w14:paraId="1A26E614">
      <w:pPr>
        <w:rPr>
          <w:rFonts w:hint="default"/>
          <w:lang w:val="en-US" w:eastAsia="zh-CN"/>
        </w:rPr>
      </w:pPr>
      <w:r>
        <w:rPr>
          <w:rFonts w:hint="default"/>
          <w:lang w:val="en-US" w:eastAsia="zh-CN"/>
        </w:rPr>
        <w:t>研究对象被限定在狭义物业服务合同纠纷，围绕物业费、服务质量、信息公开以及异议处理这些跟合同订立、履行直接相关的争议来展开，这样在合同法框架内就更容易</w:t>
      </w:r>
      <w:r>
        <w:rPr>
          <w:rFonts w:hint="eastAsia"/>
          <w:lang w:val="en-US" w:eastAsia="zh-CN"/>
        </w:rPr>
        <w:t>理清</w:t>
      </w:r>
      <w:r>
        <w:rPr>
          <w:rFonts w:hint="default"/>
          <w:lang w:val="en-US" w:eastAsia="zh-CN"/>
        </w:rPr>
        <w:t>此类纠纷的生成机制。</w:t>
      </w:r>
      <w:r>
        <w:rPr>
          <w:rFonts w:hint="eastAsia"/>
          <w:lang w:val="en-US" w:eastAsia="zh-CN"/>
        </w:rPr>
        <w:t>从裁判文书中推导出物业服务纠纷矛盾的萌发和类型，</w:t>
      </w:r>
      <w:r>
        <w:rPr>
          <w:rFonts w:hint="default"/>
          <w:lang w:val="en-US" w:eastAsia="zh-CN"/>
        </w:rPr>
        <w:t>考察预防机制是</w:t>
      </w:r>
      <w:r>
        <w:rPr>
          <w:rFonts w:hint="eastAsia"/>
          <w:lang w:val="en-US" w:eastAsia="zh-CN"/>
        </w:rPr>
        <w:t>如何</w:t>
      </w:r>
      <w:r>
        <w:rPr>
          <w:rFonts w:hint="default"/>
          <w:lang w:val="en-US" w:eastAsia="zh-CN"/>
        </w:rPr>
        <w:t>失灵的，</w:t>
      </w:r>
      <w:r>
        <w:rPr>
          <w:rFonts w:hint="eastAsia"/>
          <w:lang w:val="en-US" w:eastAsia="zh-CN"/>
        </w:rPr>
        <w:t>将</w:t>
      </w:r>
      <w:r>
        <w:rPr>
          <w:rFonts w:hint="default"/>
          <w:lang w:val="en-US" w:eastAsia="zh-CN"/>
        </w:rPr>
        <w:t>研究视角从事后责任认定往前推到前端风险识别</w:t>
      </w:r>
      <w:r>
        <w:rPr>
          <w:rFonts w:hint="eastAsia"/>
          <w:lang w:val="en-US" w:eastAsia="zh-CN"/>
        </w:rPr>
        <w:t>。</w:t>
      </w:r>
    </w:p>
    <w:p w14:paraId="003B4D57">
      <w:pPr>
        <w:pStyle w:val="3"/>
        <w:bidi w:val="0"/>
        <w:rPr>
          <w:rFonts w:hint="eastAsia"/>
          <w:lang w:val="en-US" w:eastAsia="zh-CN"/>
        </w:rPr>
      </w:pPr>
      <w:bookmarkStart w:id="42" w:name="_Toc22486"/>
      <w:bookmarkStart w:id="43" w:name="_Toc19000"/>
      <w:bookmarkStart w:id="44" w:name="_Toc15200"/>
      <w:bookmarkStart w:id="45" w:name="_Toc13801"/>
      <w:bookmarkStart w:id="46" w:name="_Toc14474"/>
      <w:bookmarkStart w:id="47" w:name="_Toc25773"/>
      <w:bookmarkStart w:id="48" w:name="_Toc10088"/>
      <w:bookmarkStart w:id="49" w:name="_Toc8155"/>
      <w:bookmarkStart w:id="50" w:name="_Toc320892636"/>
      <w:r>
        <w:rPr>
          <w:rFonts w:hint="eastAsia"/>
        </w:rPr>
        <w:t>（二）</w:t>
      </w:r>
      <w:bookmarkEnd w:id="42"/>
      <w:bookmarkEnd w:id="43"/>
      <w:bookmarkEnd w:id="44"/>
      <w:bookmarkEnd w:id="45"/>
      <w:bookmarkEnd w:id="46"/>
      <w:bookmarkEnd w:id="47"/>
      <w:r>
        <w:rPr>
          <w:rFonts w:hint="eastAsia"/>
          <w:lang w:val="en-US" w:eastAsia="zh-CN"/>
        </w:rPr>
        <w:t>国内外研究综述</w:t>
      </w:r>
      <w:bookmarkEnd w:id="48"/>
      <w:bookmarkEnd w:id="49"/>
    </w:p>
    <w:p w14:paraId="7B626B4D">
      <w:pPr>
        <w:rPr>
          <w:rFonts w:hint="default"/>
          <w:lang w:val="en-US"/>
        </w:rPr>
      </w:pPr>
      <w:r>
        <w:rPr>
          <w:rFonts w:hint="eastAsia"/>
          <w:lang w:val="en-US" w:eastAsia="zh-CN"/>
        </w:rPr>
        <w:t>理解</w:t>
      </w:r>
      <w:r>
        <w:rPr>
          <w:rFonts w:hint="default"/>
          <w:lang w:val="en-US"/>
        </w:rPr>
        <w:t>物业服务合同纠纷，</w:t>
      </w:r>
      <w:r>
        <w:rPr>
          <w:rFonts w:hint="eastAsia"/>
          <w:lang w:val="en-US" w:eastAsia="zh-CN"/>
        </w:rPr>
        <w:t>需要先</w:t>
      </w:r>
      <w:r>
        <w:rPr>
          <w:rFonts w:hint="default"/>
          <w:lang w:val="en-US"/>
        </w:rPr>
        <w:t>从这类合同的法律构造入手。早在《民法典》把它列为典型合同之前，陈华彬（2015）就从建筑物区分所有权法的角度指出，</w:t>
      </w:r>
      <w:r>
        <w:rPr>
          <w:rStyle w:val="34"/>
          <w:rFonts w:hint="default"/>
          <w:lang w:val="en-US"/>
        </w:rPr>
        <w:footnoteReference w:id="7"/>
      </w:r>
      <w:r>
        <w:rPr>
          <w:rFonts w:hint="default"/>
          <w:lang w:val="en-US"/>
        </w:rPr>
        <w:t>这类合同本质上是业主团体为了实现共同利益而缔结的团体性契约。</w:t>
      </w:r>
      <w:r>
        <w:rPr>
          <w:rFonts w:hint="eastAsia"/>
          <w:lang w:val="en-US" w:eastAsia="zh-CN"/>
        </w:rPr>
        <w:t>这一</w:t>
      </w:r>
      <w:r>
        <w:rPr>
          <w:rFonts w:hint="default"/>
          <w:lang w:val="en-US"/>
        </w:rPr>
        <w:t>判断</w:t>
      </w:r>
      <w:r>
        <w:rPr>
          <w:rFonts w:hint="eastAsia"/>
          <w:lang w:val="en-US" w:eastAsia="zh-CN"/>
        </w:rPr>
        <w:t>揭示</w:t>
      </w:r>
      <w:r>
        <w:rPr>
          <w:rFonts w:hint="default"/>
          <w:lang w:val="en-US"/>
        </w:rPr>
        <w:t>了物业服务合同跟普通双务合同</w:t>
      </w:r>
      <w:r>
        <w:rPr>
          <w:rFonts w:hint="eastAsia"/>
          <w:lang w:val="en-US" w:eastAsia="zh-CN"/>
        </w:rPr>
        <w:t>的不同之处</w:t>
      </w:r>
      <w:r>
        <w:rPr>
          <w:rFonts w:hint="default"/>
          <w:lang w:val="en-US"/>
        </w:rPr>
        <w:t>，业主并不是以独立个体的身份参与交易，而是被纳</w:t>
      </w:r>
      <w:r>
        <w:rPr>
          <w:rFonts w:hint="eastAsia"/>
          <w:lang w:val="en-US" w:eastAsia="zh-CN"/>
        </w:rPr>
        <w:t>入了</w:t>
      </w:r>
      <w:r>
        <w:rPr>
          <w:rFonts w:hint="default"/>
          <w:lang w:val="en-US"/>
        </w:rPr>
        <w:t>团体结构</w:t>
      </w:r>
      <w:r>
        <w:rPr>
          <w:rFonts w:hint="eastAsia"/>
          <w:lang w:val="en-US" w:eastAsia="zh-CN"/>
        </w:rPr>
        <w:t>之中</w:t>
      </w:r>
      <w:r>
        <w:rPr>
          <w:rFonts w:hint="default"/>
          <w:lang w:val="en-US"/>
        </w:rPr>
        <w:t>。</w:t>
      </w:r>
    </w:p>
    <w:p w14:paraId="3EB0B5B4">
      <w:pPr>
        <w:rPr>
          <w:rFonts w:hint="default"/>
          <w:lang w:val="en-US"/>
        </w:rPr>
      </w:pPr>
      <w:r>
        <w:rPr>
          <w:rFonts w:hint="default"/>
          <w:lang w:val="en-US"/>
        </w:rPr>
        <w:t>随着《民法典》编纂</w:t>
      </w:r>
      <w:r>
        <w:rPr>
          <w:rFonts w:hint="eastAsia"/>
          <w:lang w:val="en-US" w:eastAsia="zh-CN"/>
        </w:rPr>
        <w:t>的</w:t>
      </w:r>
      <w:r>
        <w:rPr>
          <w:rFonts w:hint="default"/>
          <w:lang w:val="en-US"/>
        </w:rPr>
        <w:t>推进，学界对物业服务合同的制度定位讨论得越</w:t>
      </w:r>
      <w:r>
        <w:rPr>
          <w:rFonts w:hint="eastAsia"/>
          <w:lang w:val="en-US" w:eastAsia="zh-CN"/>
        </w:rPr>
        <w:t>发</w:t>
      </w:r>
      <w:r>
        <w:rPr>
          <w:rFonts w:hint="default"/>
          <w:lang w:val="en-US"/>
        </w:rPr>
        <w:t>深入。王利明（2018）较早对物业服务合同立法中的关键问题</w:t>
      </w:r>
      <w:r>
        <w:rPr>
          <w:rFonts w:hint="eastAsia"/>
          <w:lang w:val="en-US" w:eastAsia="zh-CN"/>
        </w:rPr>
        <w:t>进行</w:t>
      </w:r>
      <w:r>
        <w:rPr>
          <w:rFonts w:hint="default"/>
          <w:lang w:val="en-US"/>
        </w:rPr>
        <w:t>前瞻性的探讨，</w:t>
      </w:r>
      <w:r>
        <w:rPr>
          <w:rStyle w:val="34"/>
          <w:rFonts w:hint="default"/>
          <w:lang w:val="en-US"/>
        </w:rPr>
        <w:footnoteReference w:id="8"/>
      </w:r>
      <w:r>
        <w:rPr>
          <w:rFonts w:hint="default"/>
          <w:lang w:val="en-US"/>
        </w:rPr>
        <w:t>明确提出要</w:t>
      </w:r>
      <w:r>
        <w:rPr>
          <w:rFonts w:hint="eastAsia"/>
          <w:lang w:val="en-US" w:eastAsia="zh-CN"/>
        </w:rPr>
        <w:t>将</w:t>
      </w:r>
      <w:r>
        <w:rPr>
          <w:rFonts w:hint="default"/>
          <w:lang w:val="en-US"/>
        </w:rPr>
        <w:t>合同主体界定清楚、协调好建筑物区分所有权和物业服务合同的关系、规范前期物业服务合同内容、强化业主权利保护，还要明确业主任意解除权的行使范围。他列出的这几个议题，合同主体、服务范围、收费标准、解除权，</w:t>
      </w:r>
      <w:r>
        <w:rPr>
          <w:rFonts w:hint="eastAsia"/>
          <w:lang w:val="en-US" w:eastAsia="zh-CN"/>
        </w:rPr>
        <w:t>至今</w:t>
      </w:r>
      <w:r>
        <w:rPr>
          <w:rFonts w:hint="default"/>
          <w:lang w:val="en-US"/>
        </w:rPr>
        <w:t>仍然是纠纷高发地带，说明前端规则模糊的问题长期没有得到解决。杨立新（2020）进一步阐明《民法典》</w:t>
      </w:r>
      <w:r>
        <w:rPr>
          <w:rFonts w:hint="eastAsia"/>
          <w:lang w:val="en-US" w:eastAsia="zh-CN"/>
        </w:rPr>
        <w:t>将其</w:t>
      </w:r>
      <w:r>
        <w:rPr>
          <w:rFonts w:hint="default"/>
          <w:lang w:val="en-US"/>
        </w:rPr>
        <w:t>列为典型合同的用意，</w:t>
      </w:r>
      <w:r>
        <w:rPr>
          <w:rStyle w:val="34"/>
          <w:rFonts w:hint="default"/>
          <w:lang w:val="en-US"/>
        </w:rPr>
        <w:footnoteReference w:id="9"/>
      </w:r>
      <w:r>
        <w:rPr>
          <w:rFonts w:hint="eastAsia"/>
          <w:lang w:val="en-US" w:eastAsia="zh-CN"/>
        </w:rPr>
        <w:t>即将</w:t>
      </w:r>
      <w:r>
        <w:rPr>
          <w:rFonts w:hint="default"/>
          <w:lang w:val="en-US"/>
        </w:rPr>
        <w:t>双方当事人的权利义务固定，同时对业主作适当倾斜保护。谢鸿飞、涂燕辉（2020）则从法典编纂的视角，讨论了典型合同制度创新对物业管理关系带来的重塑意义。</w:t>
      </w:r>
      <w:r>
        <w:rPr>
          <w:rStyle w:val="34"/>
          <w:rFonts w:hint="default"/>
          <w:lang w:val="en-US"/>
        </w:rPr>
        <w:footnoteReference w:id="10"/>
      </w:r>
    </w:p>
    <w:p w14:paraId="7B651BE8">
      <w:pPr>
        <w:rPr>
          <w:rFonts w:hint="default"/>
          <w:lang w:val="en-US"/>
        </w:rPr>
      </w:pPr>
      <w:r>
        <w:rPr>
          <w:rFonts w:hint="default"/>
          <w:lang w:val="en-US"/>
        </w:rPr>
        <w:t>《民法典》施行之后，徐涤宇（2021）对物业服务合同的法律构造</w:t>
      </w:r>
      <w:r>
        <w:rPr>
          <w:rFonts w:hint="eastAsia"/>
          <w:lang w:val="en-US" w:eastAsia="zh-CN"/>
        </w:rPr>
        <w:t>进行</w:t>
      </w:r>
      <w:r>
        <w:rPr>
          <w:rFonts w:hint="default"/>
          <w:lang w:val="en-US"/>
        </w:rPr>
        <w:t>更深入的揭示，</w:t>
      </w:r>
      <w:r>
        <w:rPr>
          <w:rStyle w:val="34"/>
          <w:rFonts w:hint="default"/>
          <w:lang w:val="en-US"/>
        </w:rPr>
        <w:footnoteReference w:id="11"/>
      </w:r>
      <w:r>
        <w:rPr>
          <w:rFonts w:hint="default"/>
          <w:lang w:val="en-US"/>
        </w:rPr>
        <w:t>指出我国物业服务合同在主体构造上呈现出“业主团体—物业服务人”的二元模式，</w:t>
      </w:r>
      <w:r>
        <w:rPr>
          <w:rFonts w:hint="eastAsia"/>
          <w:lang w:val="en-US" w:eastAsia="zh-CN"/>
        </w:rPr>
        <w:t>与</w:t>
      </w:r>
      <w:r>
        <w:rPr>
          <w:rFonts w:hint="default"/>
          <w:lang w:val="en-US"/>
        </w:rPr>
        <w:t>集体合同在法律构造上是相通的，规范目的在于用团体缔约的构造让当事人双方达到势均力敌，同时赋予合同规范性效力，促成小区管理中的强制自治。</w:t>
      </w:r>
      <w:r>
        <w:rPr>
          <w:rFonts w:hint="eastAsia"/>
          <w:lang w:val="en-US" w:eastAsia="zh-CN"/>
        </w:rPr>
        <w:t>此</w:t>
      </w:r>
      <w:r>
        <w:rPr>
          <w:rFonts w:hint="default"/>
          <w:lang w:val="en-US"/>
        </w:rPr>
        <w:t>发现为理解物业费请求权的集体性基础提供了一个关键框架，但也同时揭示出内在的张力</w:t>
      </w:r>
      <w:r>
        <w:rPr>
          <w:rFonts w:hint="eastAsia"/>
          <w:lang w:val="en-US" w:eastAsia="zh-CN"/>
        </w:rPr>
        <w:t>，即在</w:t>
      </w:r>
      <w:r>
        <w:rPr>
          <w:rFonts w:hint="default"/>
          <w:lang w:val="en-US"/>
        </w:rPr>
        <w:t>强制自治结构在凝聚集体行动的同时，</w:t>
      </w:r>
      <w:r>
        <w:rPr>
          <w:rFonts w:hint="eastAsia"/>
          <w:lang w:val="en-US" w:eastAsia="zh-CN"/>
        </w:rPr>
        <w:t>压缩了</w:t>
      </w:r>
      <w:r>
        <w:rPr>
          <w:rFonts w:hint="default"/>
          <w:lang w:val="en-US"/>
        </w:rPr>
        <w:t>个体业主表达意见的</w:t>
      </w:r>
      <w:r>
        <w:rPr>
          <w:rFonts w:hint="eastAsia"/>
          <w:lang w:val="en-US" w:eastAsia="zh-CN"/>
        </w:rPr>
        <w:t>空间</w:t>
      </w:r>
      <w:r>
        <w:rPr>
          <w:rFonts w:hint="default"/>
          <w:lang w:val="en-US"/>
        </w:rPr>
        <w:t>。如果合同的订立、履行和争议处理程序不能给个体业主留出充分获取信息和参与意见的空间，团体缔约所追求的那种势均力敌，放到个体层面反而可能沦为无力对抗，这就为纠纷埋下了结构性的隐患。邓冬梅（2021）从合同订立实践出发，</w:t>
      </w:r>
      <w:r>
        <w:rPr>
          <w:rStyle w:val="34"/>
          <w:rFonts w:hint="default"/>
          <w:lang w:val="en-US"/>
        </w:rPr>
        <w:footnoteReference w:id="12"/>
      </w:r>
      <w:r>
        <w:rPr>
          <w:rFonts w:hint="default"/>
          <w:lang w:val="en-US"/>
        </w:rPr>
        <w:t>揭示了业主委员会在签订物业服务合同时，主体资格和条款明确性对后续履行的深刻影响。黄赤橙（2025）对《民法典》第937条</w:t>
      </w:r>
      <w:r>
        <w:rPr>
          <w:rFonts w:hint="eastAsia"/>
          <w:lang w:val="en-US" w:eastAsia="zh-CN"/>
        </w:rPr>
        <w:t>作出了</w:t>
      </w:r>
      <w:r>
        <w:rPr>
          <w:rFonts w:hint="default"/>
          <w:lang w:val="en-US"/>
        </w:rPr>
        <w:t>体系阐释，</w:t>
      </w:r>
      <w:r>
        <w:rPr>
          <w:rStyle w:val="34"/>
          <w:rFonts w:hint="default"/>
          <w:lang w:val="en-US"/>
        </w:rPr>
        <w:footnoteReference w:id="13"/>
      </w:r>
      <w:r>
        <w:rPr>
          <w:rFonts w:hint="default"/>
          <w:lang w:val="en-US"/>
        </w:rPr>
        <w:t>明确物业服务合同在性质上属于混合合同，委托合同和承揽合同的部分规范可以参照适用，同时厘清了合同主体和物业服务区域的基本边界。不过，上述制度建构偏重的还是静态的权利义务配置，没能深入到规则在漫长履行周期里</w:t>
      </w:r>
      <w:r>
        <w:rPr>
          <w:rFonts w:hint="eastAsia"/>
          <w:lang w:val="en-US" w:eastAsia="zh-CN"/>
        </w:rPr>
        <w:t>如何</w:t>
      </w:r>
      <w:r>
        <w:rPr>
          <w:rFonts w:hint="default"/>
          <w:lang w:val="en-US"/>
        </w:rPr>
        <w:t>动态运作的问题。王利明早期提出的议题，</w:t>
      </w:r>
      <w:r>
        <w:rPr>
          <w:rFonts w:hint="eastAsia"/>
          <w:lang w:val="en-US" w:eastAsia="zh-CN"/>
        </w:rPr>
        <w:t>如今</w:t>
      </w:r>
      <w:r>
        <w:rPr>
          <w:rFonts w:hint="default"/>
          <w:lang w:val="en-US"/>
        </w:rPr>
        <w:t>也没有拿到系统性的制度回应，收费标准怎么确定、服务范围怎么界定、计费依据怎么明确，这些前端规则在大多数合同里依然是空白的。纠纷的种子，在合同订立阶段</w:t>
      </w:r>
      <w:r>
        <w:rPr>
          <w:rFonts w:hint="eastAsia"/>
          <w:lang w:val="en-US" w:eastAsia="zh-CN"/>
        </w:rPr>
        <w:t>早已</w:t>
      </w:r>
      <w:r>
        <w:rPr>
          <w:rFonts w:hint="default"/>
          <w:lang w:val="en-US"/>
        </w:rPr>
        <w:t>埋下。</w:t>
      </w:r>
    </w:p>
    <w:p w14:paraId="453DE4A1">
      <w:pPr>
        <w:rPr>
          <w:rFonts w:hint="default"/>
          <w:lang w:val="en-US"/>
        </w:rPr>
      </w:pPr>
      <w:r>
        <w:rPr>
          <w:rFonts w:hint="default"/>
          <w:lang w:val="en-US"/>
        </w:rPr>
        <w:t>前端规则的模糊，并不会直接把纠纷推进诉讼，它是通过履行阶段的信息不对称</w:t>
      </w:r>
      <w:r>
        <w:rPr>
          <w:rFonts w:hint="eastAsia"/>
          <w:lang w:val="en-US" w:eastAsia="zh-CN"/>
        </w:rPr>
        <w:t>逐步发酵</w:t>
      </w:r>
      <w:r>
        <w:rPr>
          <w:rFonts w:hint="default"/>
          <w:lang w:val="en-US"/>
        </w:rPr>
        <w:t>，最后演变成对抗性争议。《民法典》第943条确立了物业服务人的公开和报告义务。王茂刚（2018）从司法实践的角度梳理业主知情权的行使范围和限制边界，</w:t>
      </w:r>
      <w:r>
        <w:rPr>
          <w:rStyle w:val="34"/>
          <w:rFonts w:hint="default"/>
          <w:lang w:val="en-US"/>
        </w:rPr>
        <w:footnoteReference w:id="14"/>
      </w:r>
      <w:r>
        <w:rPr>
          <w:rFonts w:hint="default"/>
          <w:lang w:val="en-US"/>
        </w:rPr>
        <w:t>指出公共收益、维修资金、能耗收支这些信息的查阅权，是业主监督物业服务人履约状况的重要手段。可</w:t>
      </w:r>
      <w:r>
        <w:rPr>
          <w:rFonts w:hint="eastAsia"/>
          <w:lang w:val="en-US" w:eastAsia="zh-CN"/>
        </w:rPr>
        <w:t>此</w:t>
      </w:r>
      <w:r>
        <w:rPr>
          <w:rFonts w:hint="default"/>
          <w:lang w:val="en-US"/>
        </w:rPr>
        <w:t>发现</w:t>
      </w:r>
      <w:r>
        <w:rPr>
          <w:rFonts w:hint="eastAsia"/>
          <w:lang w:val="en-US" w:eastAsia="zh-CN"/>
        </w:rPr>
        <w:t>却从反面验证了，</w:t>
      </w:r>
      <w:r>
        <w:rPr>
          <w:rFonts w:hint="default"/>
          <w:lang w:val="en-US"/>
        </w:rPr>
        <w:t>当公开义务只</w:t>
      </w:r>
      <w:r>
        <w:rPr>
          <w:rFonts w:hint="eastAsia"/>
          <w:lang w:val="en-US" w:eastAsia="zh-CN"/>
        </w:rPr>
        <w:t>局限于</w:t>
      </w:r>
      <w:r>
        <w:rPr>
          <w:rFonts w:hint="default"/>
          <w:lang w:val="en-US"/>
        </w:rPr>
        <w:t>在原则层面，没在频次、内容范围、形式要求还有违反后果上具体化的时候，业主对收费依据和服务状况的信息信任就会持续流失。业主拒交物业费的抗辩，其根源往往并非单纯对服务不满，而是由于信息不透明导致的信任崩塌——业主既不清楚费用去向，也无法核验服务内容。与此同时，履行中的实体争议</w:t>
      </w:r>
      <w:r>
        <w:rPr>
          <w:rFonts w:hint="eastAsia"/>
          <w:lang w:val="en-US" w:eastAsia="zh-CN"/>
        </w:rPr>
        <w:t>还在</w:t>
      </w:r>
      <w:r>
        <w:rPr>
          <w:rFonts w:hint="default"/>
          <w:lang w:val="en-US"/>
        </w:rPr>
        <w:t>进一步加剧对抗。周梅芳（2018）指出，</w:t>
      </w:r>
      <w:r>
        <w:rPr>
          <w:rStyle w:val="34"/>
          <w:rFonts w:hint="default"/>
          <w:lang w:val="en-US"/>
        </w:rPr>
        <w:footnoteReference w:id="15"/>
      </w:r>
      <w:r>
        <w:rPr>
          <w:rFonts w:hint="default"/>
          <w:lang w:val="en-US"/>
        </w:rPr>
        <w:t>前期物业服务合同里，调价程序是不是完备、业主有没有参与，直接影响到调价结果的正当性，程序上出了瑕疵，调价的效力就会受到质疑。朱虎（2020）从继续性合同理论出发，讨论了任意解除权的配置逻辑，</w:t>
      </w:r>
      <w:r>
        <w:rPr>
          <w:rStyle w:val="34"/>
          <w:rFonts w:hint="default"/>
          <w:lang w:val="en-US"/>
        </w:rPr>
        <w:footnoteReference w:id="16"/>
      </w:r>
      <w:r>
        <w:rPr>
          <w:rFonts w:hint="default"/>
          <w:lang w:val="en-US"/>
        </w:rPr>
        <w:t>指出物业服务合同作为一种长期性合同，解除权和物业费请求权之间的制约关系，直接影响着履行的稳定性。综合上述判断可知，</w:t>
      </w:r>
      <w:r>
        <w:rPr>
          <w:rFonts w:hint="eastAsia"/>
          <w:lang w:val="en-US" w:eastAsia="zh-CN"/>
        </w:rPr>
        <w:t>此案呈现</w:t>
      </w:r>
      <w:r>
        <w:rPr>
          <w:rFonts w:hint="default"/>
          <w:lang w:val="en-US"/>
        </w:rPr>
        <w:t>清晰的递进脉络就出来了：前端规则模糊，导致履行中信息不对称，进而引发收费依据和服务质量两方面的信任同时崩塌，业主以拒费来对抗物业服务人，纠纷一步步升级。</w:t>
      </w:r>
    </w:p>
    <w:p w14:paraId="528E8A73">
      <w:pPr>
        <w:rPr>
          <w:rFonts w:hint="default"/>
          <w:lang w:val="en-US"/>
        </w:rPr>
      </w:pPr>
      <w:r>
        <w:rPr>
          <w:rFonts w:hint="default"/>
          <w:lang w:val="en-US"/>
        </w:rPr>
        <w:t>当履行中的争议没办法在合同内部消解的时候，诉前化解程序就成了截断纠纷往诉讼方向流去的最后一道防线。可这道防线目前</w:t>
      </w:r>
      <w:r>
        <w:rPr>
          <w:rFonts w:hint="eastAsia"/>
          <w:lang w:val="en-US" w:eastAsia="zh-CN"/>
        </w:rPr>
        <w:t>存在</w:t>
      </w:r>
      <w:r>
        <w:rPr>
          <w:rFonts w:hint="default"/>
          <w:lang w:val="en-US"/>
        </w:rPr>
        <w:t>结构性失灵的问题。王粟（2020）对非诉讼纠纷解决机制便捷、高效的优势</w:t>
      </w:r>
      <w:r>
        <w:rPr>
          <w:rFonts w:hint="eastAsia"/>
          <w:lang w:val="en-US" w:eastAsia="zh-CN"/>
        </w:rPr>
        <w:t>进行</w:t>
      </w:r>
      <w:r>
        <w:rPr>
          <w:rFonts w:hint="default"/>
          <w:lang w:val="en-US"/>
        </w:rPr>
        <w:t>基础性讨论。</w:t>
      </w:r>
      <w:r>
        <w:rPr>
          <w:rStyle w:val="34"/>
          <w:rFonts w:hint="default"/>
          <w:lang w:val="en-US"/>
        </w:rPr>
        <w:footnoteReference w:id="17"/>
      </w:r>
      <w:r>
        <w:rPr>
          <w:rFonts w:hint="default"/>
          <w:lang w:val="en-US"/>
        </w:rPr>
        <w:t>郑峥（2021）指出，物业服务合同纠纷有高频、琐碎、群体性突出这些特点，不宜一概</w:t>
      </w:r>
      <w:r>
        <w:rPr>
          <w:rFonts w:hint="eastAsia"/>
          <w:lang w:val="en-US" w:eastAsia="zh-CN"/>
        </w:rPr>
        <w:t>通过</w:t>
      </w:r>
      <w:r>
        <w:rPr>
          <w:rFonts w:hint="default"/>
          <w:lang w:val="en-US"/>
        </w:rPr>
        <w:t>司法裁判来解决，应当构建诉源治理机制，把纠纷化于诉外、止于诉内。</w:t>
      </w:r>
      <w:r>
        <w:rPr>
          <w:rStyle w:val="34"/>
          <w:rFonts w:hint="default"/>
          <w:lang w:val="en-US"/>
        </w:rPr>
        <w:footnoteReference w:id="18"/>
      </w:r>
      <w:r>
        <w:rPr>
          <w:rFonts w:hint="default"/>
          <w:lang w:val="en-US"/>
        </w:rPr>
        <w:t>汪世荣（2024）从枫桥经验出发，</w:t>
      </w:r>
      <w:r>
        <w:rPr>
          <w:rStyle w:val="34"/>
          <w:rFonts w:hint="default"/>
          <w:lang w:val="en-US"/>
        </w:rPr>
        <w:footnoteReference w:id="19"/>
      </w:r>
      <w:r>
        <w:rPr>
          <w:rFonts w:hint="default"/>
          <w:lang w:val="en-US"/>
        </w:rPr>
        <w:t>强调基层治理中就地化解纠纷、建立预防机制的实践成效。董妍（2024）讨论了法院在纠纷萌芽期、调解期、审理期三个阶段的差异化介入角色</w:t>
      </w:r>
      <w:r>
        <w:rPr>
          <w:rFonts w:hint="eastAsia"/>
          <w:lang w:val="en-US" w:eastAsia="zh-CN"/>
        </w:rPr>
        <w:t>。</w:t>
      </w:r>
      <w:r>
        <w:rPr>
          <w:rStyle w:val="34"/>
          <w:rFonts w:hint="eastAsia"/>
          <w:lang w:val="en-US" w:eastAsia="zh-CN"/>
        </w:rPr>
        <w:footnoteReference w:id="20"/>
      </w:r>
      <w:r>
        <w:rPr>
          <w:rFonts w:hint="default"/>
          <w:lang w:val="en-US"/>
        </w:rPr>
        <w:t>李红斌（2025）拿重庆市渝北区做例子，</w:t>
      </w:r>
      <w:r>
        <w:rPr>
          <w:rStyle w:val="34"/>
          <w:rFonts w:hint="default"/>
          <w:lang w:val="en-US"/>
        </w:rPr>
        <w:footnoteReference w:id="21"/>
      </w:r>
      <w:r>
        <w:rPr>
          <w:rFonts w:hint="default"/>
          <w:lang w:val="en-US"/>
        </w:rPr>
        <w:t>揭示了调解组织权责边界不清晰、解纷周期偏长这些实践中的堵点。</w:t>
      </w:r>
    </w:p>
    <w:p w14:paraId="22E8D8E0">
      <w:pPr>
        <w:rPr>
          <w:rFonts w:hint="default"/>
          <w:lang w:val="en-US"/>
        </w:rPr>
      </w:pPr>
      <w:r>
        <w:rPr>
          <w:rFonts w:hint="eastAsia"/>
          <w:lang w:val="en-US" w:eastAsia="zh-CN"/>
        </w:rPr>
        <w:t>综上</w:t>
      </w:r>
      <w:r>
        <w:rPr>
          <w:rFonts w:hint="default"/>
          <w:lang w:val="en-US"/>
        </w:rPr>
        <w:t>，</w:t>
      </w:r>
      <w:r>
        <w:rPr>
          <w:rFonts w:hint="eastAsia"/>
          <w:lang w:val="en-US" w:eastAsia="zh-CN"/>
        </w:rPr>
        <w:t>既有研究</w:t>
      </w:r>
      <w:r>
        <w:rPr>
          <w:rFonts w:hint="default"/>
          <w:lang w:val="en-US"/>
        </w:rPr>
        <w:t>共同指向了一个判断：纠纷化解的战场应当</w:t>
      </w:r>
      <w:r>
        <w:rPr>
          <w:rFonts w:hint="eastAsia"/>
          <w:lang w:val="en-US" w:eastAsia="zh-CN"/>
        </w:rPr>
        <w:t>前移</w:t>
      </w:r>
      <w:r>
        <w:rPr>
          <w:rFonts w:hint="default"/>
          <w:lang w:val="en-US"/>
        </w:rPr>
        <w:t>。但它们普遍存在一个共同的局限，就是没能把诉前调解、协商程序跟合同运行本身的具体节点给对接起来。收费调整条款怎么嵌进协商程序里去？服务不达标的时候异议期怎么约定？信息公开披露的节点到底设在哪里？这些问题不解决，预防机制跟合同运行之间始终</w:t>
      </w:r>
      <w:r>
        <w:rPr>
          <w:rFonts w:hint="eastAsia"/>
          <w:lang w:val="en-US" w:eastAsia="zh-CN"/>
        </w:rPr>
        <w:t>缺乏有效衔接</w:t>
      </w:r>
      <w:r>
        <w:rPr>
          <w:rFonts w:hint="default"/>
          <w:lang w:val="en-US"/>
        </w:rPr>
        <w:t>，后端化解也就很难真正做到有效截断纠纷往诉讼方向流去的通道。</w:t>
      </w:r>
    </w:p>
    <w:p w14:paraId="09BFB995">
      <w:pPr>
        <w:rPr>
          <w:rFonts w:hint="default"/>
          <w:lang w:val="en-US"/>
        </w:rPr>
      </w:pPr>
      <w:r>
        <w:rPr>
          <w:rFonts w:hint="default"/>
          <w:lang w:val="en-US"/>
        </w:rPr>
        <w:t>综合来看，既有研究已经形成了一个从制度构造到纠纷化解的完整认知谱系，但它们分别碰触了合同订立阶段的规则配置、履行阶段的信息公开与收费争议，以及争议显现后的非诉化解，却没能把这三者贯通为一个连续性的预防机制。更关键的是，关于纠纷预防的讨论，多半依赖制度推演或者政策描述，缺了以裁判文书为样本、对预防机制在合同运行各阶段具体失灵节点的实证分析。基于这个判断，本文以100份裁判文书为样本，围绕收费规则、信息公开与异议处理三个关键环节，把研究视角从事后责任认定往前移到合同运行的全过程，考察物业服务合同纠纷在订立、履行和争议显现各阶段的生成机制，并据此提出可以嵌入合同文本与地方立法的具体预防方案。这项</w:t>
      </w:r>
      <w:r>
        <w:rPr>
          <w:rFonts w:hint="eastAsia"/>
          <w:lang w:val="en-US" w:eastAsia="zh-CN"/>
        </w:rPr>
        <w:t>研究旨在</w:t>
      </w:r>
      <w:r>
        <w:rPr>
          <w:rFonts w:hint="default"/>
          <w:lang w:val="en-US"/>
        </w:rPr>
        <w:t>从逻辑和实证两个层面，把前端预防、中期公开、后端化解这条连续性通道打通，为物业服务合同纠纷的诉源治理提供更具操作性的</w:t>
      </w:r>
      <w:r>
        <w:rPr>
          <w:rFonts w:hint="eastAsia"/>
          <w:lang w:val="en-US" w:eastAsia="zh-CN"/>
        </w:rPr>
        <w:t>对策</w:t>
      </w:r>
      <w:r>
        <w:rPr>
          <w:rFonts w:hint="default"/>
          <w:lang w:val="en-US"/>
        </w:rPr>
        <w:t>。</w:t>
      </w:r>
    </w:p>
    <w:p w14:paraId="58867BE5">
      <w:pPr>
        <w:pStyle w:val="3"/>
        <w:bidi w:val="0"/>
        <w:rPr>
          <w:rFonts w:hint="default"/>
          <w:lang w:val="en-US" w:eastAsia="zh-CN"/>
        </w:rPr>
      </w:pPr>
      <w:bookmarkStart w:id="51" w:name="_Toc18235"/>
      <w:bookmarkStart w:id="52" w:name="_Toc14822"/>
      <w:bookmarkStart w:id="53" w:name="_Toc31616"/>
      <w:bookmarkStart w:id="54" w:name="_Toc21587"/>
      <w:bookmarkStart w:id="55" w:name="_Toc5981"/>
      <w:bookmarkStart w:id="56" w:name="_Toc7083"/>
      <w:bookmarkStart w:id="57" w:name="_Toc994"/>
      <w:bookmarkStart w:id="58" w:name="_Toc3857"/>
      <w:r>
        <w:rPr>
          <w:rFonts w:hint="eastAsia"/>
        </w:rPr>
        <w:t>（三）</w:t>
      </w:r>
      <w:bookmarkEnd w:id="51"/>
      <w:bookmarkEnd w:id="52"/>
      <w:bookmarkEnd w:id="53"/>
      <w:bookmarkEnd w:id="54"/>
      <w:bookmarkEnd w:id="55"/>
      <w:bookmarkEnd w:id="56"/>
      <w:r>
        <w:rPr>
          <w:rFonts w:hint="eastAsia"/>
          <w:lang w:val="en-US" w:eastAsia="zh-CN"/>
        </w:rPr>
        <w:t>研究方法与创新点</w:t>
      </w:r>
      <w:bookmarkEnd w:id="57"/>
      <w:bookmarkEnd w:id="58"/>
    </w:p>
    <w:p w14:paraId="31C7E09E">
      <w:pPr>
        <w:pStyle w:val="4"/>
        <w:bidi w:val="0"/>
        <w:rPr>
          <w:rFonts w:hint="eastAsia"/>
          <w:lang w:val="en-US" w:eastAsia="zh-CN"/>
        </w:rPr>
      </w:pPr>
      <w:bookmarkStart w:id="59" w:name="_Toc7268"/>
      <w:bookmarkStart w:id="60" w:name="_Toc17035"/>
      <w:r>
        <w:rPr>
          <w:rFonts w:hint="eastAsia"/>
          <w:lang w:val="en-US" w:eastAsia="zh-CN"/>
        </w:rPr>
        <w:t>1</w:t>
      </w:r>
      <w:r>
        <w:rPr>
          <w:rFonts w:hint="eastAsia"/>
        </w:rPr>
        <w:t>.</w:t>
      </w:r>
      <w:r>
        <w:rPr>
          <w:rFonts w:hint="eastAsia"/>
          <w:lang w:val="en-US" w:eastAsia="zh-CN"/>
        </w:rPr>
        <w:t>研究方法</w:t>
      </w:r>
      <w:bookmarkEnd w:id="59"/>
      <w:bookmarkEnd w:id="60"/>
    </w:p>
    <w:p w14:paraId="3EECD8AA">
      <w:pPr>
        <w:bidi w:val="0"/>
        <w:rPr>
          <w:rFonts w:hint="eastAsia"/>
          <w:lang w:val="en-US" w:eastAsia="zh-CN"/>
        </w:rPr>
      </w:pPr>
      <w:r>
        <w:rPr>
          <w:rFonts w:hint="eastAsia"/>
          <w:lang w:val="en-US" w:eastAsia="zh-CN"/>
        </w:rPr>
        <w:t>本文主要采用了四种研究方法。</w:t>
      </w:r>
    </w:p>
    <w:p w14:paraId="3CCF7831">
      <w:pPr>
        <w:bidi w:val="0"/>
        <w:rPr>
          <w:rFonts w:hint="eastAsia"/>
          <w:lang w:val="en-US" w:eastAsia="zh-CN"/>
        </w:rPr>
      </w:pPr>
      <w:r>
        <w:rPr>
          <w:rFonts w:hint="eastAsia"/>
          <w:lang w:val="en-US" w:eastAsia="zh-CN"/>
        </w:rPr>
        <w:t>一是实证分析法。以北大法宝司法案例数据库里的100份物业服务合同纠纷裁判文书当样本，围绕收费规则、信息公开和异议处理这三个方面，对案件争议类型、裁判理由还有背后折射出来的制度问题进行筛选、分类和归纳。通过整理统计，找出物业服务合同纠纷在司法实践中高发的争议点及其形成机制，这也是整篇文章展开问题分析的一个基础。</w:t>
      </w:r>
    </w:p>
    <w:p w14:paraId="5AD29BF0">
      <w:pPr>
        <w:bidi w:val="0"/>
        <w:rPr>
          <w:rFonts w:hint="eastAsia"/>
          <w:lang w:val="en-US" w:eastAsia="zh-CN"/>
        </w:rPr>
      </w:pPr>
      <w:r>
        <w:rPr>
          <w:rFonts w:hint="eastAsia"/>
          <w:lang w:val="en-US" w:eastAsia="zh-CN"/>
        </w:rPr>
        <w:t>二是规范分析法。在样本分析的前提上，结合《民法典》合同编中有关物业服务合同的规定、《物业管理条例》以及相关的司法解释，对收费规则、信息公开义务和争议处理程序这几块的现行制度基础进行梳理，为后面提出完善对策提供规范层面的依据。</w:t>
      </w:r>
    </w:p>
    <w:p w14:paraId="7315E6CC">
      <w:pPr>
        <w:bidi w:val="0"/>
        <w:rPr>
          <w:rFonts w:hint="eastAsia"/>
          <w:lang w:val="en-US" w:eastAsia="zh-CN"/>
        </w:rPr>
      </w:pPr>
      <w:r>
        <w:rPr>
          <w:rFonts w:hint="eastAsia"/>
          <w:lang w:val="en-US" w:eastAsia="zh-CN"/>
        </w:rPr>
        <w:t>三是案例分析法。在同类争议归纳的基础上，从样本里挑出有代表性的案件进行重点剖析，借助法院查明的事实和裁判理由，反推纠纷诉讼阶段前阶段本来该落实却没有落实的前端安排，让实证分析的针对性和说服力都能更强。</w:t>
      </w:r>
    </w:p>
    <w:p w14:paraId="1F20EA1F">
      <w:pPr>
        <w:bidi w:val="0"/>
        <w:rPr>
          <w:rFonts w:hint="default"/>
          <w:lang w:val="en-US" w:eastAsia="zh-CN"/>
        </w:rPr>
      </w:pPr>
      <w:r>
        <w:rPr>
          <w:rFonts w:hint="eastAsia"/>
          <w:lang w:val="en-US" w:eastAsia="zh-CN"/>
        </w:rPr>
        <w:t>四是归纳分析法。通过对样本争议类型和裁判逻辑的归纳，提炼物业服务合同纠纷的共性问题。</w:t>
      </w:r>
    </w:p>
    <w:p w14:paraId="7DECFD12">
      <w:pPr>
        <w:pStyle w:val="4"/>
        <w:bidi w:val="0"/>
        <w:rPr>
          <w:rFonts w:hint="eastAsia"/>
          <w:lang w:val="en-US" w:eastAsia="zh-CN"/>
        </w:rPr>
      </w:pPr>
      <w:bookmarkStart w:id="61" w:name="_Toc5633"/>
      <w:bookmarkStart w:id="62" w:name="_Toc7294"/>
      <w:r>
        <w:rPr>
          <w:rFonts w:hint="eastAsia"/>
        </w:rPr>
        <w:t>2.创新</w:t>
      </w:r>
      <w:bookmarkEnd w:id="61"/>
      <w:r>
        <w:rPr>
          <w:rFonts w:hint="eastAsia"/>
          <w:lang w:val="en-US" w:eastAsia="zh-CN"/>
        </w:rPr>
        <w:t>点</w:t>
      </w:r>
      <w:bookmarkEnd w:id="62"/>
      <w:bookmarkStart w:id="63" w:name="_Toc31793_WPSOffice_Level1"/>
      <w:bookmarkStart w:id="64" w:name="_Toc20330"/>
      <w:bookmarkStart w:id="65" w:name="_Toc15054"/>
      <w:bookmarkStart w:id="66" w:name="_Toc24015"/>
      <w:bookmarkStart w:id="67" w:name="_Toc11902"/>
      <w:bookmarkStart w:id="68" w:name="_Toc17471"/>
      <w:bookmarkStart w:id="69" w:name="_Toc25724"/>
      <w:bookmarkStart w:id="70" w:name="_Toc2459"/>
      <w:bookmarkStart w:id="71" w:name="_Toc14573"/>
    </w:p>
    <w:p w14:paraId="1640F7DB">
      <w:pPr>
        <w:bidi w:val="0"/>
        <w:rPr>
          <w:rFonts w:hint="eastAsia"/>
          <w:lang w:val="en-US" w:eastAsia="zh-CN"/>
        </w:rPr>
      </w:pPr>
      <w:r>
        <w:rPr>
          <w:rFonts w:hint="eastAsia"/>
          <w:lang w:val="en-US" w:eastAsia="zh-CN"/>
        </w:rPr>
        <w:t>创新点主要体现在以下三个方面。</w:t>
      </w:r>
    </w:p>
    <w:p w14:paraId="5607FBB8">
      <w:pPr>
        <w:bidi w:val="0"/>
        <w:rPr>
          <w:rFonts w:hint="default"/>
          <w:lang w:val="en-US" w:eastAsia="zh-CN"/>
        </w:rPr>
      </w:pPr>
      <w:r>
        <w:rPr>
          <w:rFonts w:hint="eastAsia"/>
          <w:lang w:val="en-US" w:eastAsia="zh-CN"/>
        </w:rPr>
        <w:t>一是研究对象较为聚焦。与部分从广义物业治理纠纷出发的研究不同，这项研究把对象限定在狭义的物业服务合同纠纷上，重点围绕物业费、服务质量、信息公开和抗辩事由这些跟合同订立、履行直接挂钩的争议来展开分析，研究的边界更为清晰。</w:t>
      </w:r>
    </w:p>
    <w:p w14:paraId="6663804B">
      <w:pPr>
        <w:bidi w:val="0"/>
        <w:rPr>
          <w:rFonts w:hint="default"/>
          <w:lang w:val="en-US" w:eastAsia="zh-CN"/>
        </w:rPr>
      </w:pPr>
      <w:r>
        <w:rPr>
          <w:rFonts w:hint="eastAsia"/>
          <w:lang w:val="en-US" w:eastAsia="zh-CN"/>
        </w:rPr>
        <w:t>二是在研究方法采用了裁判文书实证分析法。以100份裁判文书当样本，不停留在一般性的制度讨论上，而是通过对案件事实、争议焦点和裁判理由的整理归纳，识别物业服务合同纠纷在司法实践里高频出现的风险点，让研究结论跟现实情况更加贴合。</w:t>
      </w:r>
    </w:p>
    <w:p w14:paraId="239C996F">
      <w:pPr>
        <w:keepNext w:val="0"/>
        <w:keepLines w:val="0"/>
        <w:pageBreakBefore w:val="0"/>
        <w:widowControl w:val="0"/>
        <w:kinsoku/>
        <w:wordWrap/>
        <w:overflowPunct/>
        <w:topLinePunct w:val="0"/>
        <w:autoSpaceDE/>
        <w:autoSpaceDN/>
        <w:bidi w:val="0"/>
        <w:adjustRightInd/>
        <w:snapToGrid/>
        <w:textAlignment w:val="auto"/>
        <w:outlineLvl w:val="0"/>
        <w:rPr>
          <w:rStyle w:val="48"/>
          <w:rFonts w:hint="eastAsia"/>
          <w:lang w:eastAsia="zh-CN"/>
        </w:rPr>
      </w:pPr>
      <w:bookmarkStart w:id="72" w:name="_Toc8121"/>
      <w:bookmarkStart w:id="73" w:name="_Toc2674"/>
      <w:r>
        <w:rPr>
          <w:rFonts w:hint="eastAsia"/>
          <w:lang w:val="en-US" w:eastAsia="zh-CN"/>
        </w:rPr>
        <w:t>三是研究视角上进行阶段性的划分。不光对纠纷类型进行分类，还进一步从合同订立、履行和争议显现这三个阶段入手，去考察预防机制失灵到底是怎样一步步发生的，再针对不同阶段提出跟问题对应的完善建议，如此，问题分析和对策设计之间形成了较紧密的逻辑闭环。</w:t>
      </w:r>
      <w:r>
        <w:rPr>
          <w:rFonts w:hint="eastAsia"/>
          <w:lang w:val="en-US" w:eastAsia="zh-CN"/>
        </w:rPr>
        <w:br w:type="page"/>
      </w:r>
      <w:r>
        <w:rPr>
          <w:rStyle w:val="48"/>
          <w:rFonts w:hint="eastAsia"/>
        </w:rPr>
        <w:t>二</w:t>
      </w:r>
      <w:bookmarkEnd w:id="63"/>
      <w:bookmarkEnd w:id="64"/>
      <w:bookmarkEnd w:id="65"/>
      <w:bookmarkEnd w:id="66"/>
      <w:bookmarkEnd w:id="67"/>
      <w:bookmarkEnd w:id="68"/>
      <w:bookmarkEnd w:id="69"/>
      <w:r>
        <w:rPr>
          <w:rStyle w:val="48"/>
          <w:rFonts w:hint="eastAsia"/>
          <w:lang w:val="en-US"/>
        </w:rPr>
        <w:t xml:space="preserve">、 </w:t>
      </w:r>
      <w:bookmarkEnd w:id="70"/>
      <w:bookmarkEnd w:id="71"/>
      <w:r>
        <w:rPr>
          <w:rStyle w:val="48"/>
          <w:rFonts w:hint="eastAsia"/>
          <w:lang w:val="en-US"/>
        </w:rPr>
        <w:t>物业服务合同纠纷预防机制的基础与观察思路</w:t>
      </w:r>
      <w:bookmarkEnd w:id="72"/>
      <w:bookmarkEnd w:id="73"/>
    </w:p>
    <w:p w14:paraId="188918C8">
      <w:pPr>
        <w:pStyle w:val="3"/>
        <w:bidi w:val="0"/>
        <w:rPr>
          <w:rFonts w:hint="eastAsia"/>
        </w:rPr>
      </w:pPr>
      <w:bookmarkStart w:id="74" w:name="_Toc611"/>
      <w:bookmarkStart w:id="75" w:name="_Toc2179"/>
      <w:bookmarkStart w:id="76" w:name="_Toc27210_WPSOffice_Level1"/>
      <w:bookmarkStart w:id="77" w:name="_Toc23801"/>
      <w:bookmarkStart w:id="78" w:name="_Toc32587"/>
      <w:bookmarkStart w:id="79" w:name="_Toc12053"/>
      <w:bookmarkStart w:id="80" w:name="_Toc17135"/>
      <w:bookmarkStart w:id="81" w:name="_Toc22835"/>
      <w:r>
        <w:rPr>
          <w:rFonts w:hint="eastAsia"/>
          <w:lang w:val="en-US" w:eastAsia="zh-CN"/>
        </w:rPr>
        <w:t xml:space="preserve">(一) </w:t>
      </w:r>
      <w:r>
        <w:rPr>
          <w:rFonts w:hint="eastAsia"/>
        </w:rPr>
        <w:t>物业服务合同纠纷预防的基本依据</w:t>
      </w:r>
      <w:bookmarkEnd w:id="74"/>
    </w:p>
    <w:p w14:paraId="28885C21">
      <w:pPr>
        <w:pStyle w:val="4"/>
        <w:bidi w:val="0"/>
        <w:rPr>
          <w:rFonts w:hint="eastAsia"/>
        </w:rPr>
      </w:pPr>
      <w:bookmarkStart w:id="82" w:name="_Toc30103"/>
      <w:r>
        <w:rPr>
          <w:rFonts w:hint="eastAsia"/>
        </w:rPr>
        <w:t>1. 物业服务合同的持续履行特征</w:t>
      </w:r>
      <w:bookmarkEnd w:id="82"/>
    </w:p>
    <w:p w14:paraId="121EB382">
      <w:pPr>
        <w:bidi w:val="0"/>
        <w:rPr>
          <w:rFonts w:hint="eastAsia"/>
        </w:rPr>
      </w:pPr>
      <w:r>
        <w:rPr>
          <w:rFonts w:hint="eastAsia"/>
        </w:rPr>
        <w:t>物业服务合同不同于一次性履行的买卖合同，其核心义务并非在某一时点完成，而是围绕保洁、秩序维护、设施养护、费用缴纳等事项在较长期间内持续履行。也正因为如此，物业服务合同纠纷通常不是由某一次单一违约行为即时引发，而是在长期履行过程中逐步积累形成。现行法律对此类合同的规则供给仍以原则性规定为主，许多权利义务需要在合同中进一步明确，因而合同条款本身的确定性和可操作性就显得格外关键</w:t>
      </w:r>
      <w:r>
        <w:rPr>
          <w:rFonts w:hint="eastAsia"/>
          <w:lang w:eastAsia="zh-CN"/>
        </w:rPr>
        <w:t>。</w:t>
      </w:r>
      <w:r>
        <w:rPr>
          <w:rFonts w:hint="eastAsia"/>
        </w:rPr>
        <w:t>收费标准是否清楚、服务事项是否落实、费用说明是否充分、沟通是否顺畅，都会在持续履行中不断影响双方对合同关系的判断。一旦合同前端规则不够明确，履行中的一般性摩擦便容易在时间推移中不断放大，最终演化为正式纠纷。由此可见，物业服务合同纠纷具有明显的累积性和过程性，这也决定了其更适合从前端预防而非单纯事后救济的角度加以观察。</w:t>
      </w:r>
    </w:p>
    <w:p w14:paraId="1C0576CE">
      <w:pPr>
        <w:pStyle w:val="4"/>
        <w:bidi w:val="0"/>
        <w:rPr>
          <w:rFonts w:hint="eastAsia"/>
        </w:rPr>
      </w:pPr>
      <w:bookmarkStart w:id="83" w:name="_Toc27028"/>
      <w:r>
        <w:rPr>
          <w:rFonts w:hint="eastAsia"/>
        </w:rPr>
        <w:t>2. 物业服务人的说明与公开义务</w:t>
      </w:r>
      <w:bookmarkEnd w:id="83"/>
    </w:p>
    <w:p w14:paraId="637B869E">
      <w:pPr>
        <w:bidi w:val="0"/>
        <w:rPr>
          <w:rFonts w:hint="eastAsia"/>
        </w:rPr>
      </w:pPr>
      <w:r>
        <w:rPr>
          <w:rFonts w:hint="eastAsia"/>
        </w:rPr>
        <w:t>物业服务合同在履行当中，</w:t>
      </w:r>
      <w:r>
        <w:rPr>
          <w:rFonts w:hint="eastAsia"/>
          <w:lang w:val="en-US" w:eastAsia="zh-CN"/>
        </w:rPr>
        <w:t>不仅</w:t>
      </w:r>
      <w:r>
        <w:rPr>
          <w:rFonts w:hint="eastAsia"/>
        </w:rPr>
        <w:t>要完成提供服务和支付物业费这些基本的给付义务，同时还有很强的说明、公开和协作要求。对于收费依据、费用构成、服务履行情况以及相关收支事项，物业服务人</w:t>
      </w:r>
      <w:r>
        <w:rPr>
          <w:rFonts w:hint="eastAsia"/>
          <w:lang w:val="en-US" w:eastAsia="zh-CN"/>
        </w:rPr>
        <w:t>都</w:t>
      </w:r>
      <w:r>
        <w:rPr>
          <w:rFonts w:hint="eastAsia"/>
        </w:rPr>
        <w:t>负有必要的说明和公开义务。《民法典》第943条明确要求物业服务人以合理方式</w:t>
      </w:r>
      <w:r>
        <w:rPr>
          <w:rFonts w:hint="eastAsia"/>
          <w:lang w:val="en-US" w:eastAsia="zh-CN"/>
        </w:rPr>
        <w:t>将</w:t>
      </w:r>
      <w:r>
        <w:rPr>
          <w:rFonts w:hint="eastAsia"/>
        </w:rPr>
        <w:t>服务事项、费项目、收费标准、履行情况以及相关收支信息，向业主公开并向业主大会、业主委员会报告</w:t>
      </w:r>
      <w:r>
        <w:rPr>
          <w:rFonts w:hint="eastAsia"/>
          <w:lang w:eastAsia="zh-CN"/>
        </w:rPr>
        <w:t>。</w:t>
      </w:r>
      <w:r>
        <w:rPr>
          <w:rFonts w:hint="eastAsia"/>
        </w:rPr>
        <w:t>这表明物业服务关系中的信赖基础，不仅依赖合同条款本身，也依赖物业服务人在履行过程中持续、充分和可核验的信息供给。若物业服务人长期未就收费和服务事项作出明确说明，业主</w:t>
      </w:r>
      <w:r>
        <w:rPr>
          <w:rFonts w:hint="eastAsia"/>
          <w:lang w:val="en-US" w:eastAsia="zh-CN"/>
        </w:rPr>
        <w:t>便很难</w:t>
      </w:r>
      <w:r>
        <w:rPr>
          <w:rFonts w:hint="eastAsia"/>
        </w:rPr>
        <w:t>形成稳定的履约判断，</w:t>
      </w:r>
      <w:r>
        <w:rPr>
          <w:rFonts w:hint="eastAsia"/>
          <w:lang w:val="en-US" w:eastAsia="zh-CN"/>
        </w:rPr>
        <w:t>进而</w:t>
      </w:r>
      <w:r>
        <w:rPr>
          <w:rFonts w:hint="eastAsia"/>
        </w:rPr>
        <w:t>容易通过拒费、投诉或者诉讼</w:t>
      </w:r>
      <w:r>
        <w:rPr>
          <w:rFonts w:hint="eastAsia"/>
          <w:lang w:val="en-US" w:eastAsia="zh-CN"/>
        </w:rPr>
        <w:t>来</w:t>
      </w:r>
      <w:r>
        <w:rPr>
          <w:rFonts w:hint="eastAsia"/>
        </w:rPr>
        <w:t>表达不满。因此，说明与公开义务并非物业服务合同中的附属事项，而是维持持续履约关系稳定运行的重要基础。</w:t>
      </w:r>
      <w:r>
        <w:rPr>
          <w:rStyle w:val="34"/>
          <w:rFonts w:hint="eastAsia"/>
        </w:rPr>
        <w:footnoteReference w:id="22"/>
      </w:r>
    </w:p>
    <w:p w14:paraId="4D7B452A">
      <w:pPr>
        <w:pStyle w:val="4"/>
        <w:bidi w:val="0"/>
        <w:rPr>
          <w:rFonts w:hint="eastAsia"/>
        </w:rPr>
      </w:pPr>
      <w:bookmarkStart w:id="84" w:name="_Toc18628"/>
      <w:r>
        <w:rPr>
          <w:rFonts w:hint="eastAsia"/>
        </w:rPr>
        <w:t>3. 纠纷前端预防的必要性</w:t>
      </w:r>
      <w:bookmarkEnd w:id="84"/>
    </w:p>
    <w:p w14:paraId="16114E5F">
      <w:pPr>
        <w:bidi w:val="0"/>
        <w:rPr>
          <w:rFonts w:hint="eastAsia"/>
          <w:b w:val="0"/>
          <w:bCs w:val="0"/>
          <w:szCs w:val="24"/>
        </w:rPr>
      </w:pPr>
      <w:r>
        <w:rPr>
          <w:rFonts w:hint="eastAsia"/>
        </w:rPr>
        <w:t>物业服务合同纠纷在处理上</w:t>
      </w:r>
      <w:r>
        <w:rPr>
          <w:rFonts w:hint="eastAsia"/>
          <w:lang w:val="en-US" w:eastAsia="zh-CN"/>
        </w:rPr>
        <w:t>具有</w:t>
      </w:r>
      <w:r>
        <w:rPr>
          <w:rFonts w:hint="eastAsia"/>
        </w:rPr>
        <w:t>明显特点，</w:t>
      </w:r>
      <w:r>
        <w:rPr>
          <w:rFonts w:hint="eastAsia"/>
          <w:lang w:val="en-US" w:eastAsia="zh-CN"/>
        </w:rPr>
        <w:t>即</w:t>
      </w:r>
      <w:r>
        <w:rPr>
          <w:rFonts w:hint="eastAsia"/>
        </w:rPr>
        <w:t>需要把重心放在前端预防上，</w:t>
      </w:r>
      <w:r>
        <w:rPr>
          <w:rFonts w:hint="eastAsia"/>
          <w:lang w:val="en-US" w:eastAsia="zh-CN"/>
        </w:rPr>
        <w:t>只</w:t>
      </w:r>
      <w:r>
        <w:rPr>
          <w:rFonts w:hint="eastAsia"/>
        </w:rPr>
        <w:t>靠诉讼做事后处理远远不够。物业服务合同关系本身</w:t>
      </w:r>
      <w:r>
        <w:rPr>
          <w:rFonts w:hint="eastAsia"/>
          <w:lang w:val="en-US" w:eastAsia="zh-CN"/>
        </w:rPr>
        <w:t>具</w:t>
      </w:r>
      <w:r>
        <w:rPr>
          <w:rFonts w:hint="eastAsia"/>
        </w:rPr>
        <w:t>有持续性，</w:t>
      </w:r>
      <w:r>
        <w:rPr>
          <w:rFonts w:hint="eastAsia"/>
          <w:lang w:val="en-US" w:eastAsia="zh-CN"/>
        </w:rPr>
        <w:t>即使</w:t>
      </w:r>
      <w:r>
        <w:rPr>
          <w:rFonts w:hint="eastAsia"/>
        </w:rPr>
        <w:t>个案在法院拿到了判决，当事双方在小区日常管理和往来当中大概率还</w:t>
      </w:r>
      <w:r>
        <w:rPr>
          <w:rFonts w:hint="eastAsia"/>
          <w:lang w:val="en-US" w:eastAsia="zh-CN"/>
        </w:rPr>
        <w:t>需</w:t>
      </w:r>
      <w:r>
        <w:rPr>
          <w:rFonts w:hint="eastAsia"/>
        </w:rPr>
        <w:t>继续</w:t>
      </w:r>
      <w:r>
        <w:rPr>
          <w:rFonts w:hint="eastAsia"/>
          <w:lang w:val="en-US" w:eastAsia="zh-CN"/>
        </w:rPr>
        <w:t>交往</w:t>
      </w:r>
      <w:r>
        <w:rPr>
          <w:rFonts w:hint="eastAsia"/>
        </w:rPr>
        <w:t>，</w:t>
      </w:r>
      <w:r>
        <w:rPr>
          <w:rFonts w:hint="eastAsia"/>
          <w:lang w:val="en-US" w:eastAsia="zh-CN"/>
        </w:rPr>
        <w:t>只</w:t>
      </w:r>
      <w:r>
        <w:rPr>
          <w:rFonts w:hint="eastAsia"/>
        </w:rPr>
        <w:t>凭一纸判决很难修复已经受损的信任。</w:t>
      </w:r>
      <w:r>
        <w:rPr>
          <w:rFonts w:hint="eastAsia"/>
          <w:lang w:val="en-US" w:eastAsia="zh-CN"/>
        </w:rPr>
        <w:t>其次</w:t>
      </w:r>
      <w:r>
        <w:rPr>
          <w:rFonts w:hint="eastAsia"/>
        </w:rPr>
        <w:t>，这类纠纷多半高频、琐碎，关系性强，如果大量分歧都攒到一定程度才涌进司法程序，</w:t>
      </w:r>
      <w:r>
        <w:rPr>
          <w:rFonts w:hint="eastAsia"/>
          <w:lang w:val="en-US" w:eastAsia="zh-CN"/>
        </w:rPr>
        <w:t>不仅</w:t>
      </w:r>
      <w:r>
        <w:rPr>
          <w:rFonts w:hint="eastAsia"/>
        </w:rPr>
        <w:t>解决成本高，</w:t>
      </w:r>
      <w:r>
        <w:rPr>
          <w:rFonts w:hint="eastAsia"/>
          <w:lang w:val="en-US" w:eastAsia="zh-CN"/>
        </w:rPr>
        <w:t>而且不利于</w:t>
      </w:r>
      <w:r>
        <w:rPr>
          <w:rFonts w:hint="eastAsia"/>
        </w:rPr>
        <w:t>基层治理秩序的稳。</w:t>
      </w:r>
      <w:r>
        <w:rPr>
          <w:rFonts w:hint="eastAsia"/>
          <w:lang w:val="en-US" w:eastAsia="zh-CN"/>
        </w:rPr>
        <w:t>因此</w:t>
      </w:r>
      <w:r>
        <w:rPr>
          <w:rFonts w:hint="eastAsia"/>
        </w:rPr>
        <w:t>，</w:t>
      </w:r>
      <w:r>
        <w:rPr>
          <w:rFonts w:hint="eastAsia"/>
          <w:lang w:val="en-US" w:eastAsia="zh-CN"/>
        </w:rPr>
        <w:t>相较于只关注</w:t>
      </w:r>
      <w:r>
        <w:rPr>
          <w:rFonts w:hint="eastAsia"/>
        </w:rPr>
        <w:t>违约责任和诉讼救济，更有必要在合同订立阶段把规则</w:t>
      </w:r>
      <w:r>
        <w:rPr>
          <w:rFonts w:hint="eastAsia"/>
          <w:lang w:val="en-US" w:eastAsia="zh-CN"/>
        </w:rPr>
        <w:t>定清</w:t>
      </w:r>
      <w:r>
        <w:rPr>
          <w:rFonts w:hint="eastAsia"/>
        </w:rPr>
        <w:t>，在履行阶段把说明和公开义务压实，在争议</w:t>
      </w:r>
      <w:r>
        <w:rPr>
          <w:rFonts w:hint="eastAsia"/>
          <w:lang w:val="en-US" w:eastAsia="zh-CN"/>
        </w:rPr>
        <w:t>刚出现</w:t>
      </w:r>
      <w:r>
        <w:rPr>
          <w:rFonts w:hint="eastAsia"/>
        </w:rPr>
        <w:t>的时</w:t>
      </w:r>
      <w:r>
        <w:rPr>
          <w:rFonts w:hint="eastAsia"/>
          <w:lang w:val="en-US" w:eastAsia="zh-CN"/>
        </w:rPr>
        <w:t>建立好</w:t>
      </w:r>
      <w:r>
        <w:rPr>
          <w:rFonts w:hint="eastAsia"/>
        </w:rPr>
        <w:t>异议处理和分流的通道。</w:t>
      </w:r>
      <w:r>
        <w:rPr>
          <w:rFonts w:hint="eastAsia"/>
          <w:lang w:val="en-US" w:eastAsia="zh-CN"/>
        </w:rPr>
        <w:t>针对</w:t>
      </w:r>
      <w:r>
        <w:rPr>
          <w:rFonts w:hint="eastAsia"/>
        </w:rPr>
        <w:t>物业服务合同纠纷，预防优先不是要否定诉讼的作用，而是说能放在前端解决的问题</w:t>
      </w:r>
      <w:r>
        <w:rPr>
          <w:rFonts w:hint="eastAsia"/>
          <w:lang w:eastAsia="zh-CN"/>
        </w:rPr>
        <w:t>，</w:t>
      </w:r>
      <w:r>
        <w:rPr>
          <w:rFonts w:hint="eastAsia"/>
          <w:lang w:val="en-US" w:eastAsia="zh-CN"/>
        </w:rPr>
        <w:t>尽量不要进入诉讼。</w:t>
      </w:r>
      <w:r>
        <w:rPr>
          <w:rStyle w:val="34"/>
          <w:rFonts w:hint="eastAsia"/>
        </w:rPr>
        <w:footnoteReference w:id="23"/>
      </w:r>
    </w:p>
    <w:p w14:paraId="6571238F">
      <w:pPr>
        <w:pStyle w:val="3"/>
        <w:bidi w:val="0"/>
        <w:rPr>
          <w:rFonts w:hint="eastAsia"/>
        </w:rPr>
      </w:pPr>
      <w:bookmarkStart w:id="85" w:name="_Toc19950"/>
      <w:r>
        <w:rPr>
          <w:rFonts w:hint="eastAsia"/>
        </w:rPr>
        <w:t>（二）本文的观察思路</w:t>
      </w:r>
      <w:bookmarkEnd w:id="85"/>
    </w:p>
    <w:p w14:paraId="5AF07007">
      <w:pPr>
        <w:bidi w:val="0"/>
        <w:rPr>
          <w:rFonts w:hint="eastAsia" w:eastAsia="宋体"/>
          <w:b w:val="0"/>
          <w:bCs w:val="0"/>
          <w:szCs w:val="24"/>
          <w:lang w:eastAsia="zh-CN"/>
        </w:rPr>
      </w:pPr>
      <w:r>
        <w:rPr>
          <w:rFonts w:hint="eastAsia"/>
          <w:b w:val="0"/>
          <w:bCs w:val="0"/>
          <w:szCs w:val="24"/>
        </w:rPr>
        <w:t>基于上述基本依据，本文后文将围绕物业服务合同纠纷形成过程中的三个关键环节展开观察：一是收费标准、计费依据和服务范围等核心规则是否明确；二是服务履行情况、费用构成及相关收支信息是否得到持续、充分公开；三是在分歧已经出现后，业主异议能否通过正式程序得到受理、答复和前端化解。之所以从这三个方面展开，并非因为物业服务合同纠纷仅限于此，而是因为从100份裁判文书看，收费规则不清、信息公开不足和异议处理失灵，是最容易推动一般履行摩擦演变为正式诉讼的三个关键节点。本文第三章将据此展开实证分析，第四章则在此基础上提出相应的</w:t>
      </w:r>
      <w:r>
        <w:rPr>
          <w:rFonts w:hint="eastAsia"/>
          <w:b w:val="0"/>
          <w:bCs w:val="0"/>
          <w:szCs w:val="24"/>
          <w:lang w:eastAsia="zh-CN"/>
        </w:rPr>
        <w:t>完善对策。</w:t>
      </w:r>
      <w:r>
        <w:rPr>
          <w:rStyle w:val="34"/>
          <w:rFonts w:hint="eastAsia"/>
          <w:b w:val="0"/>
          <w:bCs w:val="0"/>
          <w:szCs w:val="24"/>
          <w:lang w:eastAsia="zh-CN"/>
        </w:rPr>
        <w:footnoteReference w:id="24"/>
      </w:r>
    </w:p>
    <w:p w14:paraId="21EB5B11">
      <w:pPr>
        <w:bidi w:val="0"/>
        <w:rPr>
          <w:rFonts w:hint="eastAsia"/>
          <w:b w:val="0"/>
          <w:bCs w:val="0"/>
          <w:szCs w:val="24"/>
        </w:rPr>
      </w:pPr>
    </w:p>
    <w:p w14:paraId="019B58CC">
      <w:pPr>
        <w:bidi w:val="0"/>
        <w:rPr>
          <w:rStyle w:val="48"/>
          <w:rFonts w:hint="eastAsia"/>
          <w:lang w:val="en-US" w:eastAsia="zh-CN"/>
        </w:rPr>
      </w:pPr>
      <w:r>
        <w:rPr>
          <w:b w:val="0"/>
          <w:bCs w:val="0"/>
          <w:szCs w:val="24"/>
        </w:rPr>
        <w:br w:type="page"/>
      </w:r>
      <w:bookmarkStart w:id="86" w:name="_Toc13395"/>
      <w:bookmarkStart w:id="87" w:name="Z社区物业纠纷预防的治理现状与困境"/>
      <w:bookmarkStart w:id="88" w:name="_Toc6576"/>
      <w:r>
        <w:rPr>
          <w:rStyle w:val="48"/>
          <w:rFonts w:hint="eastAsia"/>
        </w:rPr>
        <w:t>三、</w:t>
      </w:r>
      <w:bookmarkEnd w:id="75"/>
      <w:bookmarkEnd w:id="76"/>
      <w:bookmarkEnd w:id="77"/>
      <w:bookmarkEnd w:id="78"/>
      <w:bookmarkEnd w:id="79"/>
      <w:bookmarkEnd w:id="80"/>
      <w:bookmarkEnd w:id="81"/>
      <w:bookmarkEnd w:id="86"/>
      <w:r>
        <w:rPr>
          <w:rStyle w:val="48"/>
          <w:rFonts w:hint="eastAsia"/>
          <w:lang w:val="en-US"/>
        </w:rPr>
        <w:t xml:space="preserve"> </w:t>
      </w:r>
      <w:bookmarkEnd w:id="87"/>
      <w:r>
        <w:rPr>
          <w:rStyle w:val="48"/>
          <w:rFonts w:hint="eastAsia"/>
          <w:lang w:val="en-US"/>
        </w:rPr>
        <w:t>100</w:t>
      </w:r>
      <w:r>
        <w:rPr>
          <w:rStyle w:val="48"/>
          <w:rFonts w:hint="eastAsia"/>
          <w:lang w:val="en-US" w:eastAsia="zh-CN"/>
        </w:rPr>
        <w:t>份裁判文书反映的物业服务合同纠纷风险点及预防机制缺失</w:t>
      </w:r>
    </w:p>
    <w:bookmarkEnd w:id="88"/>
    <w:p w14:paraId="732E4044">
      <w:pPr>
        <w:pStyle w:val="3"/>
        <w:bidi w:val="0"/>
        <w:rPr>
          <w:rFonts w:hint="eastAsia"/>
          <w:lang w:val="en-US" w:eastAsia="zh-CN"/>
        </w:rPr>
      </w:pPr>
      <w:bookmarkStart w:id="89" w:name="_Toc11864"/>
      <w:bookmarkStart w:id="90" w:name="_Toc23869"/>
      <w:bookmarkStart w:id="91" w:name="_Toc21966"/>
      <w:bookmarkStart w:id="92" w:name="_Toc27811"/>
      <w:bookmarkStart w:id="93" w:name="_Toc7093_WPSOffice_Level2"/>
      <w:bookmarkStart w:id="94" w:name="_Toc1361"/>
      <w:bookmarkStart w:id="95" w:name="_Toc21114"/>
      <w:bookmarkStart w:id="96" w:name="_Toc2114"/>
      <w:bookmarkStart w:id="97" w:name="_Toc31147"/>
      <w:bookmarkStart w:id="98" w:name="_Toc6742"/>
      <w:r>
        <w:rPr>
          <w:rFonts w:hint="eastAsia"/>
        </w:rPr>
        <w:t>（一</w:t>
      </w:r>
      <w:bookmarkEnd w:id="89"/>
      <w:bookmarkEnd w:id="90"/>
      <w:bookmarkEnd w:id="91"/>
      <w:bookmarkEnd w:id="92"/>
      <w:bookmarkEnd w:id="93"/>
      <w:bookmarkEnd w:id="94"/>
      <w:bookmarkEnd w:id="95"/>
      <w:bookmarkEnd w:id="96"/>
      <w:r>
        <w:rPr>
          <w:rFonts w:hint="eastAsia"/>
          <w:lang w:val="en-US" w:eastAsia="zh-CN"/>
        </w:rPr>
        <w:t>)</w:t>
      </w:r>
      <w:bookmarkEnd w:id="97"/>
      <w:r>
        <w:rPr>
          <w:rFonts w:hint="eastAsia"/>
        </w:rPr>
        <w:t>样本来源</w:t>
      </w:r>
      <w:bookmarkEnd w:id="98"/>
    </w:p>
    <w:p w14:paraId="6C4579F4">
      <w:pPr>
        <w:bidi w:val="0"/>
        <w:rPr>
          <w:rFonts w:hint="eastAsia"/>
        </w:rPr>
      </w:pPr>
      <w:r>
        <w:rPr>
          <w:rFonts w:hint="eastAsia"/>
          <w:lang w:val="en-US" w:eastAsia="zh-CN"/>
        </w:rPr>
        <w:t>本文以</w:t>
      </w:r>
      <w:r>
        <w:rPr>
          <w:rFonts w:hint="eastAsia"/>
        </w:rPr>
        <w:t>北大法宝司法案例数据库</w:t>
      </w:r>
      <w:r>
        <w:rPr>
          <w:rFonts w:hint="eastAsia"/>
          <w:lang w:val="en-US" w:eastAsia="zh-CN"/>
        </w:rPr>
        <w:t>为来源，样本的选取采用立意抽样</w:t>
      </w:r>
      <w:r>
        <w:rPr>
          <w:rFonts w:hint="eastAsia"/>
        </w:rPr>
        <w:t>。考虑到《民法典》2021年施行以后，对物业服务合同规则体系产生了实质影响，为了让样本在规范适用层面保持同质性，检索的时间范围定在了2021年1月1日到2025年12月31日。具体操作分三步走。</w:t>
      </w:r>
    </w:p>
    <w:p w14:paraId="61A5C026">
      <w:pPr>
        <w:bidi w:val="0"/>
        <w:rPr>
          <w:rFonts w:hint="eastAsia"/>
        </w:rPr>
      </w:pPr>
      <w:r>
        <w:rPr>
          <w:rFonts w:hint="eastAsia"/>
          <w:lang w:val="en-US" w:eastAsia="zh-CN"/>
        </w:rPr>
        <w:t>第一步，先做</w:t>
      </w:r>
      <w:r>
        <w:rPr>
          <w:rFonts w:hint="eastAsia"/>
        </w:rPr>
        <w:t>全面检索。案由定为物业服务合同纠纷，案件类型限定民事案件，同时拿物业费、服务质量、信息披露、违约责任四组关键词以或的关系补充检索，系统初步去重后，</w:t>
      </w:r>
      <w:r>
        <w:rPr>
          <w:rFonts w:hint="eastAsia"/>
          <w:lang w:val="en-US" w:eastAsia="zh-CN"/>
        </w:rPr>
        <w:t>获得</w:t>
      </w:r>
      <w:r>
        <w:rPr>
          <w:rFonts w:hint="eastAsia"/>
        </w:rPr>
        <w:t>1800多份裁判文书。</w:t>
      </w:r>
    </w:p>
    <w:p w14:paraId="47D87574">
      <w:pPr>
        <w:bidi w:val="0"/>
        <w:rPr>
          <w:rFonts w:hint="eastAsia"/>
        </w:rPr>
      </w:pPr>
      <w:r>
        <w:rPr>
          <w:rFonts w:hint="eastAsia"/>
        </w:rPr>
        <w:t>接着做目的性筛选。围绕研究主题</w:t>
      </w:r>
      <w:r>
        <w:rPr>
          <w:rFonts w:hint="eastAsia"/>
          <w:lang w:val="en-US" w:eastAsia="zh-CN"/>
        </w:rPr>
        <w:t>进行筛选</w:t>
      </w:r>
      <w:r>
        <w:rPr>
          <w:rFonts w:hint="eastAsia"/>
        </w:rPr>
        <w:t>：保留围绕物业费支付与调整、物业服务质量、信息披露义务、违约责任以及业主抗辩等实体争议展开的案件，把涉及业主大会决议效力、业主撤销权、业委会程序争议、物业选聘解聘程序争议，以及单纯只涉及程序性问题的文书排除。同一个案件有多份裁判文书的，原则上只留裁判理由比较完整、能更充分反映争议焦点的一份</w:t>
      </w:r>
      <w:r>
        <w:rPr>
          <w:rFonts w:hint="eastAsia"/>
          <w:lang w:eastAsia="zh-CN"/>
        </w:rPr>
        <w:t>。筛选</w:t>
      </w:r>
      <w:r>
        <w:rPr>
          <w:rFonts w:hint="eastAsia"/>
          <w:lang w:val="en-US" w:eastAsia="zh-CN"/>
        </w:rPr>
        <w:t>后剩余</w:t>
      </w:r>
      <w:r>
        <w:rPr>
          <w:rFonts w:hint="eastAsia"/>
        </w:rPr>
        <w:t>大约320件。</w:t>
      </w:r>
    </w:p>
    <w:p w14:paraId="6154E0FC">
      <w:pPr>
        <w:bidi w:val="0"/>
        <w:rPr>
          <w:rFonts w:hint="eastAsia"/>
        </w:rPr>
      </w:pPr>
      <w:r>
        <w:rPr>
          <w:rFonts w:hint="eastAsia"/>
        </w:rPr>
        <w:t>最后一步，形成最终样本。在剩下的文书里，根据研究需要的信息饱和度和案例丰富性，兼顾不同年度、不同审级和不同地域的分布，最终挑出100份裁判理由完整、争议焦点明确的有效样本。年度分布上，2021年12件，2022年21件，2023年25件，2024年28件，2025年14件，其中2025年的样本只收录了检索时已经上网的文书，因为裁判文书公开本身有一定滞后性。审级分布上，一审66件，二审30件，再审4件。地域分布上，以广东、浙江、北京等地为主，同时也兼顾了河南、陕西等中西部地区。</w:t>
      </w:r>
    </w:p>
    <w:p w14:paraId="12C02E37">
      <w:pPr>
        <w:pStyle w:val="3"/>
        <w:bidi w:val="0"/>
        <w:rPr>
          <w:rFonts w:hint="default"/>
        </w:rPr>
      </w:pPr>
      <w:bookmarkStart w:id="99" w:name="_Toc19347"/>
      <w:bookmarkStart w:id="100" w:name="_Toc30950"/>
      <w:bookmarkStart w:id="101" w:name="_Toc7766_WPSOffice_Level1"/>
      <w:bookmarkStart w:id="102" w:name="_Toc10585"/>
      <w:bookmarkStart w:id="103" w:name="_Toc29471"/>
      <w:bookmarkStart w:id="104" w:name="_Toc22582"/>
      <w:bookmarkStart w:id="105" w:name="_Toc1627"/>
      <w:bookmarkStart w:id="106" w:name="_Toc18149"/>
      <w:r>
        <w:rPr>
          <w:rFonts w:hint="eastAsia"/>
          <w:lang w:eastAsia="zh-CN"/>
        </w:rPr>
        <w:t>（</w:t>
      </w:r>
      <w:r>
        <w:rPr>
          <w:rFonts w:hint="eastAsia"/>
          <w:lang w:val="en-US" w:eastAsia="zh-CN"/>
        </w:rPr>
        <w:t>二</w:t>
      </w:r>
      <w:r>
        <w:rPr>
          <w:rFonts w:hint="eastAsia"/>
          <w:lang w:eastAsia="zh-CN"/>
        </w:rPr>
        <w:t>）</w:t>
      </w:r>
      <w:r>
        <w:rPr>
          <w:rFonts w:hint="default"/>
        </w:rPr>
        <w:t>样本基本分布特征</w:t>
      </w:r>
      <w:bookmarkEnd w:id="99"/>
    </w:p>
    <w:p w14:paraId="31D0F9D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default"/>
        </w:rPr>
        <w:t>如</w:t>
      </w:r>
      <w:r>
        <w:rPr>
          <w:rFonts w:hint="eastAsia"/>
          <w:lang w:val="en-US" w:eastAsia="zh-CN"/>
        </w:rPr>
        <w:t>图3-1</w:t>
      </w:r>
      <w:r>
        <w:rPr>
          <w:rFonts w:hint="default"/>
        </w:rPr>
        <w:t>所示，样本地域分布的集中趋势相当明显。广东</w:t>
      </w:r>
      <w:r>
        <w:rPr>
          <w:rFonts w:hint="eastAsia"/>
          <w:lang w:val="en-US" w:eastAsia="zh-CN"/>
        </w:rPr>
        <w:t>省</w:t>
      </w:r>
      <w:r>
        <w:rPr>
          <w:rFonts w:hint="default"/>
        </w:rPr>
        <w:t>占了32件，数量上远远超过其他省份；浙江、北京、陕西、河南这几个地方在8到12件之间；剩下的省份合起来一共30件。这种分布上的落差，跟各地区物业管理的发展水平、业主维权意识的强弱，还有司法公开的程度，都</w:t>
      </w:r>
      <w:r>
        <w:rPr>
          <w:rFonts w:hint="eastAsia"/>
          <w:lang w:val="en-US" w:eastAsia="zh-CN"/>
        </w:rPr>
        <w:t>具</w:t>
      </w:r>
      <w:r>
        <w:rPr>
          <w:rFonts w:hint="default"/>
        </w:rPr>
        <w:t>有一定关系。</w:t>
      </w:r>
    </w:p>
    <w:p w14:paraId="67D2BC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60" ns4:spt="75" type="#_x0000_t75" style="height:198.4pt;width:396.85pt;" filled="f" ns4:preferrelative="t" stroked="f" coordsize="21600,21600">
            <ns3:path/>
            <ns3:fill on="f" focussize="0,0"/>
            <ns3:stroke on="f"/>
            <ns3:imagedata r:id="rId16" ns4:title=""/>
            <ns4:lock ns3:ext="edit" aspectratio="t"/>
            <ns6:wrap type="none"/>
            <ns6:anchorlock/>
          </ns3:shape>
        </w:pict>
      </w:r>
    </w:p>
    <w:p w14:paraId="26B45CA1">
      <w:pPr>
        <w:bidi w:val="0"/>
        <w:rPr>
          <w:rFonts w:hint="eastAsia" w:eastAsia="宋体"/>
          <w:lang w:eastAsia="zh-CN"/>
        </w:rPr>
      </w:pPr>
      <w:r>
        <w:rPr>
          <w:sz w:val="24"/>
        </w:rPr>
        <w:pict>
          <ns3:shape id="_x0000_s2113" ns4:spid="_x0000_s2113" ns4:spt="202" type="#_x0000_t202" style="position:absolute;left:0pt;margin-left:25.25pt;margin-top:1.8pt;height:17pt;width:396.85pt;mso-wrap-distance-left:9pt;mso-wrap-distance-right:9pt;z-index:-251650048;mso-width-relative:page;mso-height-relative:page;" fillcolor="#FFFFFF" filled="t" stroked="f" coordsize="21600,21600" wrapcoords="21592 -2 0 0 0 21600 21592 21602 8 21602 21600 21600 21600 0 8 -2 21592 -2">
            <ns3:path/>
            <ns3:fill on="t" color2="#FFFFFF" focussize="0,0"/>
            <ns3:stroke on="f"/>
            <ns3:imagedata ns4:title=""/>
            <ns4:lock ns3:ext="edit" aspectratio="f"/>
            <ns3:textbox inset="0mm,0mm,0mm,0mm" style="mso-fit-shape-to-text:t;">
              <w:txbxContent>
                <w:p w14:paraId="0A4A1BC1">
                  <w:pPr>
                    <w:pStyle w:val="8"/>
                    <w:jc w:val="center"/>
                    <w:rPr>
                      <w:rFonts w:hint="eastAsia" w:eastAsia="黑体"/>
                      <w:lang w:val="en-US" w:eastAsia="zh-CN"/>
                    </w:rPr>
                  </w:pPr>
                  <w:r>
                    <w:t>图3-1</w:t>
                  </w:r>
                  <w:r>
                    <w:rPr>
                      <w:rFonts w:hint="eastAsia"/>
                      <w:lang w:val="en-US" w:eastAsia="zh-CN"/>
                    </w:rPr>
                    <w:t xml:space="preserve"> 样本地域分布</w:t>
                  </w:r>
                </w:p>
              </w:txbxContent>
            </ns3:textbox>
            <ns6:wrap type="through"/>
          </ns3:shape>
        </w:pict>
      </w:r>
    </w:p>
    <w:p w14:paraId="633CA490">
      <w:pPr>
        <w:bidi w:val="0"/>
        <w:ind w:left="0" w:leftChars="0" w:firstLine="0" w:firstLineChars="0"/>
      </w:pPr>
    </w:p>
    <w:p w14:paraId="291864EE">
      <w:pPr>
        <w:bidi w:val="0"/>
        <w:ind w:left="0" w:leftChars="0" w:firstLine="480" w:firstLineChars="200"/>
        <w:rPr>
          <w:rFonts w:hint="eastAsia" w:eastAsia="宋体"/>
          <w:lang w:eastAsia="zh-CN"/>
        </w:rPr>
      </w:pPr>
      <w:r>
        <w:rPr>
          <w:rFonts w:hint="eastAsia"/>
        </w:rPr>
        <w:t>如图3-2所示样本的时间分布呈现出先上升后趋于平稳的态势。2021年《民法典》施行当年样本为12件，2022年增至21件，2023年和2024年分别达到25件和28件，持续维持在较高水平。这一趋势表明，《民法典》虽为物业服务合同纠纷提供了更为明确的裁判依据，却并未带来纠纷数量的明显回落</w:t>
      </w:r>
      <w:r>
        <w:rPr>
          <w:rFonts w:hint="eastAsia"/>
          <w:lang w:eastAsia="zh-CN"/>
        </w:rPr>
        <w:t>。</w:t>
      </w:r>
    </w:p>
    <w:p w14:paraId="6A66ED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70" ns4:spt="75" type="#_x0000_t75" style="height:198.45pt;width:396.85pt;" filled="f" ns4:preferrelative="t" stroked="f" coordsize="21600,21600">
            <ns3:path/>
            <ns3:fill on="f" focussize="0,0"/>
            <ns3:stroke on="f"/>
            <ns3:imagedata r:id="rId17" ns4:title=""/>
            <ns4:lock ns3:ext="edit" aspectratio="t"/>
            <ns6:wrap type="none"/>
            <ns6:anchorlock/>
          </ns3:shape>
        </w:pict>
      </w:r>
      <w:r>
        <w:rPr>
          <w:sz w:val="24"/>
        </w:rPr>
        <w:pict>
          <ns3:shape id="_x0000_s2115" ns4:spid="_x0000_s2115" ns4:spt="202" type="#_x0000_t202" style="height:22.4pt;width:389.05pt;" fillcolor="#FFFFFF" filled="t" stroked="f" coordsize="21600,21600">
            <ns3:path/>
            <ns3:fill on="t" color2="#FFFFFF" focussize="0,0"/>
            <ns3:stroke on="f"/>
            <ns3:imagedata ns4:title=""/>
            <ns4:lock ns3:ext="edit" aspectratio="f"/>
            <ns3:textbox inset="0mm,0mm,0mm,0mm">
              <w:txbxContent>
                <w:p w14:paraId="0F3B813D">
                  <w:pPr>
                    <w:pStyle w:val="53"/>
                    <w:bidi w:val="0"/>
                  </w:pPr>
                  <w:r>
                    <w:t>图3-2  样本时间分布</w:t>
                  </w:r>
                </w:p>
                <w:p w14:paraId="63273F77">
                  <w:pPr>
                    <w:keepNext w:val="0"/>
                    <w:keepLines w:val="0"/>
                    <w:pageBreakBefore w:val="0"/>
                    <w:widowControl w:val="0"/>
                    <w:kinsoku/>
                    <w:wordWrap/>
                    <w:overflowPunct/>
                    <w:topLinePunct w:val="0"/>
                    <w:bidi w:val="0"/>
                    <w:adjustRightInd/>
                    <w:snapToGrid/>
                    <w:spacing w:line="240" w:lineRule="auto"/>
                    <w:textAlignment w:val="auto"/>
                    <w:rPr>
                      <w:rFonts w:hint="default"/>
                      <w:lang w:val="en-US" w:eastAsia="zh-CN"/>
                    </w:rPr>
                  </w:pPr>
                </w:p>
              </w:txbxContent>
            </ns3:textbox>
            <ns6:wrap type="none"/>
            <ns6:anchorlock/>
          </ns3:shape>
        </w:pict>
      </w:r>
    </w:p>
    <w:p w14:paraId="7D993A6D">
      <w:pPr>
        <w:bidi w:val="0"/>
      </w:pPr>
      <w:r>
        <w:rPr>
          <w:rFonts w:hint="eastAsia"/>
        </w:rPr>
        <w:t>从图3-3来看，样本中一审案件有66件，占66%，二审案件30件，占30%，再审案件4件，占4%。二审案件占到三成上下，这个比例不算低，反映出在物业费调整、</w:t>
      </w:r>
      <w:r>
        <w:rPr>
          <w:rFonts w:hint="eastAsia"/>
          <w:lang w:val="en-US" w:eastAsia="zh-CN"/>
        </w:rPr>
        <w:t>服务</w:t>
      </w:r>
      <w:r>
        <w:rPr>
          <w:rFonts w:hint="eastAsia"/>
        </w:rPr>
        <w:t>瑕疵抗辩、知情权范围等问题上，法律适用方面仍然存在一定的争议空间。</w:t>
      </w:r>
    </w:p>
    <w:p w14:paraId="5A46E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58" ns4:spt="75" alt="" type="#_x0000_t75" style="height:198.4pt;width:232.15pt;" filled="f" ns4:preferrelative="t" stroked="f" coordsize="21600,21600">
            <ns3:path/>
            <ns3:fill on="f" focussize="0,0"/>
            <ns3:stroke on="f"/>
            <ns3:imagedata r:id="rId18" ns4:title=""/>
            <ns4:lock ns3:ext="edit" aspectratio="t"/>
            <ns6:wrap type="none"/>
            <ns6:anchorlock/>
          </ns3:shape>
        </w:pict>
      </w:r>
    </w:p>
    <w:p w14:paraId="5D0FB207">
      <w:pPr>
        <w:pStyle w:val="53"/>
        <w:bidi w:val="0"/>
      </w:pPr>
      <w:r>
        <w:t>图3-3  样本审级分布</w:t>
      </w:r>
    </w:p>
    <w:p w14:paraId="3D397FDD">
      <w:pPr>
        <w:bidi w:val="0"/>
        <w:rPr>
          <w:rFonts w:hint="default"/>
        </w:rPr>
      </w:pPr>
      <w:r>
        <w:rPr>
          <w:rFonts w:hint="eastAsia"/>
          <w:lang w:val="en-US" w:eastAsia="zh-CN"/>
        </w:rPr>
        <w:t>需要说明的是，样本在地域分布上以广东、浙江、北京等地为主，对中西部地区的代表性有限，结论外推时宜保持审慎。不过</w:t>
      </w:r>
      <w:r>
        <w:rPr>
          <w:rFonts w:hint="default"/>
        </w:rPr>
        <w:t>，这项研究的目的本来就不是精确测量总体发生率，而是想借助典型案例把纠纷生成的关键节点和类型化机制识别出来，从这个角度看，上述立意抽样还是能</w:t>
      </w:r>
      <w:r>
        <w:rPr>
          <w:rFonts w:hint="eastAsia"/>
          <w:lang w:val="en-US" w:eastAsia="zh-CN"/>
        </w:rPr>
        <w:t>够为</w:t>
      </w:r>
      <w:r>
        <w:rPr>
          <w:rFonts w:hint="default"/>
        </w:rPr>
        <w:t>预防机制的规则设计提供实证参照。</w:t>
      </w:r>
    </w:p>
    <w:p w14:paraId="45DD0B24">
      <w:pPr>
        <w:pStyle w:val="3"/>
        <w:bidi w:val="0"/>
        <w:rPr>
          <w:rFonts w:hint="default"/>
        </w:rPr>
      </w:pPr>
      <w:bookmarkStart w:id="107" w:name="_Toc16767"/>
      <w:r>
        <w:rPr>
          <w:rFonts w:hint="default"/>
        </w:rPr>
        <w:t>（三）纠纷类型分布与主要争点</w:t>
      </w:r>
      <w:bookmarkEnd w:id="107"/>
    </w:p>
    <w:p w14:paraId="0540FA32">
      <w:pPr>
        <w:bidi w:val="0"/>
      </w:pPr>
      <w:r>
        <w:rPr>
          <w:rFonts w:hint="eastAsia"/>
          <w:lang w:val="en-US" w:eastAsia="zh-CN"/>
        </w:rPr>
        <w:t>为</w:t>
      </w:r>
      <w:r>
        <w:rPr>
          <w:rFonts w:hint="default"/>
        </w:rPr>
        <w:t>便于进一步观察样本所呈现的主要争议内容，本文对100份裁判文书按核心争议焦点作了互斥分类，每件案件只归入最能反映其核心矛盾的那一类。具体来说，核心问题落在物业费支付义务、收费标准、调价效力、计费面积或收费起算时间上的，划入物业费及收费标准争议；核心问题在于物业服务是否达到约定标准、服务瑕疵能否构成拒费或减费理由的，划入服务质量争议；核心问题集中在物业公司是否履行了收费依据、费用构成、账目收支等公开说明义务的，划入信息披露争议；核心问题涉及违约金、诉讼时效、责任承担方式以及抗辩事由是否成立的，划入违约责任及抗辩争议。</w:t>
      </w:r>
    </w:p>
    <w:p w14:paraId="59E302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pict>
          <ns3:shape id="_x0000_i1059" ns4:spt="75" alt="" type="#_x0000_t75" style="height:198.4pt;width:223pt;" filled="f" ns4:preferrelative="t" stroked="f" coordsize="21600,21600">
            <ns3:path/>
            <ns3:fill on="f" focussize="0,0"/>
            <ns3:stroke on="f"/>
            <ns3:imagedata r:id="rId19" ns4:title=""/>
            <ns4:lock ns3:ext="edit" aspectratio="t"/>
            <ns6:wrap type="none"/>
            <ns6:anchorlock/>
          </ns3:shape>
        </w:pict>
      </w:r>
    </w:p>
    <w:p w14:paraId="5C9346DB">
      <w:pPr>
        <w:pStyle w:val="53"/>
        <w:bidi w:val="0"/>
        <w:rPr>
          <w:rFonts w:hint="default"/>
        </w:rPr>
      </w:pPr>
      <w:r>
        <w:rPr>
          <w:rFonts w:hint="default"/>
        </w:rPr>
        <w:t>图3-4  样本争议类型分布</w:t>
      </w:r>
    </w:p>
    <w:p w14:paraId="3F8FBAD7">
      <w:pPr>
        <w:bidi w:val="0"/>
        <w:rPr>
          <w:rFonts w:hint="default"/>
        </w:rPr>
      </w:pPr>
      <w:r>
        <w:rPr>
          <w:rFonts w:hint="default"/>
        </w:rPr>
        <w:t>从统计结果来看，物业费及收费标准争议有47件，占到样本总量的47%，是最主要的争议类型；服务质量争议28件，占28%；信息披露争议14件，占14%；违约责任及抗辩争议11件，占11%。这个分布说明，狭义物业服务合同纠纷主要集中在收费依据、服务履行、信息公开和责任承担这四个方面，其中收费和服务这两块，构成了矛盾最集中的地带。</w:t>
      </w:r>
    </w:p>
    <w:p w14:paraId="16D853AA">
      <w:pPr>
        <w:bidi w:val="0"/>
        <w:rPr>
          <w:rFonts w:hint="default"/>
        </w:rPr>
      </w:pPr>
      <w:r>
        <w:rPr>
          <w:rFonts w:hint="default"/>
        </w:rPr>
        <w:t>为使统计分析具有可比性，本文在前述分类中采用互斥规则，每案仅归入最能反映其核心矛盾的一类。然而需指出的是，物业服务合同纠纷通常呈现复合性特征，同一案件可能同时涉及收费规则、服务质量、信息披露及违约责任等多个层面的争议。两种处理方式并不矛盾：互斥分类服务于统计的清晰性，而承认复合性则有助于准确把握纠纷的生成机制。</w:t>
      </w:r>
    </w:p>
    <w:p w14:paraId="3AD0CC0C">
      <w:pPr>
        <w:bidi w:val="0"/>
        <w:rPr>
          <w:rFonts w:hint="default"/>
        </w:rPr>
      </w:pPr>
      <w:r>
        <w:rPr>
          <w:rFonts w:hint="default"/>
        </w:rPr>
        <w:t>为厘清不同类型争议的生成</w:t>
      </w:r>
      <w:r>
        <w:rPr>
          <w:rFonts w:hint="eastAsia"/>
          <w:lang w:val="en-US" w:eastAsia="zh-CN"/>
        </w:rPr>
        <w:t>机制</w:t>
      </w:r>
      <w:r>
        <w:rPr>
          <w:rFonts w:hint="default"/>
        </w:rPr>
        <w:t>，下文以各类争议的主要生成阶段作为归类依据</w:t>
      </w:r>
      <w:r>
        <w:rPr>
          <w:rFonts w:hint="eastAsia"/>
          <w:lang w:eastAsia="zh-CN"/>
        </w:rPr>
        <w:t>。</w:t>
      </w:r>
      <w:r>
        <w:rPr>
          <w:rFonts w:hint="default"/>
        </w:rPr>
        <w:t>具体而言：物业费及收费标准争议（占47%）主要归因于合同订立阶段收费规则的模糊性；服务质量争议（28%）与信息披露争议（14%）主要源于合同履行阶段信息不透明及履约状态难以核验的结构性缺陷；违约责任及抗辩争议（11%）则多为前三类争议进入诉讼程序后的法律后果呈现，其有效预防依赖于争议显现阶段异议受理与协商程序的制度完备性。基于上述归类逻辑，下文将四类争议按其主要生成阶段分别纳入订立、履行与争议显现三个环节加以分析，并据此提出相应的预防对策。</w:t>
      </w:r>
    </w:p>
    <w:p w14:paraId="6827A0D5">
      <w:pPr>
        <w:pStyle w:val="3"/>
        <w:bidi w:val="0"/>
        <w:rPr>
          <w:rFonts w:hint="eastAsia"/>
          <w:lang w:eastAsia="zh-CN"/>
        </w:rPr>
      </w:pPr>
      <w:bookmarkStart w:id="108" w:name="_Toc6466"/>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bookmarkEnd w:id="108"/>
    </w:p>
    <w:p w14:paraId="0304B6F4">
      <w:pPr>
        <w:bidi w:val="0"/>
        <w:rPr>
          <w:rFonts w:hint="eastAsia"/>
          <w:lang w:eastAsia="zh-CN"/>
        </w:rPr>
      </w:pPr>
      <w:r>
        <w:rPr>
          <w:rFonts w:hint="eastAsia"/>
          <w:lang w:eastAsia="zh-CN"/>
        </w:rPr>
        <w:t>在100份裁判文书样本中，物业费及收费标准争议共47件，占比47%。在四类争议</w:t>
      </w:r>
      <w:r>
        <w:rPr>
          <w:rFonts w:hint="eastAsia"/>
          <w:lang w:val="en-US" w:eastAsia="zh-CN"/>
        </w:rPr>
        <w:t>中居于</w:t>
      </w:r>
      <w:r>
        <w:rPr>
          <w:rFonts w:hint="eastAsia"/>
          <w:lang w:eastAsia="zh-CN"/>
        </w:rPr>
        <w:t>首位，这说明收费问题是物业服务合同纠纷里矛盾最集中、最直接的领域。对47件案件的裁判理由作进一步分析后可</w:t>
      </w:r>
      <w:r>
        <w:rPr>
          <w:rFonts w:hint="eastAsia"/>
          <w:lang w:val="en-US" w:eastAsia="zh-CN"/>
        </w:rPr>
        <w:t>知</w:t>
      </w:r>
      <w:r>
        <w:rPr>
          <w:rFonts w:hint="eastAsia"/>
          <w:lang w:eastAsia="zh-CN"/>
        </w:rPr>
        <w:t>，不少争议虽然在表面上争的是物业费该不该交、收这个标准合不合理，可法院在审理中反复审查的，其实都是合同里有没有对收费标准、计费依据、调价条件以及服务收费范围作出过明确的约定。这些核心事项要是在合同订立阶段就没写明白，收费上的分歧就很难在合同内部消化掉，最后只能涌进诉讼，由法院通过规则解释来加以认定。从这个角度看，收费争议之所以高发，并不只是履行过程中的付款对抗，更深层的问题出在合同订立阶段规则不够明确</w:t>
      </w:r>
      <w:r>
        <w:rPr>
          <w:rFonts w:hint="eastAsia"/>
          <w:lang w:val="en-US" w:eastAsia="zh-CN"/>
        </w:rPr>
        <w:t>这一</w:t>
      </w:r>
      <w:r>
        <w:rPr>
          <w:rFonts w:hint="eastAsia"/>
          <w:lang w:eastAsia="zh-CN"/>
        </w:rPr>
        <w:t>前端缺陷上。</w:t>
      </w:r>
    </w:p>
    <w:p w14:paraId="0E412DB2">
      <w:pPr>
        <w:bidi w:val="0"/>
        <w:rPr>
          <w:rFonts w:hint="eastAsia"/>
          <w:lang w:eastAsia="zh-CN"/>
        </w:rPr>
      </w:pPr>
      <w:r>
        <w:rPr>
          <w:rFonts w:hint="eastAsia"/>
          <w:lang w:eastAsia="zh-CN"/>
        </w:rPr>
        <w:t>结合样本里的裁判情况来观察，合同订立阶段的规则漏洞表现为三种情形。第一种情形，收费标准约定得太过原则化。有的合同只笼统写了一句“按相关标准收取”或“按政府指导价执行”，却没有</w:t>
      </w:r>
      <w:r>
        <w:rPr>
          <w:rFonts w:hint="eastAsia"/>
          <w:lang w:val="en-US" w:eastAsia="zh-CN"/>
        </w:rPr>
        <w:t>继续将</w:t>
      </w:r>
      <w:r>
        <w:rPr>
          <w:rFonts w:hint="eastAsia"/>
          <w:lang w:eastAsia="zh-CN"/>
        </w:rPr>
        <w:t>收费项目、计价方式、适用期间还有费用构成</w:t>
      </w:r>
      <w:r>
        <w:rPr>
          <w:rFonts w:hint="eastAsia"/>
          <w:lang w:val="en-US" w:eastAsia="zh-CN"/>
        </w:rPr>
        <w:t>列明</w:t>
      </w:r>
      <w:r>
        <w:rPr>
          <w:rFonts w:hint="eastAsia"/>
          <w:lang w:eastAsia="zh-CN"/>
        </w:rPr>
        <w:t>，一旦出</w:t>
      </w:r>
      <w:r>
        <w:rPr>
          <w:rFonts w:hint="eastAsia"/>
          <w:lang w:val="en-US" w:eastAsia="zh-CN"/>
        </w:rPr>
        <w:t>现</w:t>
      </w:r>
      <w:r>
        <w:rPr>
          <w:rFonts w:hint="eastAsia"/>
          <w:lang w:eastAsia="zh-CN"/>
        </w:rPr>
        <w:t>分歧，合同没办法直接拿出明确的判断依据。第二种情形，计费依据和计费口径不够清晰。有的案件里，合同虽然约定了按建筑面积来收物业费，却没说明</w:t>
      </w:r>
      <w:r>
        <w:rPr>
          <w:rFonts w:hint="eastAsia"/>
          <w:lang w:val="en-US" w:eastAsia="zh-CN"/>
        </w:rPr>
        <w:t>究竟</w:t>
      </w:r>
      <w:r>
        <w:rPr>
          <w:rFonts w:hint="eastAsia"/>
          <w:lang w:eastAsia="zh-CN"/>
        </w:rPr>
        <w:t>按购房合同面积、测绘面积还是不动产登记面积来算，双方在计费基数上产生分歧。第三种情形，服务内容和收费项目之间没有形成清楚的对应关系。合同对不同收费项目各自对应哪些服务、不同收费标准下服务事项有</w:t>
      </w:r>
      <w:r>
        <w:rPr>
          <w:rFonts w:hint="eastAsia"/>
          <w:lang w:val="en-US" w:eastAsia="zh-CN"/>
        </w:rPr>
        <w:t>何</w:t>
      </w:r>
      <w:r>
        <w:rPr>
          <w:rFonts w:hint="eastAsia"/>
          <w:lang w:eastAsia="zh-CN"/>
        </w:rPr>
        <w:t>差别、物业服务范围的边界在</w:t>
      </w:r>
      <w:r>
        <w:rPr>
          <w:rFonts w:hint="eastAsia"/>
          <w:lang w:val="en-US" w:eastAsia="zh-CN"/>
        </w:rPr>
        <w:t>何处</w:t>
      </w:r>
      <w:r>
        <w:rPr>
          <w:rFonts w:hint="eastAsia"/>
          <w:lang w:eastAsia="zh-CN"/>
        </w:rPr>
        <w:t>，都没有交代</w:t>
      </w:r>
      <w:r>
        <w:rPr>
          <w:rFonts w:hint="eastAsia"/>
          <w:lang w:val="en-US" w:eastAsia="zh-CN"/>
        </w:rPr>
        <w:t>清晰</w:t>
      </w:r>
      <w:r>
        <w:rPr>
          <w:rFonts w:hint="eastAsia"/>
          <w:lang w:eastAsia="zh-CN"/>
        </w:rPr>
        <w:t>，业主因此很难判断收费请求跟实际服务之间</w:t>
      </w:r>
      <w:r>
        <w:rPr>
          <w:rFonts w:hint="eastAsia"/>
          <w:lang w:val="en-US" w:eastAsia="zh-CN"/>
        </w:rPr>
        <w:t>是否存在</w:t>
      </w:r>
      <w:r>
        <w:rPr>
          <w:rFonts w:hint="eastAsia"/>
          <w:lang w:eastAsia="zh-CN"/>
        </w:rPr>
        <w:t>对价关系。</w:t>
      </w:r>
    </w:p>
    <w:p w14:paraId="6CA90F0E">
      <w:pPr>
        <w:bidi w:val="0"/>
        <w:rPr>
          <w:rFonts w:hint="eastAsia"/>
          <w:lang w:eastAsia="zh-CN"/>
        </w:rPr>
      </w:pPr>
      <w:r>
        <w:rPr>
          <w:rFonts w:hint="eastAsia"/>
          <w:lang w:eastAsia="zh-CN"/>
        </w:rPr>
        <w:t>上述</w:t>
      </w:r>
      <w:r>
        <w:rPr>
          <w:rFonts w:hint="eastAsia"/>
          <w:lang w:val="en-US" w:eastAsia="zh-CN"/>
        </w:rPr>
        <w:t>问题在“广州越秀物业发展有限公司诉林锋生物业服务合同纠纷案”</w:t>
      </w:r>
      <w:r>
        <w:rPr>
          <w:rStyle w:val="34"/>
          <w:rFonts w:hint="eastAsia"/>
          <w:lang w:val="en-US" w:eastAsia="zh-CN"/>
        </w:rPr>
        <w:footnoteReference w:id="25"/>
      </w:r>
      <w:r>
        <w:rPr>
          <w:rFonts w:hint="eastAsia"/>
          <w:lang w:eastAsia="zh-CN"/>
        </w:rPr>
        <w:t>中体现得较为典型。根据裁判文书所载的事实，案涉《前期物业服务协议》对物业服务费标准作出了约定，并且写明调价需经物价部门批复同意。之后，物业公司跟小区业主委员会签订了新的物业服务合同，对调整后的收费标准作</w:t>
      </w:r>
      <w:r>
        <w:rPr>
          <w:rFonts w:hint="eastAsia"/>
          <w:lang w:val="en-US" w:eastAsia="zh-CN"/>
        </w:rPr>
        <w:t>出</w:t>
      </w:r>
      <w:r>
        <w:rPr>
          <w:rFonts w:hint="eastAsia"/>
          <w:lang w:eastAsia="zh-CN"/>
        </w:rPr>
        <w:t>安排，取得</w:t>
      </w:r>
      <w:r>
        <w:rPr>
          <w:rFonts w:hint="eastAsia"/>
          <w:lang w:val="en-US" w:eastAsia="zh-CN"/>
        </w:rPr>
        <w:t>了</w:t>
      </w:r>
      <w:r>
        <w:rPr>
          <w:rFonts w:hint="eastAsia"/>
          <w:lang w:eastAsia="zh-CN"/>
        </w:rPr>
        <w:t>物价部门的批复，</w:t>
      </w:r>
      <w:r>
        <w:rPr>
          <w:rFonts w:hint="eastAsia"/>
          <w:lang w:val="en-US" w:eastAsia="zh-CN"/>
        </w:rPr>
        <w:t>并</w:t>
      </w:r>
      <w:r>
        <w:rPr>
          <w:rFonts w:hint="eastAsia"/>
          <w:lang w:eastAsia="zh-CN"/>
        </w:rPr>
        <w:t>在小区内进行公示。业主林锋生拒绝按新标准交物业费，同时提出物业公司没有履行部分协助义务等抗辩。法院经审理进一步查明，涉案电梯属于业主专有部分的设施，并不在物业服务合同约定的公共部位管理范围之内。</w:t>
      </w:r>
    </w:p>
    <w:p w14:paraId="60A69E36">
      <w:pPr>
        <w:bidi w:val="0"/>
        <w:rPr>
          <w:rFonts w:hint="eastAsia"/>
          <w:lang w:eastAsia="zh-CN"/>
        </w:rPr>
      </w:pPr>
      <w:r>
        <w:rPr>
          <w:rFonts w:hint="eastAsia"/>
          <w:lang w:eastAsia="zh-CN"/>
        </w:rPr>
        <w:t>法院在本案中的审查重点</w:t>
      </w:r>
      <w:r>
        <w:rPr>
          <w:rFonts w:hint="eastAsia"/>
          <w:lang w:val="en-US" w:eastAsia="zh-CN"/>
        </w:rPr>
        <w:t>为</w:t>
      </w:r>
      <w:r>
        <w:rPr>
          <w:rFonts w:hint="eastAsia"/>
          <w:lang w:eastAsia="zh-CN"/>
        </w:rPr>
        <w:t>两方面：其一，调价主张是否具有合同依据；其二，业主提出的抗辩事项是否落入物业服务合同约定的管理范围。就前者而言，法院认可物业公司的调价主张，主要</w:t>
      </w:r>
      <w:r>
        <w:rPr>
          <w:rFonts w:hint="eastAsia"/>
          <w:lang w:val="en-US" w:eastAsia="zh-CN"/>
        </w:rPr>
        <w:t>原因是</w:t>
      </w:r>
      <w:r>
        <w:rPr>
          <w:rFonts w:hint="eastAsia"/>
          <w:lang w:eastAsia="zh-CN"/>
        </w:rPr>
        <w:t>原合同中已对调价需经物价部门批复作出安排，而物业公司在实际调整收费时亦取得了相应批复。就后者而言，法院认为业主所主张的电梯安装问题涉及专有部分设施，不属于合同约定的公共部位管理内容，因此不能据此否定物业费请求。法院面临的困境在于，即便业主对服务存有多项不满，</w:t>
      </w:r>
      <w:r>
        <w:rPr>
          <w:rFonts w:hint="eastAsia"/>
          <w:lang w:val="en-US" w:eastAsia="zh-CN"/>
        </w:rPr>
        <w:t>但</w:t>
      </w:r>
      <w:r>
        <w:rPr>
          <w:rFonts w:hint="eastAsia"/>
          <w:lang w:eastAsia="zh-CN"/>
        </w:rPr>
        <w:t>只要合同中收费规则已作明确约定，法院便只能依据合同作出裁判，而无权对收费</w:t>
      </w:r>
      <w:r>
        <w:rPr>
          <w:rFonts w:hint="eastAsia"/>
          <w:lang w:val="en-US" w:eastAsia="zh-CN"/>
        </w:rPr>
        <w:t>的</w:t>
      </w:r>
      <w:r>
        <w:rPr>
          <w:rFonts w:hint="eastAsia"/>
          <w:lang w:eastAsia="zh-CN"/>
        </w:rPr>
        <w:t>合理性进行实质审查。这种裁判权限上的约束，使</w:t>
      </w:r>
      <w:r>
        <w:rPr>
          <w:rFonts w:hint="eastAsia"/>
          <w:lang w:val="en-US" w:eastAsia="zh-CN"/>
        </w:rPr>
        <w:t>得</w:t>
      </w:r>
      <w:r>
        <w:rPr>
          <w:rFonts w:hint="eastAsia"/>
          <w:lang w:eastAsia="zh-CN"/>
        </w:rPr>
        <w:t>法院只能审合同、不能审服务对价，究其根源，正是合同订立阶段规则模糊所付出的制度代价。</w:t>
      </w:r>
      <w:r>
        <w:rPr>
          <w:rFonts w:hint="eastAsia"/>
          <w:lang w:val="en-US" w:eastAsia="zh-CN"/>
        </w:rPr>
        <w:t>若</w:t>
      </w:r>
      <w:r>
        <w:rPr>
          <w:rFonts w:hint="eastAsia"/>
          <w:lang w:eastAsia="zh-CN"/>
        </w:rPr>
        <w:t>合同能对收费标准、调价依据以及服务范围作出明确的安排，法院便</w:t>
      </w:r>
      <w:r>
        <w:rPr>
          <w:rFonts w:hint="eastAsia"/>
          <w:lang w:val="en-US" w:eastAsia="zh-CN"/>
        </w:rPr>
        <w:t>可</w:t>
      </w:r>
      <w:r>
        <w:rPr>
          <w:rFonts w:hint="eastAsia"/>
          <w:lang w:eastAsia="zh-CN"/>
        </w:rPr>
        <w:t>在既有规则框架内作出</w:t>
      </w:r>
      <w:r>
        <w:rPr>
          <w:rFonts w:hint="eastAsia"/>
          <w:lang w:val="en-US" w:eastAsia="zh-CN"/>
        </w:rPr>
        <w:t>明确</w:t>
      </w:r>
      <w:r>
        <w:rPr>
          <w:rFonts w:hint="eastAsia"/>
          <w:lang w:eastAsia="zh-CN"/>
        </w:rPr>
        <w:t>判断。换言之，收费争议之所以频繁进入司法程序，很大程度上并非因为收费事项本身不可约定，而是合同在签订的时候，关键的收费规则</w:t>
      </w:r>
      <w:r>
        <w:rPr>
          <w:rFonts w:hint="eastAsia"/>
          <w:lang w:val="en-US" w:eastAsia="zh-CN"/>
        </w:rPr>
        <w:t>没有被明确。合同订立阶段越是将收费规则具体化、条件化，法院在后续纠纷中就越不需要进行自由裁量，收费争议的诉讼化程度也就越低。</w:t>
      </w:r>
    </w:p>
    <w:p w14:paraId="2FC1F750">
      <w:pPr>
        <w:bidi w:val="0"/>
        <w:rPr>
          <w:rFonts w:hint="eastAsia"/>
          <w:lang w:eastAsia="zh-CN"/>
        </w:rPr>
      </w:pPr>
      <w:r>
        <w:rPr>
          <w:rFonts w:hint="eastAsia"/>
          <w:lang w:val="en-US" w:eastAsia="zh-CN"/>
        </w:rPr>
        <w:t>其他类案的裁判思路</w:t>
      </w:r>
      <w:r>
        <w:rPr>
          <w:rFonts w:hint="eastAsia"/>
          <w:lang w:eastAsia="zh-CN"/>
        </w:rPr>
        <w:t>也印证了这一点。在“珠海市某物业管理有限公司诉吴某物业服务合同纠纷案”中，双方就物业费计费面积应以购房合同面积还是不动产登记面积为准产生了争议。裁判文书显示，合同仅约定“按建筑面积收取物业费”，却没说清楚具体按哪个标准来算，法院最终只能依据案件事实和在案证据对计费基数作出认定。</w:t>
      </w:r>
    </w:p>
    <w:p w14:paraId="711EE144">
      <w:pPr>
        <w:bidi w:val="0"/>
        <w:rPr>
          <w:rFonts w:hint="eastAsia"/>
          <w:lang w:eastAsia="zh-CN"/>
        </w:rPr>
      </w:pPr>
      <w:r>
        <w:rPr>
          <w:rFonts w:hint="eastAsia"/>
          <w:lang w:eastAsia="zh-CN"/>
        </w:rPr>
        <w:t>“金某某公司诉广州市建某某公司物业服务合同纠纷案”也呈现了类似的情况。法院查明，案涉前期物业服务合同已经履行了相应的备案程序，相关收费标准也</w:t>
      </w:r>
      <w:r>
        <w:rPr>
          <w:rFonts w:hint="eastAsia"/>
          <w:lang w:val="en-US" w:eastAsia="zh-CN"/>
        </w:rPr>
        <w:t>具有</w:t>
      </w:r>
      <w:r>
        <w:rPr>
          <w:rFonts w:hint="eastAsia"/>
          <w:lang w:eastAsia="zh-CN"/>
        </w:rPr>
        <w:t>程序依据，据此认定合同有效。此案的裁判重点虽然不完全是服务项目与收费项目的对应关系，但从争议过程来看，业主一直在质疑收费标准的合理性，这从另一个角度反映出，合同订立阶段对收费依据、收费内容和说明程度的具体化不</w:t>
      </w:r>
      <w:r>
        <w:rPr>
          <w:rFonts w:hint="eastAsia"/>
          <w:lang w:val="en-US" w:eastAsia="zh-CN"/>
        </w:rPr>
        <w:t>足</w:t>
      </w:r>
      <w:r>
        <w:rPr>
          <w:rFonts w:hint="eastAsia"/>
          <w:lang w:eastAsia="zh-CN"/>
        </w:rPr>
        <w:t>。本应在合同形成时就加以明确的收费项目与收费基础，最终被留到了诉讼阶段才接受审查。</w:t>
      </w:r>
    </w:p>
    <w:p w14:paraId="31362143">
      <w:pPr>
        <w:bidi w:val="0"/>
        <w:rPr>
          <w:rFonts w:hint="eastAsia"/>
          <w:lang w:eastAsia="zh-CN"/>
        </w:rPr>
      </w:pPr>
      <w:r>
        <w:rPr>
          <w:rFonts w:hint="eastAsia"/>
          <w:lang w:eastAsia="zh-CN"/>
        </w:rPr>
        <w:t>综上，物业费标准与计费依据不清，是物业服务合同纠纷在订立阶段最突出的规则漏洞之一。从47件物业费及收费标准争议案件的裁判理由可以看出，收费标准的计算方式、计费面积的确定依据、调价条件以及服务范围与收费项目的对应关系，都是法院反复触及而实践中</w:t>
      </w:r>
      <w:r>
        <w:rPr>
          <w:rFonts w:hint="eastAsia"/>
          <w:lang w:val="en-US" w:eastAsia="zh-CN"/>
        </w:rPr>
        <w:t>却</w:t>
      </w:r>
      <w:r>
        <w:rPr>
          <w:rFonts w:hint="eastAsia"/>
          <w:lang w:eastAsia="zh-CN"/>
        </w:rPr>
        <w:t>未能写清的关键事项。这表明，本应在合同订立阶段完成的规则明确和风险分配功能，在不少案件中被推迟到了诉讼阶段由法院补足。因此，强化合同订立阶段的规则供给，应成为物业服务合同纠纷预防机制完善的优先方向。</w:t>
      </w:r>
    </w:p>
    <w:p w14:paraId="6312DCA8">
      <w:pPr>
        <w:pStyle w:val="3"/>
        <w:bidi w:val="0"/>
        <w:rPr>
          <w:rFonts w:hint="default"/>
          <w:lang w:val="en-US" w:eastAsia="zh-CN"/>
        </w:rPr>
      </w:pPr>
      <w:bookmarkStart w:id="109" w:name="_Toc8722"/>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bookmarkEnd w:id="109"/>
    </w:p>
    <w:p w14:paraId="015F117B">
      <w:pPr>
        <w:rPr>
          <w:rFonts w:hint="eastAsia"/>
          <w:lang w:eastAsia="zh-CN"/>
        </w:rPr>
      </w:pPr>
      <w:r>
        <w:rPr>
          <w:rFonts w:hint="eastAsia"/>
          <w:lang w:eastAsia="zh-CN"/>
        </w:rPr>
        <w:t>本节对应服务质量争议与信息披露争议，两者在样本中常同时出现，共同反映了履行阶段信息不对称与履约状态不可核验的问题。业主对服务不满意、对收费有怀疑，是</w:t>
      </w:r>
      <w:r>
        <w:rPr>
          <w:rFonts w:hint="eastAsia"/>
          <w:lang w:val="en-US" w:eastAsia="zh-CN"/>
        </w:rPr>
        <w:t>因为</w:t>
      </w:r>
      <w:r>
        <w:rPr>
          <w:rFonts w:hint="eastAsia"/>
          <w:lang w:eastAsia="zh-CN"/>
        </w:rPr>
        <w:t>在合同履行过程里，他们没法及时核验服务</w:t>
      </w:r>
      <w:r>
        <w:rPr>
          <w:rFonts w:hint="eastAsia"/>
          <w:lang w:val="en-US" w:eastAsia="zh-CN"/>
        </w:rPr>
        <w:t>是否</w:t>
      </w:r>
      <w:r>
        <w:rPr>
          <w:rFonts w:hint="eastAsia"/>
          <w:lang w:eastAsia="zh-CN"/>
        </w:rPr>
        <w:t>到位，也</w:t>
      </w:r>
      <w:r>
        <w:rPr>
          <w:rFonts w:hint="eastAsia"/>
          <w:lang w:val="en-US" w:eastAsia="zh-CN"/>
        </w:rPr>
        <w:t>不</w:t>
      </w:r>
      <w:r>
        <w:rPr>
          <w:rFonts w:hint="eastAsia"/>
          <w:lang w:eastAsia="zh-CN"/>
        </w:rPr>
        <w:t>清楚费用是</w:t>
      </w:r>
      <w:r>
        <w:rPr>
          <w:rFonts w:hint="eastAsia"/>
          <w:lang w:val="en-US" w:eastAsia="zh-CN"/>
        </w:rPr>
        <w:t>如何</w:t>
      </w:r>
      <w:r>
        <w:rPr>
          <w:rFonts w:hint="eastAsia"/>
          <w:lang w:eastAsia="zh-CN"/>
        </w:rPr>
        <w:t>构成、收支又是</w:t>
      </w:r>
      <w:r>
        <w:rPr>
          <w:rFonts w:hint="eastAsia"/>
          <w:lang w:val="en-US" w:eastAsia="zh-CN"/>
        </w:rPr>
        <w:t>如何</w:t>
      </w:r>
      <w:r>
        <w:rPr>
          <w:rFonts w:hint="eastAsia"/>
          <w:lang w:eastAsia="zh-CN"/>
        </w:rPr>
        <w:t>安排的。信息不透明本身不一定会直接把纠纷拖进诉讼，但它会一直消耗双方的信任，</w:t>
      </w:r>
      <w:r>
        <w:rPr>
          <w:rFonts w:hint="eastAsia"/>
          <w:lang w:val="en-US" w:eastAsia="zh-CN"/>
        </w:rPr>
        <w:t>使对履约的不满转化成</w:t>
      </w:r>
      <w:r>
        <w:rPr>
          <w:rFonts w:hint="eastAsia"/>
          <w:lang w:eastAsia="zh-CN"/>
        </w:rPr>
        <w:t>正式的争议。服务履行和费用公开不充分，是物业服务合同纠纷在履行阶段最突出的隐患之一。</w:t>
      </w:r>
    </w:p>
    <w:p w14:paraId="23A9767F">
      <w:pPr>
        <w:rPr>
          <w:rFonts w:hint="eastAsia"/>
          <w:lang w:eastAsia="zh-CN"/>
        </w:rPr>
      </w:pPr>
      <w:r>
        <w:rPr>
          <w:rFonts w:hint="eastAsia"/>
          <w:lang w:eastAsia="zh-CN"/>
        </w:rPr>
        <w:t>合同履行阶段的信息隐患，</w:t>
      </w:r>
      <w:r>
        <w:rPr>
          <w:rFonts w:hint="eastAsia"/>
          <w:lang w:val="en-US" w:eastAsia="zh-CN"/>
        </w:rPr>
        <w:t>一个较为突出的问题是</w:t>
      </w:r>
      <w:r>
        <w:rPr>
          <w:rFonts w:hint="eastAsia"/>
          <w:lang w:eastAsia="zh-CN"/>
        </w:rPr>
        <w:t>服务履行情况不容易得到及时核验。业主主张物业服务存在瑕疵</w:t>
      </w:r>
      <w:r>
        <w:rPr>
          <w:rFonts w:hint="eastAsia"/>
          <w:lang w:val="en-US" w:eastAsia="zh-CN"/>
        </w:rPr>
        <w:t>时</w:t>
      </w:r>
      <w:r>
        <w:rPr>
          <w:rFonts w:hint="eastAsia"/>
          <w:lang w:eastAsia="zh-CN"/>
        </w:rPr>
        <w:t>，比如保洁不到位、安保措施不足、设施维护拖沓，物业公司拿不出</w:t>
      </w:r>
      <w:r>
        <w:rPr>
          <w:rFonts w:hint="eastAsia"/>
          <w:lang w:val="en-US" w:eastAsia="zh-CN"/>
        </w:rPr>
        <w:t>可查验</w:t>
      </w:r>
      <w:r>
        <w:rPr>
          <w:rFonts w:hint="eastAsia"/>
          <w:lang w:eastAsia="zh-CN"/>
        </w:rPr>
        <w:t>的公示材料、工作记录。</w:t>
      </w:r>
      <w:r>
        <w:rPr>
          <w:rFonts w:hint="eastAsia"/>
          <w:lang w:val="en-US" w:eastAsia="zh-CN"/>
        </w:rPr>
        <w:t>与此同时，</w:t>
      </w:r>
      <w:r>
        <w:rPr>
          <w:rFonts w:hint="eastAsia"/>
          <w:lang w:eastAsia="zh-CN"/>
        </w:rPr>
        <w:t>收费依据与费用构成不透明</w:t>
      </w:r>
      <w:r>
        <w:rPr>
          <w:rFonts w:hint="eastAsia"/>
          <w:lang w:val="en-US" w:eastAsia="zh-CN"/>
        </w:rPr>
        <w:t>的问题也很显著</w:t>
      </w:r>
      <w:r>
        <w:rPr>
          <w:rFonts w:hint="eastAsia"/>
          <w:lang w:eastAsia="zh-CN"/>
        </w:rPr>
        <w:t>。业主对物业费标准、分摊费用计算或相关收支安排提出质疑，但合同本身对收费依据就交代得不充分，履行过程中又缺少定期公示和说明的环节，业主因此很难有效判断收费主张</w:t>
      </w:r>
      <w:r>
        <w:rPr>
          <w:rFonts w:hint="eastAsia"/>
          <w:lang w:val="en-US" w:eastAsia="zh-CN"/>
        </w:rPr>
        <w:t>是否</w:t>
      </w:r>
      <w:r>
        <w:rPr>
          <w:rFonts w:hint="eastAsia"/>
          <w:lang w:eastAsia="zh-CN"/>
        </w:rPr>
        <w:t>合理。</w:t>
      </w:r>
      <w:r>
        <w:rPr>
          <w:rFonts w:hint="eastAsia"/>
          <w:lang w:val="en-US" w:eastAsia="zh-CN"/>
        </w:rPr>
        <w:t>此外</w:t>
      </w:r>
      <w:r>
        <w:rPr>
          <w:rFonts w:hint="eastAsia"/>
          <w:lang w:eastAsia="zh-CN"/>
        </w:rPr>
        <w:t>，与物业服务履行密切相关的财务信息一直</w:t>
      </w:r>
      <w:r>
        <w:rPr>
          <w:rFonts w:hint="eastAsia"/>
          <w:lang w:val="en-US" w:eastAsia="zh-CN"/>
        </w:rPr>
        <w:t>未能</w:t>
      </w:r>
      <w:r>
        <w:rPr>
          <w:rFonts w:hint="eastAsia"/>
          <w:lang w:eastAsia="zh-CN"/>
        </w:rPr>
        <w:t>做到持续公开。</w:t>
      </w:r>
      <w:r>
        <w:rPr>
          <w:rFonts w:hint="eastAsia"/>
          <w:lang w:val="en-US" w:eastAsia="zh-CN"/>
        </w:rPr>
        <w:t>业主</w:t>
      </w:r>
      <w:r>
        <w:rPr>
          <w:rFonts w:hint="eastAsia"/>
          <w:lang w:eastAsia="zh-CN"/>
        </w:rPr>
        <w:t>疑虑越积越多，最终通过诉讼集中表达出来。</w:t>
      </w:r>
    </w:p>
    <w:p w14:paraId="6BA27910">
      <w:pPr>
        <w:rPr>
          <w:rFonts w:hint="eastAsia"/>
          <w:lang w:eastAsia="zh-CN"/>
        </w:rPr>
      </w:pPr>
      <w:r>
        <w:rPr>
          <w:rFonts w:hint="eastAsia"/>
          <w:lang w:eastAsia="zh-CN"/>
        </w:rPr>
        <w:t>上述</w:t>
      </w:r>
      <w:r>
        <w:rPr>
          <w:rFonts w:hint="eastAsia"/>
          <w:lang w:val="en-US" w:eastAsia="zh-CN"/>
        </w:rPr>
        <w:t>信息隐患</w:t>
      </w:r>
      <w:r>
        <w:rPr>
          <w:rFonts w:hint="eastAsia"/>
          <w:lang w:eastAsia="zh-CN"/>
        </w:rPr>
        <w:t>在“张某等17位业主诉苏州某物业公司、某小区业主委员会业主知情权纠纷案”中体现得较为典型。</w:t>
      </w:r>
      <w:r>
        <w:rPr>
          <w:rStyle w:val="34"/>
          <w:rFonts w:hint="eastAsia"/>
          <w:lang w:eastAsia="zh-CN"/>
        </w:rPr>
        <w:footnoteReference w:id="26"/>
      </w:r>
      <w:r>
        <w:rPr>
          <w:rFonts w:hint="eastAsia"/>
          <w:lang w:eastAsia="zh-CN"/>
        </w:rPr>
        <w:t>张某等17位业主</w:t>
      </w:r>
      <w:r>
        <w:rPr>
          <w:rFonts w:hint="eastAsia"/>
          <w:lang w:val="en-US" w:eastAsia="zh-CN"/>
        </w:rPr>
        <w:t>认为，</w:t>
      </w:r>
      <w:r>
        <w:rPr>
          <w:rFonts w:hint="eastAsia"/>
          <w:lang w:eastAsia="zh-CN"/>
        </w:rPr>
        <w:t>小区内与公共收益、维修资金、能耗收支等相关的信息长期没有得到充分披露，导致业主无法有效了解小区事务管理和费用使用情况，于是起诉要求查阅、复制与业主大会及业主委员会决定、会议记录、公共收益收入及支出</w:t>
      </w:r>
      <w:r>
        <w:rPr>
          <w:rFonts w:hint="eastAsia"/>
          <w:lang w:val="en-US" w:eastAsia="zh-CN"/>
        </w:rPr>
        <w:t>明细的相关</w:t>
      </w:r>
      <w:r>
        <w:rPr>
          <w:rFonts w:hint="eastAsia"/>
          <w:lang w:eastAsia="zh-CN"/>
        </w:rPr>
        <w:t>文件。被告一方则提出部分请求已超过诉讼时效等抗辩。</w:t>
      </w:r>
    </w:p>
    <w:p w14:paraId="7586D287">
      <w:pPr>
        <w:rPr>
          <w:rFonts w:hint="eastAsia"/>
          <w:lang w:eastAsia="zh-CN"/>
        </w:rPr>
      </w:pPr>
      <w:r>
        <w:rPr>
          <w:rFonts w:hint="eastAsia"/>
          <w:lang w:eastAsia="zh-CN"/>
        </w:rPr>
        <w:t>法院</w:t>
      </w:r>
      <w:r>
        <w:rPr>
          <w:rFonts w:hint="eastAsia"/>
          <w:lang w:val="en-US" w:eastAsia="zh-CN"/>
        </w:rPr>
        <w:t>主要</w:t>
      </w:r>
      <w:r>
        <w:rPr>
          <w:rFonts w:hint="eastAsia"/>
          <w:lang w:eastAsia="zh-CN"/>
        </w:rPr>
        <w:t>审查</w:t>
      </w:r>
      <w:r>
        <w:rPr>
          <w:rFonts w:hint="eastAsia"/>
          <w:lang w:val="en-US" w:eastAsia="zh-CN"/>
        </w:rPr>
        <w:t>三方面</w:t>
      </w:r>
      <w:r>
        <w:rPr>
          <w:rFonts w:hint="eastAsia"/>
          <w:lang w:eastAsia="zh-CN"/>
        </w:rPr>
        <w:t>，</w:t>
      </w:r>
      <w:r>
        <w:rPr>
          <w:rFonts w:hint="eastAsia"/>
          <w:lang w:val="en-US" w:eastAsia="zh-CN"/>
        </w:rPr>
        <w:t>第一方面是</w:t>
      </w:r>
      <w:r>
        <w:rPr>
          <w:rFonts w:hint="eastAsia"/>
          <w:lang w:eastAsia="zh-CN"/>
        </w:rPr>
        <w:t>业主知情权是否受诉讼时效限制。法院认为，业主知情权</w:t>
      </w:r>
      <w:r>
        <w:rPr>
          <w:rFonts w:hint="eastAsia"/>
          <w:lang w:val="en-US" w:eastAsia="zh-CN"/>
        </w:rPr>
        <w:t>使</w:t>
      </w:r>
      <w:r>
        <w:rPr>
          <w:rFonts w:hint="eastAsia"/>
          <w:lang w:eastAsia="zh-CN"/>
        </w:rPr>
        <w:t>业主基于其所有权人地位所享有的法定权利，不属于一般</w:t>
      </w:r>
      <w:r>
        <w:rPr>
          <w:rFonts w:hint="eastAsia"/>
          <w:lang w:val="en-US" w:eastAsia="zh-CN"/>
        </w:rPr>
        <w:t>意义上的</w:t>
      </w:r>
      <w:r>
        <w:rPr>
          <w:rFonts w:hint="eastAsia"/>
          <w:lang w:eastAsia="zh-CN"/>
        </w:rPr>
        <w:t>债权请求权，所以</w:t>
      </w:r>
      <w:r>
        <w:rPr>
          <w:rFonts w:hint="eastAsia"/>
          <w:lang w:val="en-US" w:eastAsia="zh-CN"/>
        </w:rPr>
        <w:t>不适用</w:t>
      </w:r>
      <w:r>
        <w:rPr>
          <w:rFonts w:hint="eastAsia"/>
          <w:lang w:eastAsia="zh-CN"/>
        </w:rPr>
        <w:t>通常的诉讼时效抗辩。</w:t>
      </w:r>
      <w:r>
        <w:rPr>
          <w:rFonts w:hint="eastAsia"/>
          <w:lang w:val="en-US" w:eastAsia="zh-CN"/>
        </w:rPr>
        <w:t>第二方面</w:t>
      </w:r>
      <w:r>
        <w:rPr>
          <w:rFonts w:hint="eastAsia"/>
          <w:lang w:eastAsia="zh-CN"/>
        </w:rPr>
        <w:t>，哪些事项属于依法应予披露和查阅的范围。</w:t>
      </w:r>
      <w:r>
        <w:rPr>
          <w:rFonts w:hint="eastAsia"/>
          <w:lang w:val="en-US" w:eastAsia="zh-CN"/>
        </w:rPr>
        <w:t>按照</w:t>
      </w:r>
      <w:r>
        <w:rPr>
          <w:rFonts w:hint="eastAsia"/>
          <w:lang w:eastAsia="zh-CN"/>
        </w:rPr>
        <w:t>法院</w:t>
      </w:r>
      <w:r>
        <w:rPr>
          <w:rFonts w:hint="eastAsia"/>
          <w:lang w:val="en-US" w:eastAsia="zh-CN"/>
        </w:rPr>
        <w:t>的认定，</w:t>
      </w:r>
      <w:r>
        <w:rPr>
          <w:rFonts w:hint="eastAsia"/>
          <w:lang w:eastAsia="zh-CN"/>
        </w:rPr>
        <w:t>结合《民法典》第943条以及相关</w:t>
      </w:r>
      <w:r>
        <w:rPr>
          <w:rFonts w:hint="eastAsia"/>
          <w:lang w:val="en-US" w:eastAsia="zh-CN"/>
        </w:rPr>
        <w:t>的</w:t>
      </w:r>
      <w:r>
        <w:rPr>
          <w:rFonts w:hint="eastAsia"/>
          <w:lang w:eastAsia="zh-CN"/>
        </w:rPr>
        <w:t>司法解释，维修资金的筹集和使用情况、共有部分的经营收益和使用情况，还有相关的会议决定和记录，都属于业主有权知悉和查阅的重要事项。第三</w:t>
      </w:r>
      <w:r>
        <w:rPr>
          <w:rFonts w:hint="eastAsia"/>
          <w:lang w:val="en-US" w:eastAsia="zh-CN"/>
        </w:rPr>
        <w:t>方面</w:t>
      </w:r>
      <w:r>
        <w:rPr>
          <w:rFonts w:hint="eastAsia"/>
          <w:lang w:eastAsia="zh-CN"/>
        </w:rPr>
        <w:t>，原始材料应以何种方式向业主开放。法院认为，部分原始合同、票据等资料可通过查阅方式实现知情权，</w:t>
      </w:r>
      <w:r>
        <w:rPr>
          <w:rFonts w:hint="eastAsia"/>
          <w:lang w:val="en-US" w:eastAsia="zh-CN"/>
        </w:rPr>
        <w:t>但</w:t>
      </w:r>
      <w:r>
        <w:rPr>
          <w:rFonts w:hint="eastAsia"/>
          <w:lang w:eastAsia="zh-CN"/>
        </w:rPr>
        <w:t>是否允许复制，应结合资料性质和保管需要作具体处理。</w:t>
      </w:r>
    </w:p>
    <w:p w14:paraId="62E204FD">
      <w:pPr>
        <w:rPr>
          <w:rFonts w:hint="eastAsia"/>
          <w:lang w:eastAsia="zh-CN"/>
        </w:rPr>
      </w:pPr>
      <w:r>
        <w:rPr>
          <w:rFonts w:hint="eastAsia"/>
          <w:lang w:eastAsia="zh-CN"/>
        </w:rPr>
        <w:t>法院最终对哪些信息应当公开、由谁公开以及如何公开作出了界定，要求相应主体公布公共收益收支、公共能耗收支、维修资金筹集和使用情况等事项，并保障业主查阅相关材料的权利。从裁判结果来看，这当然确认了业主的法定知情权。但更值得留意的是它折射出的另一层问题：收费依据、资金使用、收益去向这些基本信息，在履行阶段长期不被业主所知，法院就只能被迫在诉讼中替合同履行阶段补上公开规则，逐项明确什么该公开、由谁公开、公开到什么程度。履行阶段的信息公开机制如果只停留在原则层面，没有在公开范围、方式以及留痕要求上形成可操作的规则，法院便只能背上逐项审查、逐项认定的沉重负担，而</w:t>
      </w:r>
      <w:r>
        <w:rPr>
          <w:rFonts w:hint="eastAsia"/>
          <w:lang w:val="en-US" w:eastAsia="zh-CN"/>
        </w:rPr>
        <w:t>此案中</w:t>
      </w:r>
      <w:r>
        <w:rPr>
          <w:rFonts w:hint="eastAsia"/>
          <w:lang w:eastAsia="zh-CN"/>
        </w:rPr>
        <w:t>法院所作的事后补课式裁判，恰恰将这一点暴露了出来。</w:t>
      </w:r>
    </w:p>
    <w:p w14:paraId="273D5C11">
      <w:pPr>
        <w:bidi w:val="0"/>
        <w:rPr>
          <w:rFonts w:hint="eastAsia"/>
          <w:lang w:eastAsia="zh-CN"/>
        </w:rPr>
      </w:pPr>
      <w:r>
        <w:rPr>
          <w:rFonts w:hint="eastAsia"/>
          <w:lang w:val="en-US" w:eastAsia="zh-CN"/>
        </w:rPr>
        <w:t>在其他案件中，这一判断也得到了验证。</w:t>
      </w:r>
      <w:r>
        <w:rPr>
          <w:rStyle w:val="34"/>
          <w:rFonts w:hint="eastAsia"/>
          <w:lang w:eastAsia="zh-CN"/>
        </w:rPr>
        <w:footnoteReference w:id="27"/>
      </w:r>
      <w:r>
        <w:rPr>
          <w:rFonts w:hint="eastAsia"/>
          <w:lang w:eastAsia="zh-CN"/>
        </w:rPr>
        <w:t>“彭某诉深圳市某有限公司业主知情权纠纷案”，业主提出要查阅物业服务合同以及共有部分的使用和收益等资料，法院</w:t>
      </w:r>
      <w:r>
        <w:rPr>
          <w:rFonts w:hint="eastAsia"/>
          <w:lang w:val="en-US" w:eastAsia="zh-CN"/>
        </w:rPr>
        <w:t>予以支持</w:t>
      </w:r>
      <w:r>
        <w:rPr>
          <w:rFonts w:hint="eastAsia"/>
          <w:lang w:eastAsia="zh-CN"/>
        </w:rPr>
        <w:t>。</w:t>
      </w:r>
      <w:r>
        <w:rPr>
          <w:rFonts w:hint="eastAsia"/>
          <w:lang w:val="en-US" w:eastAsia="zh-CN"/>
        </w:rPr>
        <w:t>这</w:t>
      </w:r>
      <w:r>
        <w:rPr>
          <w:rFonts w:hint="eastAsia"/>
          <w:lang w:eastAsia="zh-CN"/>
        </w:rPr>
        <w:t>表明，对于跟物业服务履行和费用安排密切相关的信息，业主享有法定的知情权，物业服务人不能以已经做过一般性公示或其他笼统理由，就</w:t>
      </w:r>
      <w:r>
        <w:rPr>
          <w:rFonts w:hint="eastAsia"/>
          <w:lang w:val="en-US" w:eastAsia="zh-CN"/>
        </w:rPr>
        <w:t>卸掉</w:t>
      </w:r>
      <w:r>
        <w:rPr>
          <w:rFonts w:hint="eastAsia"/>
          <w:lang w:eastAsia="zh-CN"/>
        </w:rPr>
        <w:t>持续、充分的信息公开义务。</w:t>
      </w:r>
    </w:p>
    <w:p w14:paraId="006E3D73">
      <w:pPr>
        <w:rPr>
          <w:rFonts w:hint="eastAsia"/>
          <w:lang w:eastAsia="zh-CN"/>
        </w:rPr>
      </w:pPr>
      <w:r>
        <w:rPr>
          <w:rFonts w:hint="eastAsia"/>
          <w:lang w:eastAsia="zh-CN"/>
        </w:rPr>
        <w:t>综上，服务履行与费用公开失衡，是物业服务合同纠纷在履行阶段最突出的信息隐患之一。法院不得不在诉讼中通过举证责任分配、证据审查和权利范围界定来补足这些问题。这</w:t>
      </w:r>
      <w:r>
        <w:rPr>
          <w:rFonts w:hint="eastAsia"/>
          <w:lang w:val="en-US" w:eastAsia="zh-CN"/>
        </w:rPr>
        <w:t>些问题说明</w:t>
      </w:r>
      <w:r>
        <w:rPr>
          <w:rFonts w:hint="eastAsia"/>
          <w:lang w:eastAsia="zh-CN"/>
        </w:rPr>
        <w:t>，合同履行阶段的信息披露义务不应停留于原则要求，而应尽可能通过持续公开、过程留痕和及时反馈形成可操作的履约支持机制。法院的裁判</w:t>
      </w:r>
      <w:r>
        <w:rPr>
          <w:rFonts w:hint="eastAsia"/>
          <w:lang w:val="en-US" w:eastAsia="zh-CN"/>
        </w:rPr>
        <w:t>逻辑</w:t>
      </w:r>
      <w:r>
        <w:rPr>
          <w:rFonts w:hint="eastAsia"/>
          <w:lang w:eastAsia="zh-CN"/>
        </w:rPr>
        <w:t>表明，信息公开如果只作为一项原则性义务来对待，法院就只能在每一个知情权案件里反复回答“哪些信息该公开、公开到什么程度”这种本应在合同中预先解决的问题。反过来讲，只有把信息公开从原则性的要求，转化为列明具体事项、留存履行痕迹、设定固定周期的操作性条款，法院才不至于在同类问题上反复消耗裁判资源。</w:t>
      </w:r>
    </w:p>
    <w:p w14:paraId="23ED6FB0">
      <w:pPr>
        <w:pStyle w:val="3"/>
        <w:bidi w:val="0"/>
        <w:rPr>
          <w:rFonts w:hint="eastAsia"/>
          <w:lang w:eastAsia="zh-CN"/>
        </w:rPr>
      </w:pPr>
      <w:bookmarkStart w:id="110" w:name="_Toc24902"/>
      <w:r>
        <w:rPr>
          <w:rFonts w:hint="eastAsia"/>
          <w:lang w:eastAsia="zh-CN"/>
        </w:rPr>
        <w:t>（六）</w:t>
      </w:r>
      <w:r>
        <w:rPr>
          <w:rFonts w:hint="eastAsia"/>
          <w:lang w:val="en-US" w:eastAsia="zh-CN"/>
        </w:rPr>
        <w:t>争议显现阶段：</w:t>
      </w:r>
      <w:r>
        <w:rPr>
          <w:rFonts w:hint="eastAsia"/>
          <w:lang w:eastAsia="zh-CN"/>
        </w:rPr>
        <w:t>异议处理和协商程序不足</w:t>
      </w:r>
      <w:bookmarkEnd w:id="110"/>
    </w:p>
    <w:p w14:paraId="05E8F99E">
      <w:pPr>
        <w:rPr>
          <w:rFonts w:hint="eastAsia"/>
          <w:lang w:eastAsia="zh-CN"/>
        </w:rPr>
      </w:pPr>
      <w:r>
        <w:rPr>
          <w:rFonts w:hint="eastAsia"/>
          <w:lang w:eastAsia="zh-CN"/>
        </w:rPr>
        <w:t>违约责任及抗辩争</w:t>
      </w:r>
      <w:bookmarkStart w:id="137" w:name="_GoBack"/>
      <w:bookmarkEnd w:id="137"/>
      <w:r>
        <w:rPr>
          <w:rFonts w:hint="eastAsia"/>
          <w:lang w:eastAsia="zh-CN"/>
        </w:rPr>
        <w:t>议虽在数量上占比较小，但折射出异议受理、协商留痕及非诉分流机制的整体缺位，是纠纷从分歧升级为诉讼的关键节点。争议显现阶段的程序缺失主要表现为三种情形。第一种，业主提出异议后</w:t>
      </w:r>
      <w:r>
        <w:rPr>
          <w:rFonts w:hint="eastAsia"/>
          <w:lang w:val="en-US" w:eastAsia="zh-CN"/>
        </w:rPr>
        <w:t>缺乏</w:t>
      </w:r>
      <w:r>
        <w:rPr>
          <w:rFonts w:hint="eastAsia"/>
          <w:lang w:eastAsia="zh-CN"/>
        </w:rPr>
        <w:t>正式的受理和回应机制。</w:t>
      </w:r>
      <w:r>
        <w:rPr>
          <w:rFonts w:hint="eastAsia"/>
          <w:lang w:val="en-US" w:eastAsia="zh-CN"/>
        </w:rPr>
        <w:t>当</w:t>
      </w:r>
      <w:r>
        <w:rPr>
          <w:rFonts w:hint="eastAsia"/>
          <w:lang w:eastAsia="zh-CN"/>
        </w:rPr>
        <w:t>业主对服务质量、收费合理性或者具体管理事项提出质疑后，物业公司虽有催缴或一般性沟通，但没有对异议进行登记、分类处理和书面答复的规则安排。第二种，协商过程缺少可查证的记录和确认机制。翻看大量裁判文书发现，双方对“</w:t>
      </w:r>
      <w:r>
        <w:rPr>
          <w:rFonts w:hint="eastAsia"/>
          <w:lang w:val="en-US" w:eastAsia="zh-CN"/>
        </w:rPr>
        <w:t>是否</w:t>
      </w:r>
      <w:r>
        <w:rPr>
          <w:rFonts w:hint="eastAsia"/>
          <w:lang w:eastAsia="zh-CN"/>
        </w:rPr>
        <w:t>协商过”“协商了些什么”“</w:t>
      </w:r>
      <w:r>
        <w:rPr>
          <w:rFonts w:hint="eastAsia"/>
          <w:lang w:val="en-US" w:eastAsia="zh-CN"/>
        </w:rPr>
        <w:t>是否</w:t>
      </w:r>
      <w:r>
        <w:rPr>
          <w:rFonts w:hint="eastAsia"/>
          <w:lang w:eastAsia="zh-CN"/>
        </w:rPr>
        <w:t>达成过一致”</w:t>
      </w:r>
      <w:r>
        <w:rPr>
          <w:rFonts w:hint="eastAsia"/>
          <w:lang w:val="en-US" w:eastAsia="zh-CN"/>
        </w:rPr>
        <w:t>各执一词</w:t>
      </w:r>
      <w:r>
        <w:rPr>
          <w:rFonts w:hint="eastAsia"/>
          <w:lang w:eastAsia="zh-CN"/>
        </w:rPr>
        <w:t>，法院只能凭既有证据和举证责任规则来判断。第三种，争议露头以后非诉分流的介入不</w:t>
      </w:r>
      <w:r>
        <w:rPr>
          <w:rFonts w:hint="eastAsia"/>
          <w:lang w:val="en-US" w:eastAsia="zh-CN"/>
        </w:rPr>
        <w:t>足</w:t>
      </w:r>
      <w:r>
        <w:rPr>
          <w:rFonts w:hint="eastAsia"/>
          <w:lang w:eastAsia="zh-CN"/>
        </w:rPr>
        <w:t>。多数案件未经规范的社区调解或行业调解，便直接从分歧进入诉讼。</w:t>
      </w:r>
    </w:p>
    <w:p w14:paraId="07410541">
      <w:pPr>
        <w:rPr>
          <w:rFonts w:hint="eastAsia"/>
          <w:lang w:eastAsia="zh-CN"/>
        </w:rPr>
      </w:pPr>
      <w:r>
        <w:rPr>
          <w:rFonts w:hint="eastAsia"/>
          <w:lang w:val="en-US" w:eastAsia="zh-CN"/>
        </w:rPr>
        <w:t>这些程序缺失在</w:t>
      </w:r>
      <w:r>
        <w:rPr>
          <w:rStyle w:val="34"/>
          <w:rFonts w:hint="eastAsia"/>
          <w:lang w:eastAsia="zh-CN"/>
        </w:rPr>
        <w:footnoteReference w:id="28"/>
      </w:r>
      <w:r>
        <w:rPr>
          <w:rFonts w:hint="eastAsia"/>
          <w:lang w:eastAsia="zh-CN"/>
        </w:rPr>
        <w:t>广州东华物业管理有限公司诉黄某（WONG JACKSON）物业服务合同纠纷案”</w:t>
      </w:r>
      <w:r>
        <w:rPr>
          <w:rFonts w:hint="eastAsia"/>
          <w:lang w:val="en-US" w:eastAsia="zh-CN"/>
        </w:rPr>
        <w:t>相当明显</w:t>
      </w:r>
      <w:r>
        <w:rPr>
          <w:rFonts w:hint="eastAsia"/>
          <w:lang w:eastAsia="zh-CN"/>
        </w:rPr>
        <w:t>。业主黄某以物业公司未履行封窗事件告知义务、漏水协调义务以及大堂天花板修复义务等为由，从2021年1月起不再缴纳物业费。</w:t>
      </w:r>
      <w:r>
        <w:rPr>
          <w:rFonts w:hint="eastAsia"/>
          <w:lang w:val="en-US" w:eastAsia="zh-CN"/>
        </w:rPr>
        <w:t>此前，</w:t>
      </w:r>
      <w:r>
        <w:rPr>
          <w:rFonts w:hint="eastAsia"/>
          <w:lang w:eastAsia="zh-CN"/>
        </w:rPr>
        <w:t>业主曾经通过12345政府热线等渠道</w:t>
      </w:r>
      <w:r>
        <w:rPr>
          <w:rFonts w:hint="eastAsia"/>
          <w:lang w:val="en-US" w:eastAsia="zh-CN"/>
        </w:rPr>
        <w:t>多次</w:t>
      </w:r>
      <w:r>
        <w:rPr>
          <w:rFonts w:hint="eastAsia"/>
          <w:lang w:eastAsia="zh-CN"/>
        </w:rPr>
        <w:t>反映相关问题。法院的审查重点</w:t>
      </w:r>
      <w:r>
        <w:rPr>
          <w:rFonts w:hint="eastAsia"/>
          <w:lang w:val="en-US" w:eastAsia="zh-CN"/>
        </w:rPr>
        <w:t>在于</w:t>
      </w:r>
      <w:r>
        <w:rPr>
          <w:rFonts w:hint="eastAsia"/>
          <w:lang w:eastAsia="zh-CN"/>
        </w:rPr>
        <w:t>：物业公司是否履行了主要</w:t>
      </w:r>
      <w:r>
        <w:rPr>
          <w:rFonts w:hint="eastAsia"/>
          <w:lang w:val="en-US" w:eastAsia="zh-CN"/>
        </w:rPr>
        <w:t>合同</w:t>
      </w:r>
      <w:r>
        <w:rPr>
          <w:rFonts w:hint="eastAsia"/>
          <w:lang w:eastAsia="zh-CN"/>
        </w:rPr>
        <w:t>义务，</w:t>
      </w:r>
      <w:r>
        <w:rPr>
          <w:rFonts w:hint="eastAsia"/>
          <w:lang w:val="en-US" w:eastAsia="zh-CN"/>
        </w:rPr>
        <w:t>以及</w:t>
      </w:r>
      <w:r>
        <w:rPr>
          <w:rFonts w:hint="eastAsia"/>
          <w:lang w:eastAsia="zh-CN"/>
        </w:rPr>
        <w:t>业主拒交物业费的理由是否足以对抗物业费请求。法院认为，业主所主张的封窗、漏水等事项涉及其他法律关系或者第三方责任，与物业服务费纠纷不具有直接对应关系，不足以否定物业公司提供物业服务的整体性，故判决业主支付欠缴的物业费。</w:t>
      </w:r>
    </w:p>
    <w:p w14:paraId="768C7844">
      <w:pPr>
        <w:rPr>
          <w:rFonts w:hint="eastAsia"/>
          <w:lang w:eastAsia="zh-CN"/>
        </w:rPr>
      </w:pPr>
      <w:r>
        <w:rPr>
          <w:rFonts w:hint="eastAsia"/>
          <w:lang w:eastAsia="zh-CN"/>
        </w:rPr>
        <w:t>就个案裁判结果而言，法院解决的是物业费请求是否成立的问题。</w:t>
      </w:r>
      <w:r>
        <w:rPr>
          <w:rFonts w:hint="eastAsia"/>
          <w:lang w:val="en-US" w:eastAsia="zh-CN"/>
        </w:rPr>
        <w:t>但更关键的在于</w:t>
      </w:r>
      <w:r>
        <w:rPr>
          <w:rFonts w:hint="eastAsia"/>
          <w:lang w:eastAsia="zh-CN"/>
        </w:rPr>
        <w:t>业主的不满在诉讼之前就已通过12345热线等渠道外化，争议信号已较为明确。但从裁判文书呈现的事实来看，双方之间并未形成一套涵盖异议受理、协商留痕和结果确认的正式程序安排。法院在诉讼中能够审查和确认的，依然是合同关系和服务整体履行状态，而非一套完整的诉前异议处理记录。这里</w:t>
      </w:r>
      <w:r>
        <w:rPr>
          <w:rFonts w:hint="eastAsia"/>
          <w:lang w:val="en-US" w:eastAsia="zh-CN"/>
        </w:rPr>
        <w:t>的</w:t>
      </w:r>
      <w:r>
        <w:rPr>
          <w:rFonts w:hint="eastAsia"/>
          <w:lang w:eastAsia="zh-CN"/>
        </w:rPr>
        <w:t>深层问题在于，缺少前端程序的支撑，法院就只能回到“这些问题是否足以构成拒费理由”的起点，逐项加以认定。</w:t>
      </w:r>
    </w:p>
    <w:p w14:paraId="3D8CB6E6">
      <w:pPr>
        <w:rPr>
          <w:rFonts w:hint="default"/>
          <w:lang w:val="en-US" w:eastAsia="zh-CN"/>
        </w:rPr>
      </w:pPr>
      <w:r>
        <w:rPr>
          <w:rFonts w:hint="eastAsia"/>
          <w:lang w:val="en-US" w:eastAsia="zh-CN"/>
        </w:rPr>
        <w:t>这一点在其他两个案例中也有展现</w:t>
      </w:r>
      <w:r>
        <w:rPr>
          <w:rFonts w:hint="eastAsia"/>
          <w:lang w:eastAsia="zh-CN"/>
        </w:rPr>
        <w:t>。</w:t>
      </w:r>
      <w:r>
        <w:rPr>
          <w:rStyle w:val="34"/>
          <w:rFonts w:hint="eastAsia"/>
          <w:lang w:eastAsia="zh-CN"/>
        </w:rPr>
        <w:footnoteReference w:id="29"/>
      </w:r>
      <w:r>
        <w:rPr>
          <w:rFonts w:hint="eastAsia"/>
          <w:lang w:eastAsia="zh-CN"/>
        </w:rPr>
        <w:t>在“阜新市龙胜物业管理有限责任公司诉安某物业服务合同纠纷案”中，业主以路灯损坏、单元门损坏、绿化缺失、消防隐患等多项物业服务问题为由拒交物业费，并主张物业公司未有效履行维修和协调义务。裁判文书反映，业主曾多次反映相关问题，物业公司也有过一定回应，但双方在诉前并没有形成比较完整的书面异议记录、处理答复和协商结果确认材料，分歧没能在诉前得到有效吸收，最终还是进了诉讼。</w:t>
      </w:r>
      <w:r>
        <w:rPr>
          <w:rFonts w:hint="eastAsia"/>
          <w:lang w:val="en-US" w:eastAsia="zh-CN"/>
        </w:rPr>
        <w:t>反过来看，沟通本身并不足以预防诉讼，只有“可留痕、可查验、可追溯”的程序化沟通才能将前端成果转化为诉讼中的稳定事实基础。</w:t>
      </w:r>
    </w:p>
    <w:p w14:paraId="55C71E29">
      <w:pPr>
        <w:rPr>
          <w:rFonts w:hint="eastAsia"/>
          <w:lang w:eastAsia="zh-CN"/>
        </w:rPr>
      </w:pPr>
      <w:r>
        <w:rPr>
          <w:rStyle w:val="34"/>
          <w:rFonts w:hint="eastAsia"/>
          <w:lang w:eastAsia="zh-CN"/>
        </w:rPr>
        <w:footnoteReference w:id="30"/>
      </w:r>
      <w:r>
        <w:rPr>
          <w:rFonts w:hint="eastAsia"/>
          <w:lang w:eastAsia="zh-CN"/>
        </w:rPr>
        <w:t>“牛朋杰、井改玲诉许昌卓弘物业管理有限公司物业服务合同纠纷案”、</w:t>
      </w:r>
      <w:r>
        <w:rPr>
          <w:rFonts w:hint="eastAsia"/>
          <w:lang w:val="en-US" w:eastAsia="zh-CN"/>
        </w:rPr>
        <w:t>也</w:t>
      </w:r>
      <w:r>
        <w:rPr>
          <w:rFonts w:hint="eastAsia"/>
          <w:lang w:eastAsia="zh-CN"/>
        </w:rPr>
        <w:t>呈现</w:t>
      </w:r>
      <w:r>
        <w:rPr>
          <w:rFonts w:hint="eastAsia"/>
          <w:lang w:val="en-US" w:eastAsia="zh-CN"/>
        </w:rPr>
        <w:t>出类似问题</w:t>
      </w:r>
      <w:r>
        <w:rPr>
          <w:rFonts w:hint="eastAsia"/>
          <w:lang w:eastAsia="zh-CN"/>
        </w:rPr>
        <w:t>，物业公司通过张贴催收单、发送催收信息等方式催告，业主则以服务不达标为由拒交物业费并提起反诉。双方虽有接触和沟通，但并未形成规范的异议记录与答复记录。进入诉讼后，围绕物业公司是否回应过业主诉求、业主是否就相关事项作出过承诺等事实，双方各执一词。这</w:t>
      </w:r>
      <w:r>
        <w:rPr>
          <w:rFonts w:hint="eastAsia"/>
          <w:lang w:val="en-US" w:eastAsia="zh-CN"/>
        </w:rPr>
        <w:t>折射出</w:t>
      </w:r>
      <w:r>
        <w:rPr>
          <w:rFonts w:hint="eastAsia"/>
          <w:lang w:eastAsia="zh-CN"/>
        </w:rPr>
        <w:t>：即便双方并非拒绝沟通，只要沟通过程缺少必要的书面固定和结果确认，协商本身就难以在诉前真正发挥化解分歧的作用。</w:t>
      </w:r>
    </w:p>
    <w:p w14:paraId="2BF092EB">
      <w:pPr>
        <w:rPr>
          <w:rFonts w:hint="eastAsia"/>
          <w:lang w:eastAsia="zh-CN"/>
        </w:rPr>
      </w:pPr>
      <w:r>
        <w:rPr>
          <w:rFonts w:hint="eastAsia"/>
          <w:lang w:eastAsia="zh-CN"/>
        </w:rPr>
        <w:t>物业服务合同纠纷具有高频、琐碎、持续性强的特点，越是此类关系性强、日常性强的争议，越需要依靠前端受理、就地沟通和非诉分流实现源头化解。这与枫桥经验所强调的“矛盾不上交、就地化解”具有一定契合性。如果争议显现后既没有规则化的异议表达渠道，也缺乏可查验的协商留痕机制，更缺少及时的第三方调解介入，原本可以在履行阶段逐步缓和的分歧，就会因程序缓冲不足而被整体推向诉讼。</w:t>
      </w:r>
    </w:p>
    <w:p w14:paraId="57A177DE">
      <w:pPr>
        <w:rPr>
          <w:rFonts w:hint="default"/>
          <w:lang w:val="en-US" w:eastAsia="zh-CN"/>
        </w:rPr>
      </w:pPr>
      <w:r>
        <w:rPr>
          <w:rFonts w:hint="eastAsia"/>
          <w:lang w:eastAsia="zh-CN"/>
        </w:rPr>
        <w:t>综合上述案例，法院在审理物业服务合同纠纷时，</w:t>
      </w:r>
      <w:r>
        <w:rPr>
          <w:rFonts w:hint="eastAsia"/>
          <w:lang w:val="en-US" w:eastAsia="zh-CN"/>
        </w:rPr>
        <w:t>经常</w:t>
      </w:r>
      <w:r>
        <w:rPr>
          <w:rFonts w:hint="eastAsia"/>
          <w:lang w:eastAsia="zh-CN"/>
        </w:rPr>
        <w:t>面对一个共同问题，双方在诉讼前已存在较长时间的对立和接触，但正式的异议受理程序不足、协商过程缺乏书面固定、非诉分流介入有限，致使法院只能在诉讼中</w:t>
      </w:r>
      <w:r>
        <w:rPr>
          <w:rFonts w:hint="eastAsia"/>
          <w:lang w:val="en-US" w:eastAsia="zh-CN"/>
        </w:rPr>
        <w:t>回头去</w:t>
      </w:r>
      <w:r>
        <w:rPr>
          <w:rFonts w:hint="eastAsia"/>
          <w:lang w:eastAsia="zh-CN"/>
        </w:rPr>
        <w:t>认定争议起因、沟通过程和责任边界。法院</w:t>
      </w:r>
      <w:r>
        <w:rPr>
          <w:rFonts w:hint="eastAsia"/>
          <w:lang w:val="en-US" w:eastAsia="zh-CN"/>
        </w:rPr>
        <w:t>不得不</w:t>
      </w:r>
      <w:r>
        <w:rPr>
          <w:rFonts w:hint="eastAsia"/>
          <w:lang w:eastAsia="zh-CN"/>
        </w:rPr>
        <w:t>需要承担这种“事后回溯式”的事实确认工作，恰恰说明争议显现阶段的程序供给存在明显不足。分歧难以在诉前获得规则化处理，只能在诉讼中集中爆发。</w:t>
      </w:r>
    </w:p>
    <w:p w14:paraId="5B763A14">
      <w:pPr>
        <w:rPr>
          <w:rFonts w:hint="eastAsia"/>
          <w:lang w:eastAsia="zh-CN"/>
        </w:rPr>
      </w:pPr>
    </w:p>
    <w:p w14:paraId="70509D31">
      <w:pPr>
        <w:rPr>
          <w:rFonts w:hint="eastAsia"/>
          <w:lang w:eastAsia="zh-CN"/>
        </w:rPr>
      </w:pPr>
    </w:p>
    <w:p w14:paraId="276704F0">
      <w:pPr>
        <w:rPr>
          <w:rFonts w:hint="eastAsia"/>
          <w:lang w:eastAsia="zh-CN"/>
        </w:rPr>
      </w:pPr>
    </w:p>
    <w:p w14:paraId="3BDE91B4">
      <w:pPr>
        <w:bidi w:val="0"/>
        <w:rPr>
          <w:rFonts w:hint="default"/>
        </w:rPr>
      </w:pPr>
    </w:p>
    <w:p w14:paraId="78EAE5EA"/>
    <w:p w14:paraId="65FFAA61">
      <w:pPr>
        <w:bidi w:val="0"/>
        <w:rPr>
          <w:rFonts w:hint="eastAsia" w:eastAsia="宋体"/>
          <w:lang w:eastAsia="zh-CN"/>
        </w:rPr>
      </w:pPr>
    </w:p>
    <w:bookmarkEnd w:id="100"/>
    <w:bookmarkEnd w:id="101"/>
    <w:bookmarkEnd w:id="102"/>
    <w:bookmarkEnd w:id="103"/>
    <w:bookmarkEnd w:id="104"/>
    <w:bookmarkEnd w:id="105"/>
    <w:bookmarkEnd w:id="106"/>
    <w:p w14:paraId="0765783D">
      <w:pPr>
        <w:rPr>
          <w:rFonts w:hint="eastAsia"/>
        </w:rPr>
      </w:pPr>
    </w:p>
    <w:p w14:paraId="02F962F8">
      <w:pPr>
        <w:pStyle w:val="3"/>
        <w:bidi w:val="0"/>
        <w:rPr>
          <w:rFonts w:hint="eastAsia"/>
          <w:lang w:val="en-US" w:eastAsia="zh-CN"/>
        </w:rPr>
      </w:pPr>
    </w:p>
    <w:p w14:paraId="3B9C55FC">
      <w:pPr>
        <w:rPr>
          <w:rFonts w:hint="eastAsia"/>
          <w:lang w:val="en-US" w:eastAsia="zh-CN"/>
        </w:rPr>
        <w:sectPr>
          <w:headerReference r:id="rId13" w:type="default"/>
          <w:footerReference r:id="rId14" w:type="default"/>
          <w:footnotePr>
            <w:numFmt w:val="decimalEnclosedCircleChinese"/>
            <w:numRestart w:val="eachPage"/>
          </w:footnotePr>
          <w:type w:val="oddPage"/>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76572FA6">
      <w:pPr>
        <w:pStyle w:val="2"/>
        <w:numPr>
          <w:ilvl w:val="0"/>
          <w:numId w:val="0"/>
        </w:numPr>
        <w:bidi w:val="0"/>
        <w:ind w:leftChars="200"/>
        <w:rPr>
          <w:rFonts w:hint="eastAsia"/>
          <w:lang w:val="en-US" w:eastAsia="zh-CN"/>
        </w:rPr>
      </w:pPr>
      <w:bookmarkStart w:id="111" w:name="_Toc7821"/>
      <w:bookmarkStart w:id="112" w:name="_Toc14577"/>
      <w:r>
        <w:rPr>
          <w:rFonts w:hint="eastAsia"/>
          <w:lang w:val="en-US" w:eastAsia="zh-CN"/>
        </w:rPr>
        <w:t>四</w:t>
      </w:r>
      <w:bookmarkStart w:id="113" w:name="Z社区物业纠纷预防机制的法治化路径"/>
      <w:r>
        <w:rPr>
          <w:rFonts w:hint="eastAsia"/>
          <w:lang w:val="en-US" w:eastAsia="zh-CN"/>
        </w:rPr>
        <w:t xml:space="preserve">、 </w:t>
      </w:r>
      <w:bookmarkEnd w:id="111"/>
      <w:r>
        <w:rPr>
          <w:rFonts w:hint="eastAsia"/>
        </w:rPr>
        <w:t>物业服务合同纠纷预防机制的完善</w:t>
      </w:r>
      <w:r>
        <w:rPr>
          <w:rFonts w:hint="eastAsia"/>
          <w:lang w:val="en-US" w:eastAsia="zh-CN"/>
        </w:rPr>
        <w:t>对策</w:t>
      </w:r>
      <w:bookmarkEnd w:id="112"/>
    </w:p>
    <w:p w14:paraId="44E37DD5">
      <w:pPr>
        <w:rPr>
          <w:rFonts w:hint="eastAsia"/>
          <w:lang w:val="en-US" w:eastAsia="zh-CN"/>
        </w:rPr>
      </w:pPr>
      <w:r>
        <w:rPr>
          <w:rFonts w:hint="eastAsia"/>
          <w:lang w:val="en-US" w:eastAsia="zh-CN"/>
        </w:rPr>
        <w:t>从前面的实证分析可以看出，物业服务合同纠纷收费规则不清、履约信息不够透明，再加上异议处理程序长期缺位累积的结果。因此，预防机制的完善就应当围着规则明确、信息公开、程序回应和诉前分流三个方向逐步展开。</w:t>
      </w:r>
    </w:p>
    <w:p w14:paraId="438DA5FC">
      <w:pPr>
        <w:pStyle w:val="3"/>
        <w:bidi w:val="0"/>
        <w:rPr>
          <w:rFonts w:hint="eastAsia"/>
          <w:lang w:val="en-US" w:eastAsia="zh-CN"/>
        </w:rPr>
      </w:pPr>
      <w:bookmarkStart w:id="114" w:name="_Toc19336"/>
      <w:r>
        <w:rPr>
          <w:rFonts w:hint="eastAsia"/>
          <w:lang w:val="en-US" w:eastAsia="zh-CN"/>
        </w:rPr>
        <w:t>（一）明确收费标准和计费规则</w:t>
      </w:r>
      <w:bookmarkEnd w:id="114"/>
    </w:p>
    <w:p w14:paraId="519CC64A">
      <w:pPr>
        <w:rPr>
          <w:rFonts w:hint="eastAsia"/>
          <w:lang w:val="en-US" w:eastAsia="zh-CN"/>
        </w:rPr>
      </w:pPr>
      <w:r>
        <w:rPr>
          <w:rFonts w:hint="eastAsia"/>
          <w:lang w:val="en-US" w:eastAsia="zh-CN"/>
        </w:rPr>
        <w:t>物业费及收费标准争议的高发性，与收费条款本身确定性不足密切相关。物业服务合同虽已被《民法典》规定为典型合同，但其制度功能的充分发挥，仍有赖于合同条款自身的确定性和可操作性。</w:t>
      </w:r>
      <w:r>
        <w:rPr>
          <w:rStyle w:val="34"/>
          <w:rFonts w:hint="eastAsia"/>
          <w:lang w:val="en-US" w:eastAsia="zh-CN"/>
        </w:rPr>
        <w:footnoteReference w:id="31"/>
      </w:r>
      <w:r>
        <w:rPr>
          <w:rFonts w:hint="eastAsia"/>
          <w:lang w:val="en-US" w:eastAsia="zh-CN"/>
        </w:rPr>
        <w:t>法院在处理此类纠纷时，往往需要反复审查收费标准是否明确、计费口径是否清晰、调价是否有依据以及收费与服务是否相对应。这说明，预防物业服务合同纠纷，不能停留在抽象要求“明确收费标准”，而应当围绕收费规则的确定性，对合同中的核心收费事项作更具体的安排。</w:t>
      </w:r>
    </w:p>
    <w:p w14:paraId="5C52BA64">
      <w:pPr>
        <w:rPr>
          <w:rFonts w:hint="eastAsia"/>
          <w:lang w:val="en-US" w:eastAsia="zh-CN"/>
        </w:rPr>
      </w:pPr>
      <w:r>
        <w:rPr>
          <w:rFonts w:hint="eastAsia"/>
          <w:lang w:val="en-US" w:eastAsia="zh-CN"/>
        </w:rPr>
        <w:t>收费条款的清单化，是解决规则模糊问题的有效方式。物业服务合同由业主大会或者业主委员会与物业公司签订，对全体业主具有约束力，</w:t>
      </w:r>
      <w:r>
        <w:rPr>
          <w:rStyle w:val="34"/>
          <w:rFonts w:hint="eastAsia"/>
          <w:lang w:val="en-US" w:eastAsia="zh-CN"/>
        </w:rPr>
        <w:footnoteReference w:id="32"/>
      </w:r>
      <w:r>
        <w:rPr>
          <w:rFonts w:hint="eastAsia"/>
          <w:lang w:val="en-US" w:eastAsia="zh-CN"/>
        </w:rPr>
        <w:t>单个业主在签约环节几乎没有修改条款的余地，合同中对于收费是否明确、具体，就变得十分重要。许多合同中仅简单表述为“根据相关规定收取物业费”或“按照合同约定缴纳物业费”，一旦出现争议，则合同缺乏直接依据。对此，示范文本可考虑将收费内容细化为四个部分分别列出：一是收费项目，即物业费涵盖的具体工作内容，例如保洁费、秩序维护费、绿化养护费、公共设施日常管理费等；二是收费标准，每一项具体工作如何收费，收费标准是多少，例如保洁费0.5元/平方米每月；三是收费基础，收费面积按照何种标准确定，可规定以不动产登记簿记载的建筑面积为准，面积发生变化以后则以变更后的登记面积为准；四是费用界限，物业费是否包括公共能耗、是否存在代收代付项目，如果存在这些费用是否需要单独列出。“珠海市某物业管理有限公司诉吴某物业服务合同纠纷案”中，双方对于收费面积是以购房合同面积计算还是以不动产登记面积计算发生争议，原因就在于合同仅写明“按建筑面积收取”，而未明确具体标准。若在合同拟定之初采用前述四个方面的清单方式，则此类争议可以避免。</w:t>
      </w:r>
    </w:p>
    <w:p w14:paraId="686C942B">
      <w:pPr>
        <w:rPr>
          <w:rFonts w:hint="eastAsia"/>
          <w:lang w:val="en-US" w:eastAsia="zh-CN"/>
        </w:rPr>
      </w:pPr>
      <w:r>
        <w:rPr>
          <w:rFonts w:hint="eastAsia"/>
          <w:lang w:val="en-US" w:eastAsia="zh-CN"/>
        </w:rPr>
        <w:t>收费变更应当有条件，不应任意变动。相当比例的物业费纠纷发生在收费标准调整之后，争议焦点多集中于调价程序是否正当。有学者结合司法实践指出，前期物业服务合同框架下物业费调价的效力认定，需综合考量合同约定、调价程序是否完备以及业主是否参与表决等因素。</w:t>
      </w:r>
      <w:r>
        <w:rPr>
          <w:rStyle w:val="34"/>
          <w:rFonts w:hint="eastAsia"/>
          <w:lang w:val="en-US" w:eastAsia="zh-CN"/>
        </w:rPr>
        <w:footnoteReference w:id="33"/>
      </w:r>
      <w:r>
        <w:rPr>
          <w:rFonts w:hint="eastAsia"/>
          <w:lang w:val="en-US" w:eastAsia="zh-CN"/>
        </w:rPr>
        <w:t>合同中应当事先约定收费调整的相关条件，例如因政府定价变动、法定成本构成变化较大或者新增服务项目等情况时；收费调整所依据的材料，例如相关的行政文件、成本变化情况或者新增服务项目清单等；收费调整的具体流程，例如提前公示时间、征求业主意见的方法、处理业主意见的方式等。“广州越秀物业发展有限公司诉林锋生物业服务合同纠纷案”，法院支持收费调整的主要理由即是合同中明确规定收费调整必须经过物价管理部门审批，而物业公司也取得相应的批复。由此可见，收费调整的前提化、具体化有利于减少诉讼中对规则的理解和适用的成本，使得收费的变化与实际依据相对应，而不至于让双方在履行中对是否可以调整无任何规则可依的局面。</w:t>
      </w:r>
    </w:p>
    <w:p w14:paraId="3B084784">
      <w:pPr>
        <w:rPr>
          <w:rFonts w:hint="eastAsia"/>
          <w:lang w:val="en-US" w:eastAsia="zh-CN"/>
        </w:rPr>
      </w:pPr>
      <w:r>
        <w:rPr>
          <w:rFonts w:hint="eastAsia"/>
          <w:lang w:val="en-US" w:eastAsia="zh-CN"/>
        </w:rPr>
        <w:t>收费条款的可理解性，同样不可忽视，不能只停留在格式化工整层面。物业服务合同在实践中格式化特征较强，业主签约时对收费项目、费用构成及计费口径未必能够充分理解。对计费面积、收费构成、附加费用、收费调整依据等持续影响业主义务承担的重要事项，物业服务人应通过加粗条款、附表说明、费用清单等方式作出提示，必要时由物业服务人书面说明并由业主签字确认。</w:t>
      </w:r>
    </w:p>
    <w:p w14:paraId="1C582E17">
      <w:pPr>
        <w:pStyle w:val="3"/>
        <w:bidi w:val="0"/>
        <w:rPr>
          <w:rFonts w:hint="eastAsia"/>
          <w:lang w:val="en-US" w:eastAsia="zh-CN"/>
        </w:rPr>
      </w:pPr>
      <w:bookmarkStart w:id="115" w:name="_Toc31400"/>
      <w:r>
        <w:rPr>
          <w:rFonts w:hint="eastAsia"/>
          <w:lang w:val="en-US" w:eastAsia="zh-CN"/>
        </w:rPr>
        <w:t>（二）强化服务信息和费用信息公开</w:t>
      </w:r>
      <w:bookmarkEnd w:id="115"/>
    </w:p>
    <w:p w14:paraId="7328BAD7">
      <w:pPr>
        <w:rPr>
          <w:rFonts w:hint="eastAsia"/>
          <w:lang w:val="en-US" w:eastAsia="zh-CN"/>
        </w:rPr>
      </w:pPr>
      <w:r>
        <w:rPr>
          <w:rFonts w:hint="eastAsia"/>
          <w:lang w:val="en-US" w:eastAsia="zh-CN"/>
        </w:rPr>
        <w:t>信息披露争议在100份裁判文书中占比14%，虽然数量低于物业费及收费标准争议和服务质量争议，但信息公开不足并非孤立存在，而是大量收费争议和服务质量争议背后的共同诱因。当服务情况与费用信息长期处于模糊、零散或选择性公开状态时，业主难以形成稳定的履约判断，原本可在履行阶段化解的不满便容易积累为正式争议。完善物业服务合同纠纷预防机制，不能只停留于原则上要求物业服务人提高透明度，而应围绕信息公开的范围、方式和责任效果，建立更具操作性的履行阶段公开规则。</w:t>
      </w:r>
    </w:p>
    <w:p w14:paraId="6ACC39DF">
      <w:pPr>
        <w:rPr>
          <w:rFonts w:hint="default"/>
          <w:lang w:val="en-US" w:eastAsia="zh-CN"/>
        </w:rPr>
      </w:pPr>
      <w:r>
        <w:rPr>
          <w:rFonts w:hint="eastAsia"/>
          <w:lang w:val="en-US" w:eastAsia="zh-CN"/>
        </w:rPr>
        <w:t>在公开范围的设置上，宜作类型化处理，不能笼统概括。具体可将公开事项划为三类：第一类为日常信息，涵盖保洁、安保、秩序维护、设施养护等基本服务事项的履行情况，按月公示即可；第二类为财务信息，包括物业费标准、收费依据、费用构成、公共能耗分摊方式、代收代缴项目及公共收益收支明细等，按季度公示较为妥当；第三类为重大信息，涉及新增收费项目、专项维修资金使用、大额费用支出等可能直接影响业主付款判断的事项，应当即时公示。在“张某等17位业主诉苏州某物业公司业主知情权纠纷案”中，公共收益、维修资金、能耗收支等财务信息长期未获充分披露，业主最终不得不通过集体诉讼获取本应在履行过程中逐步公开的信息。此案中信息的不公开，导致大量纠纷进入诉讼程序。</w:t>
      </w:r>
    </w:p>
    <w:p w14:paraId="6EB47B57">
      <w:pPr>
        <w:rPr>
          <w:rFonts w:hint="eastAsia"/>
          <w:lang w:val="en-US" w:eastAsia="zh-CN"/>
        </w:rPr>
      </w:pPr>
      <w:r>
        <w:rPr>
          <w:rFonts w:hint="eastAsia"/>
          <w:lang w:val="en-US" w:eastAsia="zh-CN"/>
        </w:rPr>
        <w:t>公开方式和频率的固定化，在合同履行阶段也是十分重要的一环。信息公开的功能不仅在于事后证明收费的合理性，更在于事前与事中建立稳定的信任基础。日常信息宜借助公告栏、物业服务中心公示栏、线上平台或业主微信群等渠道定期发布；重大信息则须单独说明，并以书面通知、短信提醒等方式确保业主知悉。公开频率上，应尽量做到常态化与可预期，避免完全依赖个别投诉之后的零散回应。这样处理的用意，在于通过固定公开渠道与公开节奏，使业主在日常履行中能够持续判断物业服务是否到位、收费依据是否充分，从而减少疑虑长期堆积后的集中爆发。</w:t>
      </w:r>
      <w:r>
        <w:rPr>
          <w:rStyle w:val="34"/>
          <w:rFonts w:hint="eastAsia"/>
          <w:lang w:val="en-US" w:eastAsia="zh-CN"/>
        </w:rPr>
        <w:footnoteReference w:id="34"/>
      </w:r>
    </w:p>
    <w:p w14:paraId="3350AEAC">
      <w:pPr>
        <w:rPr>
          <w:rFonts w:hint="eastAsia"/>
          <w:lang w:val="en-US" w:eastAsia="zh-CN"/>
        </w:rPr>
      </w:pPr>
      <w:r>
        <w:rPr>
          <w:rFonts w:hint="eastAsia"/>
          <w:lang w:val="en-US" w:eastAsia="zh-CN"/>
        </w:rPr>
        <w:t>公开过程应当留痕化是将公开义务从原则引向可核验的关键一步。不少纠纷之所以走向诉讼，并非物业服务人完全没有作过说明，而是其无法证明在何时、以何种方式说明过哪些事项。鉴于此，收费依据、服务情况、收支明细及相关说明的公告、公示、通知和答复，宜通过书面材料、电子截图、公告照片、系统留痕等方式予以固定，形成从公示、拍照存档到业主签收或线上已读的完整留痕链条。对于长期不公开、迟延公开、公开内容明显不充分，或业主提出质疑后仍拒绝说明的情形，法院在审理相关争议时，应将其作为判断物业服务人是否充分履行说明义务、是否符合诚实信用原则的重要考量因素。通过强化公开义务的程序效果，推动物业服务人将原则性公开转化为可核验公开，信息不对称所引发的持续性对抗才能得到有效遏制。</w:t>
      </w:r>
    </w:p>
    <w:p w14:paraId="5639840F">
      <w:pPr>
        <w:pStyle w:val="3"/>
        <w:bidi w:val="0"/>
        <w:rPr>
          <w:rFonts w:hint="eastAsia"/>
          <w:lang w:val="en-US" w:eastAsia="zh-CN"/>
        </w:rPr>
      </w:pPr>
      <w:bookmarkStart w:id="116" w:name="_Toc23949"/>
      <w:r>
        <w:rPr>
          <w:rFonts w:hint="eastAsia"/>
          <w:lang w:val="en-US" w:eastAsia="zh-CN"/>
        </w:rPr>
        <w:t>（三）完善异议受理和协商调解程序</w:t>
      </w:r>
      <w:bookmarkEnd w:id="116"/>
    </w:p>
    <w:p w14:paraId="6DC3DDD5">
      <w:pPr>
        <w:rPr>
          <w:rFonts w:hint="eastAsia"/>
          <w:lang w:val="en-US" w:eastAsia="zh-CN"/>
        </w:rPr>
      </w:pPr>
      <w:r>
        <w:rPr>
          <w:rFonts w:hint="eastAsia"/>
          <w:lang w:val="en-US" w:eastAsia="zh-CN"/>
        </w:rPr>
        <w:t>大量物业服务合同纠纷从履行分歧发展为诉讼争议，不是单纯因拒费行为本身，而是因为争议显现后缺乏正式、稳定的处理程序。业主提出异议后，物业公司虽可能进行催缴或一般性沟通，但双方之间常常没有形成可供共同遵循的异议受理、答复反馈、协商留痕和调解分流机制。法院在审理时，不得不回头去认定业主是否提过异议、物业是否回应过、双方是否协商过。许多本可在诉前消解的分歧最终被整体推向了司法程序。完善预防机制，应当在争议显现阶段建立更完整的程序吸纳通道。</w:t>
      </w:r>
    </w:p>
    <w:p w14:paraId="4A24B1E3">
      <w:pPr>
        <w:rPr>
          <w:rFonts w:hint="eastAsia"/>
          <w:lang w:val="en-US" w:eastAsia="zh-CN"/>
        </w:rPr>
      </w:pPr>
      <w:r>
        <w:rPr>
          <w:rFonts w:hint="eastAsia"/>
          <w:lang w:val="en-US" w:eastAsia="zh-CN"/>
        </w:rPr>
        <w:t>建立递进式的异议受理程序。将异议处理拆分为四个节点，嵌入物业服务合同或业主管理规约：(1)书面异议登记，业主通过统一表单提出异议，写明异议事项、发生时间、涉及地点和具体诉求；(2)7日内给出初步答复，物业公司在这个期限内作出正式回应，把初步处理意见说清楚；(3)三十天内进入协商处理，双方就异议事项进行实质性协商，有需要的话可以邀请业主委员会或第三方参与；(4)调解不成则出具书面说明，协商没有结果的，物业公司应出具书面说明，把协商过程、分歧焦点和后续处理建议都载明，给业主选择进一步救济途径提供依据。在广州东华物业管理有限公司诉黄某案件中，业主的不满早在诉讼前就通过12345热线等渠道多次表达过，但双方始终没有形成正式的异议受理与反馈闭环，矛盾最后整体滑向了诉讼。如果这套递进程序能够落地，在诉前就固定争议内容，留存处理记录，避免法院在诉讼中再次进行那种事后回溯式的事实认定。</w:t>
      </w:r>
    </w:p>
    <w:p w14:paraId="6F0D0A30">
      <w:pPr>
        <w:rPr>
          <w:rFonts w:hint="eastAsia"/>
          <w:lang w:val="en-US" w:eastAsia="zh-CN"/>
        </w:rPr>
      </w:pPr>
      <w:r>
        <w:rPr>
          <w:rFonts w:hint="eastAsia"/>
          <w:lang w:val="en-US" w:eastAsia="zh-CN"/>
        </w:rPr>
        <w:t>强化协商过程的书面留痕和结果确认。样本中大量案件进入诉讼后，双方经常围绕是否曾协商，协商时作出过何种承诺各执一词，却又难以提交完整的协商记录。佛山市率先探索的“物业服务痕迹存证平台”提供了一种可行思路，该平台以区块链技术为支撑，将物业服务合同约定的服务内容拆解为可量化项，形成一份不可篡改的数字档案，司法部门可调取这些材料作为证据。</w:t>
      </w:r>
      <w:r>
        <w:rPr>
          <w:rStyle w:val="34"/>
          <w:rFonts w:hint="eastAsia"/>
          <w:lang w:val="en-US" w:eastAsia="zh-CN"/>
        </w:rPr>
        <w:footnoteReference w:id="35"/>
      </w:r>
      <w:r>
        <w:rPr>
          <w:rFonts w:hint="eastAsia"/>
          <w:lang w:val="en-US" w:eastAsia="zh-CN"/>
        </w:rPr>
        <w:t>协商记录里应当包含协商时间、参与人员、争议焦点、双方意见、处理结果等要素，由双方签字或者线上确认。这么做的目的是为了将说过但没法证明的口头沟通，转化成可以查验、结果可以确认的程序事实，给诉前化解纠纷提供稳当的证据基础。</w:t>
      </w:r>
    </w:p>
    <w:p w14:paraId="7F603BC3">
      <w:pPr>
        <w:rPr>
          <w:rFonts w:hint="eastAsia"/>
          <w:lang w:val="en-US" w:eastAsia="zh-CN"/>
        </w:rPr>
      </w:pPr>
      <w:r>
        <w:rPr>
          <w:rFonts w:hint="eastAsia"/>
          <w:lang w:val="en-US" w:eastAsia="zh-CN"/>
        </w:rPr>
        <w:t>及时导入诉前调解分流。针对靠日常协商无法解决的分歧，应建立起跟调解和诉讼间的衔接机制。考虑将异议受理程序跟总对总在线诉调对接机制串起来，协商不成的时候及时引导当事人去找社区调解、行业调解或者人民调解组织申请调解，调解过程中形成的记录和协议，也可以作为后续诉讼的参考材料。广东、四川这些地方已经在探索党建引领加行政规范加多元调解加司法保障的综合治理模式，把物业纠纷纳进基层治理体系里来处理</w:t>
      </w:r>
      <w:r>
        <w:rPr>
          <w:rStyle w:val="34"/>
          <w:rFonts w:hint="eastAsia"/>
          <w:lang w:val="en-US" w:eastAsia="zh-CN"/>
        </w:rPr>
        <w:footnoteReference w:id="36"/>
      </w:r>
      <w:r>
        <w:rPr>
          <w:rFonts w:hint="eastAsia"/>
          <w:lang w:val="en-US" w:eastAsia="zh-CN"/>
        </w:rPr>
        <w:t>。把异议受理、协商留痕和诉前调解串联起来，调解才能真正成为履行分歧和正式诉讼之间的一道实质性缓冲带，把纠纷直接涌入诉讼的比例降下来。重庆市渝北区就依托“市、区、镇（街）”三级数字城市运行平台，对物业纠纷数据进行精准采集和科学交办，同时搭建了一套包含工作指标、保障指标、绩效指标在内的调解考评体系，推动调解工作从过去那种粗放管理逐步转向精细考核。</w:t>
      </w:r>
      <w:r>
        <w:rPr>
          <w:rStyle w:val="34"/>
          <w:rFonts w:hint="eastAsia"/>
          <w:lang w:val="en-US" w:eastAsia="zh-CN"/>
        </w:rPr>
        <w:footnoteReference w:id="37"/>
      </w:r>
    </w:p>
    <w:p w14:paraId="088BB7E0">
      <w:pPr>
        <w:rPr>
          <w:rFonts w:hint="eastAsia"/>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C8123E1">
      <w:pPr>
        <w:ind w:left="0" w:leftChars="0" w:firstLine="0" w:firstLineChars="0"/>
        <w:rPr>
          <w:rFonts w:hint="eastAsia"/>
          <w:lang w:val="en-US" w:eastAsia="zh-CN"/>
        </w:rPr>
      </w:pPr>
    </w:p>
    <w:bookmarkEnd w:id="17"/>
    <w:bookmarkEnd w:id="18"/>
    <w:bookmarkEnd w:id="19"/>
    <w:bookmarkEnd w:id="20"/>
    <w:bookmarkEnd w:id="21"/>
    <w:bookmarkEnd w:id="22"/>
    <w:bookmarkEnd w:id="50"/>
    <w:bookmarkEnd w:id="113"/>
    <w:p w14:paraId="53763C42">
      <w:pPr>
        <w:bidi w:val="0"/>
      </w:pPr>
      <w:bookmarkStart w:id="117" w:name="_Toc10028"/>
      <w:bookmarkStart w:id="118" w:name="_Toc403"/>
      <w:bookmarkStart w:id="119" w:name="_Toc791"/>
      <w:bookmarkStart w:id="120" w:name="_Toc13320"/>
      <w:bookmarkStart w:id="121" w:name="_Toc26081"/>
      <w:bookmarkStart w:id="122" w:name="_Toc23752"/>
      <w:bookmarkStart w:id="123" w:name="_Toc13638"/>
      <w:r>
        <w:rPr>
          <w:rStyle w:val="48"/>
          <w:rFonts w:hint="eastAsia"/>
        </w:rPr>
        <w:t>五、</w:t>
      </w:r>
      <w:r>
        <w:rPr>
          <w:rStyle w:val="48"/>
          <w:rFonts w:hint="eastAsia"/>
          <w:lang w:val="en-US"/>
        </w:rPr>
        <w:t xml:space="preserve"> </w:t>
      </w:r>
      <w:r>
        <w:rPr>
          <w:rStyle w:val="48"/>
          <w:rFonts w:hint="eastAsia"/>
        </w:rPr>
        <w:t>结论</w:t>
      </w:r>
      <w:bookmarkEnd w:id="117"/>
      <w:bookmarkEnd w:id="118"/>
      <w:bookmarkEnd w:id="119"/>
      <w:bookmarkEnd w:id="120"/>
      <w:bookmarkEnd w:id="121"/>
      <w:bookmarkEnd w:id="122"/>
      <w:bookmarkEnd w:id="123"/>
    </w:p>
    <w:p w14:paraId="7B494051">
      <w:pPr>
        <w:bidi w:val="0"/>
        <w:rPr>
          <w:rFonts w:hint="eastAsia"/>
          <w:lang w:eastAsia="zh-CN"/>
        </w:rPr>
      </w:pPr>
    </w:p>
    <w:p w14:paraId="59828738">
      <w:pPr>
        <w:bidi w:val="0"/>
        <w:rPr>
          <w:rFonts w:hint="eastAsia"/>
          <w:lang w:val="en-US" w:eastAsia="zh-CN"/>
        </w:rPr>
      </w:pPr>
      <w:r>
        <w:rPr>
          <w:rFonts w:hint="eastAsia"/>
          <w:lang w:val="en-US" w:eastAsia="zh-CN"/>
        </w:rPr>
        <w:t>100份裁判文书的分析表明，纠纷产生于三个阶段：一是收费和计费基础不明晰；二是服务和费用信息不透明；三是异议受理及沟通机制缺失。对此，预防措施在于收费内容清单化、信息公开可操作化、异议处理程序化，上述三种方法贯穿整个合同履行中，形成连续性预防链。这对理解物业服务合同纠纷的发生具有一定的借鉴意义，也对合同示范文本的设计、日常履行管理和诉前纠纷解决具有一定的指导作用。</w:t>
      </w:r>
    </w:p>
    <w:p w14:paraId="416D7F7A">
      <w:pPr>
        <w:bidi w:val="0"/>
        <w:rPr>
          <w:rFonts w:hint="eastAsia"/>
          <w:lang w:val="en-US" w:eastAsia="zh-CN"/>
        </w:rPr>
      </w:pPr>
      <w:r>
        <w:rPr>
          <w:rFonts w:hint="eastAsia"/>
          <w:lang w:val="en-US" w:eastAsia="zh-CN"/>
        </w:rPr>
        <w:t>需要说明的是，研究在样本选取上还存在以下局限。受裁判文书公开程度和数据库收录范围的限制，样本地域分布呈现出比较明显的集中趋势，广东一省占了32%，这与当地物业管理起步较早、司法公开程度较高有关系，虽然在争议形态上具备类型参照的价值，但对中西部欠发达地区的代表性有所弱化。此外，100份样本量放在全国每年将近90万件物业纠纷大背景看，规模有限，研究结论外推时需谨慎。样本只覆盖了已经进入诉讼并且公开上网的裁判文书，未能将诉前调解、仲裁和未公开案件纳入，可能存在公开偏差，再加上2025年的样本因为文书上网滞后的原因只收了14件，没法完全反映当年纠纷的全貌。</w:t>
      </w:r>
    </w:p>
    <w:p w14:paraId="0E9509AB">
      <w:pPr>
        <w:bidi w:val="0"/>
        <w:rPr>
          <w:rFonts w:hint="eastAsia"/>
          <w:lang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lang w:val="en-US" w:eastAsia="zh-CN"/>
        </w:rPr>
        <w:t>此外，预防机制的效果发挥也离不开合同示范文本的更新、行业监管规则的配合以及底层化解矛盾纠纷力量的调动等，而这些都是超出了单个学科所能解决的问题，在以后的研究中可以适当增加案例数量，在此基础上再加入法院诉前调解的数据和消费者向行政机关投诉的数据来考察预防机制的作用。</w:t>
      </w:r>
    </w:p>
    <w:p w14:paraId="08B57802">
      <w:commentRangeStart w:id="8"/>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宋体" w:hAnsi="宋体"/>
          <w:szCs w:val="21"/>
        </w:rPr>
      </w:pPr>
      <w:bookmarkStart w:id="124" w:name="_Toc27564"/>
      <w:bookmarkStart w:id="125" w:name="_Toc31056"/>
      <w:r>
        <w:rPr>
          <w:rFonts w:hint="eastAsia"/>
          <w:b/>
          <w:bCs/>
          <w:sz w:val="32"/>
        </w:rPr>
        <w:t>参考文献</w:t>
      </w:r>
      <w:bookmarkEnd w:id="124"/>
      <w:bookmarkEnd w:id="125"/>
      <w:bookmarkStart w:id="126" w:name="_Toc29260"/>
      <w:bookmarkStart w:id="127" w:name="_Toc25539"/>
      <w:bookmarkStart w:id="128" w:name="_Toc2559"/>
      <w:bookmarkStart w:id="129" w:name="_Toc19230"/>
      <w:bookmarkStart w:id="130" w:name="_Toc7312"/>
      <w:bookmarkStart w:id="131" w:name="_Toc26992"/>
      <w:commentRangeEnd w:id="8"/>
      <w:r>
        <w:rPr>
          <w:rStyle w:val="CommentReference"/>
        </w:rPr>
        <w:commentReference w:id="8"/>
      </w:r>
    </w:p>
    <w:p w14:paraId="1B28918B">
      <w:pPr>
        <w:pStyle w:val="51"/>
        <w:bidi w:val="0"/>
        <w:rPr>
          <w:rFonts w:hint="eastAsia"/>
        </w:rPr>
      </w:pPr>
      <w:r>
        <w:rPr>
          <w:rFonts w:hint="eastAsia"/>
        </w:rPr>
        <w:t>王利明：《合同法研究》（第三卷），中国人民大学出版社2015年版。</w:t>
      </w:r>
    </w:p>
    <w:p w14:paraId="1EB1C4A3">
      <w:pPr>
        <w:pStyle w:val="51"/>
        <w:bidi w:val="0"/>
        <w:rPr>
          <w:rFonts w:hint="eastAsia"/>
        </w:rPr>
      </w:pPr>
      <w:r>
        <w:rPr>
          <w:rFonts w:hint="eastAsia"/>
        </w:rPr>
        <w:t>韩世远：《合同法总论》（第四版），法律出版社2022年版。</w:t>
      </w:r>
    </w:p>
    <w:p w14:paraId="646BCBA4">
      <w:pPr>
        <w:pStyle w:val="51"/>
        <w:bidi w:val="0"/>
        <w:rPr>
          <w:rFonts w:hint="eastAsia"/>
        </w:rPr>
      </w:pPr>
      <w:r>
        <w:rPr>
          <w:rFonts w:hint="eastAsia"/>
        </w:rPr>
        <w:t>陈华彬：《建筑物区分所有权法》，法律出版社2011年版。</w:t>
      </w:r>
    </w:p>
    <w:p w14:paraId="4E944F14">
      <w:pPr>
        <w:pStyle w:val="51"/>
        <w:bidi w:val="0"/>
        <w:rPr>
          <w:rFonts w:hint="eastAsia"/>
        </w:rPr>
      </w:pPr>
      <w:r>
        <w:rPr>
          <w:rFonts w:hint="eastAsia"/>
        </w:rPr>
        <w:t>王泽鉴：《民法物权》，北京大学出版社2010年版。</w:t>
      </w:r>
    </w:p>
    <w:p w14:paraId="08605B38">
      <w:pPr>
        <w:pStyle w:val="51"/>
        <w:bidi w:val="0"/>
        <w:rPr>
          <w:rFonts w:hint="eastAsia"/>
        </w:rPr>
      </w:pPr>
      <w:r>
        <w:rPr>
          <w:rFonts w:hint="eastAsia"/>
        </w:rPr>
        <w:t>崔建远：《合同法》（第三版），北京大学出版社2016年版。</w:t>
      </w:r>
    </w:p>
    <w:p w14:paraId="5B7746D3">
      <w:pPr>
        <w:pStyle w:val="51"/>
        <w:bidi w:val="0"/>
        <w:rPr>
          <w:rFonts w:hint="eastAsia"/>
        </w:rPr>
      </w:pPr>
      <w:r>
        <w:rPr>
          <w:rFonts w:hint="eastAsia"/>
        </w:rPr>
        <w:t>陈华彬：《建筑物区分所有权的构成研究——兼及对〈物权法〉第70条的释明》，载《中国不动产法研究》2015年第2期。</w:t>
      </w:r>
    </w:p>
    <w:p w14:paraId="3EF71236">
      <w:pPr>
        <w:pStyle w:val="51"/>
        <w:bidi w:val="0"/>
        <w:rPr>
          <w:rFonts w:hint="eastAsia"/>
        </w:rPr>
      </w:pPr>
      <w:r>
        <w:rPr>
          <w:rFonts w:hint="eastAsia"/>
        </w:rPr>
        <w:t>邓冬梅：《基于〈民法典〉视角下业主委员会签订物业服务合同的思考与探索》，载《法制与社会》2021年第9期。</w:t>
      </w:r>
    </w:p>
    <w:p w14:paraId="0726C399">
      <w:pPr>
        <w:pStyle w:val="51"/>
        <w:bidi w:val="0"/>
        <w:rPr>
          <w:rFonts w:hint="eastAsia"/>
        </w:rPr>
      </w:pPr>
      <w:r>
        <w:rPr>
          <w:rFonts w:hint="eastAsia"/>
        </w:rPr>
        <w:t>董妍：《诉源治理视角下多元化纠纷解决机制的司法面向》，载《中国法治》2024年第3期。</w:t>
      </w:r>
    </w:p>
    <w:p w14:paraId="496DD2DA">
      <w:pPr>
        <w:pStyle w:val="51"/>
        <w:bidi w:val="0"/>
        <w:rPr>
          <w:rFonts w:hint="eastAsia"/>
        </w:rPr>
      </w:pPr>
      <w:r>
        <w:rPr>
          <w:rFonts w:hint="eastAsia"/>
        </w:rPr>
        <w:t>黄赤橙：《〈民法典〉第937条（物业服务合同的一般规定）评注》，载《南大法学》2025年第1期。</w:t>
      </w:r>
    </w:p>
    <w:p w14:paraId="28C928AA">
      <w:pPr>
        <w:pStyle w:val="51"/>
        <w:bidi w:val="0"/>
        <w:rPr>
          <w:rFonts w:hint="eastAsia"/>
        </w:rPr>
      </w:pPr>
      <w:r>
        <w:rPr>
          <w:rFonts w:hint="eastAsia"/>
        </w:rPr>
        <w:t>李红斌：《新时代"枫桥经验"在物业纠纷多元化解中的应用——以重庆市渝北区为例》，载《住宅与房地产》2025年第13期。</w:t>
      </w:r>
    </w:p>
    <w:p w14:paraId="4B93C7FE">
      <w:pPr>
        <w:pStyle w:val="51"/>
        <w:bidi w:val="0"/>
        <w:rPr>
          <w:rFonts w:hint="eastAsia"/>
        </w:rPr>
      </w:pPr>
      <w:r>
        <w:rPr>
          <w:rFonts w:hint="eastAsia"/>
        </w:rPr>
        <w:t>汪世荣：《"枫桥经验"预防性法律制度建设的实践及其成效》，载《政治与法律》2024年第7期。</w:t>
      </w:r>
    </w:p>
    <w:p w14:paraId="1D623DF8">
      <w:pPr>
        <w:pStyle w:val="51"/>
        <w:bidi w:val="0"/>
        <w:rPr>
          <w:rFonts w:hint="eastAsia"/>
        </w:rPr>
      </w:pPr>
      <w:r>
        <w:rPr>
          <w:rFonts w:hint="eastAsia"/>
        </w:rPr>
        <w:t>王利明：《物业服务合同立法若干问题探讨》，载《财经法学》2018年第3期。</w:t>
      </w:r>
    </w:p>
    <w:p w14:paraId="70574787">
      <w:pPr>
        <w:pStyle w:val="51"/>
        <w:bidi w:val="0"/>
        <w:rPr>
          <w:rFonts w:hint="eastAsia"/>
        </w:rPr>
      </w:pPr>
      <w:r>
        <w:rPr>
          <w:rFonts w:hint="eastAsia"/>
        </w:rPr>
        <w:t>王茂刚：《业主知情权的行使与限制》，载《人民司法（案例）》2018年第23期。</w:t>
      </w:r>
    </w:p>
    <w:p w14:paraId="0CE7CFFC">
      <w:pPr>
        <w:pStyle w:val="51"/>
        <w:bidi w:val="0"/>
        <w:rPr>
          <w:rFonts w:hint="eastAsia"/>
        </w:rPr>
      </w:pPr>
      <w:r>
        <w:rPr>
          <w:rFonts w:hint="eastAsia"/>
        </w:rPr>
        <w:t>王粟：《关于我国非诉讼纠纷解决机制的思考》，载《法制与社会》2020年第33期。</w:t>
      </w:r>
    </w:p>
    <w:p w14:paraId="26009032">
      <w:pPr>
        <w:pStyle w:val="51"/>
        <w:bidi w:val="0"/>
        <w:rPr>
          <w:rFonts w:hint="eastAsia"/>
        </w:rPr>
      </w:pPr>
      <w:r>
        <w:rPr>
          <w:rFonts w:hint="eastAsia"/>
        </w:rPr>
        <w:t>谢鸿飞、涂燕辉：《民法典典型合同的制度创新及意义》，载《人民检察》2020年第12期。</w:t>
      </w:r>
    </w:p>
    <w:p w14:paraId="00DF887E">
      <w:pPr>
        <w:pStyle w:val="51"/>
        <w:bidi w:val="0"/>
        <w:rPr>
          <w:rFonts w:hint="eastAsia"/>
        </w:rPr>
      </w:pPr>
      <w:r>
        <w:rPr>
          <w:rFonts w:hint="eastAsia"/>
        </w:rPr>
        <w:t>徐涤宇：《物业服务合同法律构造之中国模式》，载《法学研究》2021年第3期。</w:t>
      </w:r>
    </w:p>
    <w:p w14:paraId="2808532D">
      <w:pPr>
        <w:pStyle w:val="51"/>
        <w:bidi w:val="0"/>
        <w:rPr>
          <w:rFonts w:hint="eastAsia"/>
        </w:rPr>
      </w:pPr>
      <w:r>
        <w:rPr>
          <w:rFonts w:hint="eastAsia"/>
        </w:rPr>
        <w:t>杨立新：《物业服务合同：从无名合同到典型合同的蜕变》，载《现代法学》2020年第4期。</w:t>
      </w:r>
    </w:p>
    <w:p w14:paraId="6D3915A2">
      <w:pPr>
        <w:pStyle w:val="51"/>
        <w:bidi w:val="0"/>
        <w:rPr>
          <w:rFonts w:hint="eastAsia"/>
        </w:rPr>
      </w:pPr>
      <w:r>
        <w:rPr>
          <w:rFonts w:hint="eastAsia"/>
        </w:rPr>
        <w:t>郑峥：《物业服务合同纠纷的诉源治理：现实需求及实施路径》，载《中州学刊》2021年第11期。</w:t>
      </w:r>
    </w:p>
    <w:p w14:paraId="38B93CA9">
      <w:pPr>
        <w:pStyle w:val="51"/>
        <w:bidi w:val="0"/>
        <w:rPr>
          <w:rFonts w:hint="eastAsia"/>
        </w:rPr>
      </w:pPr>
      <w:r>
        <w:rPr>
          <w:rFonts w:hint="eastAsia"/>
        </w:rPr>
        <w:t>周梅芳：《前期物业合同及物业费调价程序的效力判定》，载《人民司法（案例）》2018年第5期。</w:t>
      </w:r>
    </w:p>
    <w:p w14:paraId="0F7DFCAF">
      <w:pPr>
        <w:pStyle w:val="51"/>
        <w:bidi w:val="0"/>
        <w:rPr>
          <w:rFonts w:hint="eastAsia"/>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rPr>
        <w:t>朱虎：《分合之间：民法典中的合同任意解除权》，载《中外法学》2020年第4期。</w:t>
      </w:r>
    </w:p>
    <w:p w14:paraId="0A8E66E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eastAsia" w:ascii="Times New Roman" w:hAnsi="Times New Roman"/>
          <w:b/>
          <w:bCs/>
          <w:color w:val="000000"/>
          <w:sz w:val="32"/>
          <w:szCs w:val="32"/>
          <w:shd w:val="clear" w:color="auto" w:fill="FFFFFF"/>
        </w:rPr>
      </w:pPr>
      <w:bookmarkStart w:id="132" w:name="_Toc19332"/>
      <w:bookmarkStart w:id="133" w:name="_Toc9790"/>
      <w:r>
        <w:rPr>
          <w:rFonts w:hint="eastAsia" w:ascii="Times New Roman" w:hAnsi="Times New Roman"/>
          <w:b/>
          <w:bCs/>
          <w:color w:val="000000"/>
          <w:sz w:val="32"/>
          <w:szCs w:val="32"/>
          <w:shd w:val="clear" w:color="auto" w:fill="FFFFFF"/>
        </w:rPr>
        <w:t>致</w:t>
      </w:r>
      <w:r>
        <w:rPr>
          <w:rFonts w:hint="eastAsia"/>
          <w:b/>
          <w:bCs/>
          <w:color w:val="000000"/>
          <w:sz w:val="32"/>
          <w:szCs w:val="32"/>
          <w:shd w:val="clear" w:color="auto" w:fill="FFFFFF"/>
          <w:lang w:val="en-US" w:eastAsia="zh-CN"/>
        </w:rPr>
        <w:t xml:space="preserve">  </w:t>
      </w:r>
      <w:r>
        <w:rPr>
          <w:rFonts w:hint="eastAsia" w:ascii="Times New Roman" w:hAnsi="Times New Roman"/>
          <w:b/>
          <w:bCs/>
          <w:color w:val="000000"/>
          <w:sz w:val="32"/>
          <w:szCs w:val="32"/>
          <w:shd w:val="clear" w:color="auto" w:fill="FFFFFF"/>
        </w:rPr>
        <w:t>谢</w:t>
      </w:r>
      <w:bookmarkEnd w:id="126"/>
      <w:bookmarkEnd w:id="127"/>
      <w:bookmarkEnd w:id="128"/>
      <w:bookmarkEnd w:id="129"/>
      <w:bookmarkEnd w:id="132"/>
      <w:bookmarkEnd w:id="133"/>
    </w:p>
    <w:p w14:paraId="534FD68C">
      <w:pPr>
        <w:bidi w:val="0"/>
        <w:rPr>
          <w:rFonts w:hint="eastAsia"/>
        </w:rPr>
      </w:pPr>
      <w:bookmarkStart w:id="134" w:name="_Toc13621"/>
      <w:bookmarkStart w:id="135" w:name="_Toc10467"/>
      <w:bookmarkStart w:id="136" w:name="_Toc16762"/>
      <w:r>
        <w:rPr>
          <w:rFonts w:hint="eastAsia"/>
        </w:rPr>
        <w:t>论文写到这里，终于可以停笔了。</w:t>
      </w:r>
    </w:p>
    <w:p w14:paraId="11B526D2">
      <w:pPr>
        <w:bidi w:val="0"/>
        <w:rPr>
          <w:rFonts w:hint="eastAsia"/>
        </w:rPr>
      </w:pPr>
      <w:r>
        <w:rPr>
          <w:rFonts w:hint="eastAsia"/>
        </w:rPr>
        <w:t>首先要感谢我的导师张庆霖老师</w:t>
      </w:r>
      <w:r>
        <w:rPr>
          <w:rFonts w:hint="eastAsia"/>
          <w:lang w:eastAsia="zh-CN"/>
        </w:rPr>
        <w:t>，</w:t>
      </w:r>
      <w:r>
        <w:rPr>
          <w:rFonts w:hint="eastAsia"/>
        </w:rPr>
        <w:t>论文从选题到定稿，每一步都离不开老师的悉心指导。我思路跑偏的时候，老师总能三言两语帮我把方向拉回来</w:t>
      </w:r>
      <w:r>
        <w:rPr>
          <w:rFonts w:hint="eastAsia"/>
          <w:lang w:eastAsia="zh-CN"/>
        </w:rPr>
        <w:t>，</w:t>
      </w:r>
      <w:r>
        <w:rPr>
          <w:rFonts w:hint="eastAsia"/>
          <w:lang w:val="en-US" w:eastAsia="zh-CN"/>
        </w:rPr>
        <w:t>牺牲自己的休息时间，晚上仍在为我提出修改意见。开题报告和</w:t>
      </w:r>
      <w:r>
        <w:rPr>
          <w:rFonts w:hint="eastAsia"/>
        </w:rPr>
        <w:t>初稿上的批注密密麻麻，连脚注格式的问题都一一标出。这些具体的建议教会我的，远不止这一篇论文该怎么写。</w:t>
      </w:r>
    </w:p>
    <w:p w14:paraId="19FDD347">
      <w:pPr>
        <w:bidi w:val="0"/>
        <w:rPr>
          <w:rFonts w:hint="eastAsia"/>
        </w:rPr>
      </w:pPr>
      <w:r>
        <w:rPr>
          <w:rFonts w:hint="eastAsia"/>
        </w:rPr>
        <w:t>感谢法学学部的每一位老师</w:t>
      </w:r>
      <w:r>
        <w:rPr>
          <w:rFonts w:hint="eastAsia"/>
          <w:lang w:eastAsia="zh-CN"/>
        </w:rPr>
        <w:t>，</w:t>
      </w:r>
      <w:r>
        <w:rPr>
          <w:rFonts w:hint="eastAsia"/>
          <w:lang w:val="en-US" w:eastAsia="zh-CN"/>
        </w:rPr>
        <w:t>每一位老师都是那么温暖有趣，</w:t>
      </w:r>
      <w:r>
        <w:rPr>
          <w:rFonts w:hint="eastAsia"/>
        </w:rPr>
        <w:t>我在课堂上所学到的，不只是法律条文的解释方法，更是一种看待社会问题的理性眼光。</w:t>
      </w:r>
    </w:p>
    <w:p w14:paraId="2EADA0B1">
      <w:pPr>
        <w:bidi w:val="0"/>
        <w:rPr>
          <w:rFonts w:hint="eastAsia"/>
        </w:rPr>
      </w:pPr>
      <w:r>
        <w:rPr>
          <w:rFonts w:hint="eastAsia"/>
        </w:rPr>
        <w:t>感谢我的父母。你们或许不太懂我到底在写什么，但从不问“写这个有什么用”。每次电话里那句“慢慢来，不着急”，是我在深夜反复改稿时最大的底气。</w:t>
      </w:r>
    </w:p>
    <w:p w14:paraId="5A9B6808">
      <w:pPr>
        <w:bidi w:val="0"/>
        <w:rPr>
          <w:rFonts w:hint="eastAsia"/>
        </w:rPr>
      </w:pPr>
      <w:r>
        <w:rPr>
          <w:rFonts w:hint="eastAsia"/>
        </w:rPr>
        <w:t>感谢湘大从图书馆的窗台到</w:t>
      </w:r>
      <w:r>
        <w:rPr>
          <w:rFonts w:hint="eastAsia"/>
          <w:lang w:val="en-US" w:eastAsia="zh-CN"/>
        </w:rPr>
        <w:t>第一教学</w:t>
      </w:r>
      <w:r>
        <w:rPr>
          <w:rFonts w:hint="eastAsia"/>
        </w:rPr>
        <w:t>楼的阶梯，这片校园见证了我从懵懵懂懂到逐渐学会独立思考的全过程。</w:t>
      </w:r>
    </w:p>
    <w:p w14:paraId="58CE6A7C">
      <w:pPr>
        <w:bidi w:val="0"/>
        <w:rPr>
          <w:rFonts w:hint="eastAsia"/>
        </w:rPr>
      </w:pPr>
      <w:r>
        <w:rPr>
          <w:rFonts w:hint="eastAsia"/>
        </w:rPr>
        <w:t>最后，也要感谢在无数个日夜中坚持探索、未曾放弃的自己。</w:t>
      </w:r>
      <w:r>
        <w:rPr>
          <w:rFonts w:hint="eastAsia"/>
          <w:lang w:val="en-US" w:eastAsia="zh-CN"/>
        </w:rPr>
        <w:t>提醒自己要永远保持万事万物的好奇心，不要停下探索的脚步。</w:t>
      </w:r>
      <w:r>
        <w:br w:type="page"/>
      </w:r>
      <w:bookmarkEnd w:id="130"/>
      <w:bookmarkEnd w:id="131"/>
      <w:bookmarkEnd w:id="134"/>
      <w:bookmarkEnd w:id="135"/>
      <w:bookmarkEnd w:id="136"/>
    </w:p>
    <w:p w14:paraId="6F98A6D9">
      <w:pPr>
        <w:spacing w:line="400" w:lineRule="exact"/>
        <w:ind w:firstLine="480" w:firstLineChars="200"/>
        <w:rPr>
          <w:rFonts w:hint="eastAsia" w:ascii="Times New Roman" w:hAnsi="Times New Roman"/>
          <w:szCs w:val="21"/>
        </w:rPr>
      </w:pPr>
    </w:p>
    <w:p w14:paraId="7FC3C887">
      <w:pPr>
        <w:spacing w:line="400" w:lineRule="exact"/>
        <w:ind w:firstLine="480" w:firstLineChars="200"/>
        <w:rPr>
          <w:rFonts w:hint="eastAsia" w:ascii="Times New Roman" w:hAnsi="Times New Roman"/>
          <w:szCs w:val="21"/>
        </w:rPr>
      </w:pPr>
    </w:p>
    <w:p w14:paraId="5FE0E347">
      <w:pPr>
        <w:spacing w:line="400" w:lineRule="exact"/>
        <w:ind w:firstLine="480" w:firstLineChars="200"/>
        <w:rPr>
          <w:rFonts w:hint="eastAsia" w:ascii="Times New Roman" w:hAnsi="Times New Roman"/>
          <w:szCs w:val="21"/>
        </w:rPr>
      </w:pPr>
    </w:p>
    <w:p w14:paraId="4C4CDEFB">
      <w:pPr>
        <w:spacing w:line="400" w:lineRule="exact"/>
        <w:ind w:firstLine="480" w:firstLineChars="200"/>
        <w:rPr>
          <w:rFonts w:hint="eastAsia" w:ascii="Times New Roman" w:hAnsi="Times New Roman"/>
          <w:szCs w:val="21"/>
        </w:rPr>
      </w:pPr>
    </w:p>
    <w:p w14:paraId="0F2DC8C4">
      <w:pPr>
        <w:spacing w:line="400" w:lineRule="exact"/>
        <w:ind w:firstLine="480" w:firstLineChars="200"/>
        <w:rPr>
          <w:rFonts w:hint="eastAsia" w:ascii="Times New Roman" w:hAnsi="Times New Roman"/>
          <w:szCs w:val="21"/>
        </w:rPr>
      </w:pPr>
    </w:p>
    <w:p w14:paraId="01B11F45">
      <w:pPr>
        <w:spacing w:line="400" w:lineRule="exact"/>
        <w:ind w:firstLine="480" w:firstLineChars="200"/>
        <w:rPr>
          <w:rFonts w:hint="eastAsia" w:ascii="Times New Roman" w:hAnsi="Times New Roman"/>
          <w:szCs w:val="21"/>
        </w:rPr>
      </w:pPr>
    </w:p>
    <w:p w14:paraId="4AAA1D59">
      <w:pPr>
        <w:spacing w:line="400" w:lineRule="exact"/>
        <w:ind w:firstLine="480" w:firstLineChars="200"/>
        <w:rPr>
          <w:rFonts w:hint="eastAsia" w:ascii="Times New Roman" w:hAnsi="Times New Roman"/>
          <w:szCs w:val="21"/>
        </w:rPr>
      </w:pPr>
    </w:p>
    <w:p w14:paraId="37AF3FBA">
      <w:pPr>
        <w:spacing w:line="400" w:lineRule="exact"/>
        <w:ind w:firstLine="480" w:firstLineChars="200"/>
        <w:rPr>
          <w:rFonts w:hint="eastAsia" w:ascii="Times New Roman" w:hAnsi="Times New Roman"/>
          <w:szCs w:val="21"/>
        </w:rPr>
      </w:pPr>
    </w:p>
    <w:p w14:paraId="6A62E1E2">
      <w:pPr>
        <w:spacing w:line="400" w:lineRule="exact"/>
        <w:ind w:firstLine="480" w:firstLineChars="200"/>
        <w:rPr>
          <w:rFonts w:hint="eastAsia" w:ascii="Times New Roman" w:hAnsi="Times New Roman"/>
          <w:szCs w:val="21"/>
        </w:rPr>
      </w:pPr>
    </w:p>
    <w:p w14:paraId="71CF9DAE">
      <w:pPr>
        <w:spacing w:line="400" w:lineRule="exact"/>
        <w:ind w:firstLine="480" w:firstLineChars="200"/>
        <w:rPr>
          <w:rFonts w:hint="eastAsia" w:ascii="Times New Roman" w:hAnsi="Times New Roman"/>
          <w:szCs w:val="21"/>
        </w:rPr>
      </w:pPr>
    </w:p>
    <w:p w14:paraId="4699B1CE">
      <w:pPr>
        <w:spacing w:line="400" w:lineRule="exact"/>
        <w:ind w:firstLine="480" w:firstLineChars="200"/>
        <w:rPr>
          <w:rFonts w:hint="eastAsia" w:ascii="Times New Roman" w:hAnsi="Times New Roman"/>
          <w:szCs w:val="21"/>
        </w:rPr>
      </w:pPr>
    </w:p>
    <w:p w14:paraId="28997F99">
      <w:pPr>
        <w:spacing w:line="400" w:lineRule="exact"/>
        <w:ind w:firstLine="480" w:firstLineChars="200"/>
        <w:rPr>
          <w:rFonts w:hint="eastAsia" w:ascii="Times New Roman" w:hAnsi="Times New Roman"/>
          <w:szCs w:val="21"/>
        </w:rPr>
      </w:pPr>
    </w:p>
    <w:p w14:paraId="7E60D049">
      <w:pPr>
        <w:spacing w:line="400" w:lineRule="exact"/>
        <w:ind w:firstLine="480" w:firstLineChars="200"/>
        <w:rPr>
          <w:rFonts w:hint="eastAsia" w:ascii="Times New Roman" w:hAnsi="Times New Roman"/>
          <w:szCs w:val="21"/>
        </w:rPr>
      </w:pPr>
    </w:p>
    <w:p w14:paraId="6F87A1CE">
      <w:pPr>
        <w:spacing w:line="400" w:lineRule="exact"/>
        <w:ind w:firstLine="480" w:firstLineChars="200"/>
        <w:rPr>
          <w:rFonts w:hint="eastAsia" w:ascii="Times New Roman" w:hAnsi="Times New Roman"/>
          <w:szCs w:val="21"/>
        </w:rPr>
      </w:pPr>
    </w:p>
    <w:p w14:paraId="5CBF4217">
      <w:pPr>
        <w:spacing w:line="400" w:lineRule="exact"/>
        <w:ind w:firstLine="480" w:firstLineChars="200"/>
        <w:rPr>
          <w:rFonts w:hint="eastAsia" w:ascii="Times New Roman" w:hAnsi="Times New Roman"/>
          <w:szCs w:val="21"/>
        </w:rPr>
      </w:pPr>
    </w:p>
    <w:p w14:paraId="67CE2536">
      <w:pPr>
        <w:spacing w:line="400" w:lineRule="exact"/>
        <w:ind w:firstLine="480" w:firstLineChars="200"/>
        <w:rPr>
          <w:rFonts w:hint="eastAsia" w:ascii="Times New Roman" w:hAnsi="Times New Roman"/>
          <w:szCs w:val="21"/>
        </w:rPr>
      </w:pPr>
    </w:p>
    <w:p w14:paraId="130CFADF">
      <w:pPr>
        <w:spacing w:line="400" w:lineRule="exact"/>
        <w:ind w:firstLine="480" w:firstLineChars="200"/>
        <w:rPr>
          <w:rFonts w:hint="eastAsia" w:ascii="Times New Roman" w:hAnsi="Times New Roman"/>
          <w:szCs w:val="21"/>
        </w:rPr>
      </w:pPr>
    </w:p>
    <w:p w14:paraId="232BE747">
      <w:pPr>
        <w:spacing w:line="400" w:lineRule="exact"/>
        <w:ind w:firstLine="480" w:firstLineChars="200"/>
        <w:rPr>
          <w:rFonts w:hint="eastAsia" w:ascii="Times New Roman" w:hAnsi="Times New Roman"/>
          <w:szCs w:val="21"/>
        </w:rPr>
      </w:pPr>
    </w:p>
    <w:p w14:paraId="46F08E5E">
      <w:pPr>
        <w:spacing w:line="400" w:lineRule="exact"/>
        <w:ind w:firstLine="480" w:firstLineChars="200"/>
        <w:rPr>
          <w:rFonts w:hint="eastAsia" w:ascii="Times New Roman" w:hAnsi="Times New Roman"/>
          <w:szCs w:val="21"/>
        </w:rPr>
      </w:pPr>
    </w:p>
    <w:p w14:paraId="0CF14D59">
      <w:pPr>
        <w:spacing w:line="400" w:lineRule="exact"/>
        <w:rPr>
          <w:rFonts w:hint="eastAsia" w:ascii="Times New Roman" w:hAnsi="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9T09:52:18Z" w14:paraId="8BB648AC">
    <w:p w14:paraId="8BB648AC">
      <w:r>
        <w:t xml:space="preserve">【实证】【致命】论文以100份裁判文书为实证样本，但未交代样本来源（中国裁判文书网或特定法院）、检索策略（关键词、案由、时间范围）、筛选流程（纳入/排除标准），导致研究结论的外部效度无法评估，实证研究的方法论基础不牢。 → 在方法论部分补充完整的样本获取流程，包括检索数据库、检索式、检索日期、时间跨度</w:t>
      </w:r>
      <w:r>
        <w:br/>
      </w:r>
      <w:r>
        <w:t xml:space="preserve">其他建议：</w:t>
      </w:r>
      <w:r>
        <w:br/>
      </w:r>
      <w:r>
        <w:t xml:space="preserve">  · 说明纳入标准和排除标准，建议附PRISMA筛选流程图</w:t>
      </w:r>
      <w:r>
        <w:br/>
      </w:r>
      <w:r>
        <w:t xml:space="preserve">  · 说明样本的地域覆盖范围和法院层级分布</w:t>
      </w:r>
      <w:r>
        <w:br/>
      </w:r>
      <w:r>
        <w:t xml:space="preserve">[id: thesis-empirical-001]</w:t>
      </w:r>
    </w:p>
  </w:comment>
  <w:comment w:id="1" w:author="张老师的agent" w:initials="ZA" w:date="2026-05-19T09:52:18Z" w14:paraId="9C405176">
    <w:p w14:paraId="9C405176">
      <w:r>
        <w:t xml:space="preserve">【论证深度】【重要】从'约定不清'到'缺少规则根基'的因果推断属于理论推演，缺乏直接的实证证据支撑。摘要中以断言式语言呈现，可能误导读者认为该因果关系已被实证验证。 → 在正文中明确区分'统计发现'与'理论推演'两个层次</w:t>
      </w:r>
      <w:r>
        <w:br/>
      </w:r>
      <w:r>
        <w:t xml:space="preserve">其他建议：</w:t>
      </w:r>
      <w:r>
        <w:br/>
      </w:r>
      <w:r>
        <w:t xml:space="preserve">  · 对因果链条使用'可能''倾向于'等限定语</w:t>
      </w:r>
      <w:r>
        <w:br/>
      </w:r>
      <w:r>
        <w:t xml:space="preserve">  · 引用相关实证研究或法理分析佐证该因果推断</w:t>
      </w:r>
      <w:r>
        <w:br/>
      </w:r>
      <w:r>
        <w:t xml:space="preserve">[id: thesis-argumentation-003]</w:t>
      </w:r>
    </w:p>
  </w:comment>
  <w:comment w:id="2" w:author="张老师的agent" w:initials="ZA" w:date="2026-05-19T09:52:18Z" w14:paraId="66D8A5A7">
    <w:p w14:paraId="66D8A5A7">
      <w:r>
        <w:t xml:space="preserve">【结构】【重要】绪论开篇以背景描述起笔，但若绪论部分篇幅过长（超过全文15%），将挤压核心论证章节的展开空间。需检查绪论与正文的比例是否合理。 → 建议绪论控制在3000字以内</w:t>
      </w:r>
      <w:r>
        <w:br/>
      </w:r>
      <w:r>
        <w:t xml:space="preserve">其他建议：</w:t>
      </w:r>
      <w:r>
        <w:br/>
      </w:r>
      <w:r>
        <w:t xml:space="preserve">  · 将文献综述中过于详细的背景介绍精简至核心要点</w:t>
      </w:r>
      <w:r>
        <w:br/>
      </w:r>
      <w:r>
        <w:t xml:space="preserve">  · 将方法论细节移至独立的'研究设计'章节</w:t>
      </w:r>
      <w:r>
        <w:br/>
      </w:r>
      <w:r>
        <w:t xml:space="preserve">[id: thesis-structure-005]</w:t>
      </w:r>
    </w:p>
  </w:comment>
  <w:comment w:id="3" w:author="张老师的agent" w:initials="ZA" w:date="2026-05-19T09:52:18Z" w14:paraId="112953DE">
    <w:p w14:paraId="112953DE">
      <w:r>
        <w:t xml:space="preserve">【论证深度】【重要】'信任判断被逐步消解'属于心理学层面的推断，论文作为法学实证研究，缺乏对业主主观认知的访谈或问卷数据支撑，该论断缺乏实证基础。 → 将该论断修改为更审慎的表述，如'可能削弱业主对履约状态的判断依据'</w:t>
      </w:r>
      <w:r>
        <w:br/>
      </w:r>
      <w:r>
        <w:t xml:space="preserve">其他建议：</w:t>
      </w:r>
      <w:r>
        <w:br/>
      </w:r>
      <w:r>
        <w:t xml:space="preserve">  · 或补充说明该推断的理论来源（如引用信任理论相关文献）</w:t>
      </w:r>
      <w:r>
        <w:br/>
      </w:r>
      <w:r>
        <w:t xml:space="preserve">  · 如有可能，补充业主访谈或问卷调查数据</w:t>
      </w:r>
      <w:r>
        <w:br/>
      </w:r>
      <w:r>
        <w:t xml:space="preserve">[id: thesis-argumentation-004]</w:t>
      </w:r>
    </w:p>
  </w:comment>
  <w:comment w:id="4" w:author="张老师的agent" w:initials="ZA" w:date="2026-05-19T09:52:18Z" w14:paraId="1E659B3B">
    <w:p w14:paraId="1E659B3B">
      <w:r>
        <w:t xml:space="preserve">【实证】【重要】统计数据给出了精确百分比，但未说明分类标准（单标签/多标签分类）、编码者间信度，也未说明一份判决涉及多个争议焦点时的处理方式，影响统计结果的可靠性。 → 说明纠纷类型的分类框架来源（既有文献成熟分类或扎根理论归纳）</w:t>
      </w:r>
      <w:r>
        <w:br/>
      </w:r>
      <w:r>
        <w:t xml:space="preserve">其他建议：</w:t>
      </w:r>
      <w:r>
        <w:br/>
      </w:r>
      <w:r>
        <w:t xml:space="preserve">  · 明确是否允许多标签分类，若允许则说明处理方式</w:t>
      </w:r>
      <w:r>
        <w:br/>
      </w:r>
      <w:r>
        <w:t xml:space="preserve">  · 报告编码者间信度（如Cohen's Kappa值）</w:t>
      </w:r>
      <w:r>
        <w:br/>
      </w:r>
      <w:r>
        <w:t xml:space="preserve">  · 附编码表作为附录</w:t>
      </w:r>
      <w:r>
        <w:br/>
      </w:r>
      <w:r>
        <w:t xml:space="preserve">[id: thesis-empirical-002]</w:t>
      </w:r>
    </w:p>
  </w:comment>
  <w:comment w:id="5" w:author="张老师的agent" w:initials="ZA" w:date="2026-05-19T09:52:18Z" w14:paraId="4A76476C">
    <w:p w14:paraId="4A76476C">
      <w:r>
        <w:t xml:space="preserve">【文献综述】【重要】论文涉及物业服务合同、纠纷预防机制、裁判文书实证分析三个领域，需确认文献综述是否覆盖了《民法典》物业服务合同章评注、物业管理纠纷实证研究、纠纷预防理论等关键文献。 → 逐领域检查文献覆盖情况，补充遗漏的关键文献</w:t>
      </w:r>
      <w:r>
        <w:br/>
      </w:r>
      <w:r>
        <w:t xml:space="preserve">其他建议：</w:t>
      </w:r>
      <w:r>
        <w:br/>
      </w:r>
      <w:r>
        <w:t xml:space="preserve">  · 特别关注《民法典》第937-950条相关评注文献</w:t>
      </w:r>
      <w:r>
        <w:br/>
      </w:r>
      <w:r>
        <w:t xml:space="preserve">  · 补充纠纷预防理论（如ODR理论、多元纠纷解决机制）的代表性文献</w:t>
      </w:r>
      <w:r>
        <w:br/>
      </w:r>
      <w:r>
        <w:t xml:space="preserve">  · 标注「⚠️需人工核实：文献综述覆盖范围」</w:t>
      </w:r>
      <w:r>
        <w:br/>
      </w:r>
      <w:r>
        <w:t xml:space="preserve">[id: thesis-literature-review-006]</w:t>
      </w:r>
    </w:p>
  </w:comment>
  <w:comment w:id="6" w:author="张老师的agent" w:initials="ZA" w:date="2026-05-19T09:52:18Z" w14:paraId="8E8A05AC">
    <w:p w14:paraId="8E8A05AC">
      <w:r>
        <w:t xml:space="preserve">【对策】【重要】对策建议方向明确但缺乏具体制度参数，如清单的法定必备项目、计费口径的统一标准、调价的具体触发条件和程序，可操作性不足。 → 给出清单化规则的具体制度参数建议（如必备项目清单）</w:t>
      </w:r>
      <w:r>
        <w:br/>
      </w:r>
      <w:r>
        <w:t xml:space="preserve">其他建议：</w:t>
      </w:r>
      <w:r>
        <w:br/>
      </w:r>
      <w:r>
        <w:t xml:space="preserve">  · 说明参考依据（如地方物业管理条例立法例、行业标准）</w:t>
      </w:r>
      <w:r>
        <w:br/>
      </w:r>
      <w:r>
        <w:t xml:space="preserve">  · 补充调价程序的具体步骤和时限建议</w:t>
      </w:r>
      <w:r>
        <w:br/>
      </w:r>
      <w:r>
        <w:t xml:space="preserve">[id: thesis-policy-007]</w:t>
      </w:r>
    </w:p>
  </w:comment>
  <w:comment w:id="7" w:author="张老师的agent" w:initials="ZA" w:date="2026-05-19T09:52:18Z" w14:paraId="AA70C261">
    <w:p w14:paraId="AA70C261">
      <w:r>
        <w:t xml:space="preserve">【实证】【重要】论文声称综合运用三种方法，但实证分析的方法论细节（样本获取、编码方案、分析工具）缺失，案例分析的具体操作方式也未说明，方法论部分过于笼统。 → 补充实证分析的具体操作流程（数据获取、编码、统计分析工具）</w:t>
      </w:r>
      <w:r>
        <w:br/>
      </w:r>
      <w:r>
        <w:t xml:space="preserve">其他建议：</w:t>
      </w:r>
      <w:r>
        <w:br/>
      </w:r>
      <w:r>
        <w:t xml:space="preserve">  · 说明案例分析的选择标准和分析维度</w:t>
      </w:r>
      <w:r>
        <w:br/>
      </w:r>
      <w:r>
        <w:t xml:space="preserve">  · 明确三种方法在论文中的分工和衔接关系</w:t>
      </w:r>
      <w:r>
        <w:br/>
      </w:r>
      <w:r>
        <w:t xml:space="preserve">[id: thesis-empirical-014]</w:t>
      </w:r>
    </w:p>
  </w:comment>
  <w:comment w:id="8" w:author="张老师的agent" w:initials="ZA" w:date="2026-05-19T09:52:18Z" w14:paraId="0C694A42">
    <w:p w14:paraId="0C694A42">
      <w:r>
        <w:t xml:space="preserve">【引注格式】【轻微】引注格式需按GB/T 7714-2015顺序编码制逐条核查，包括期刊文献的卷号期号页码、裁判文书的案号和法院名称、网络文献的访问日期、参考文献排列顺序等。 → 逐条按GB/T 7714-2015顺序编码制核对所有脚注和参考文献</w:t>
      </w:r>
      <w:r>
        <w:br/>
      </w:r>
      <w:r>
        <w:t xml:space="preserve">其他建议：</w:t>
      </w:r>
      <w:r>
        <w:br/>
      </w:r>
      <w:r>
        <w:t xml:space="preserve">  · 确保参考文献按正文引用顺序排列</w:t>
      </w:r>
      <w:r>
        <w:br/>
      </w:r>
      <w:r>
        <w:t xml:space="preserve">  · 标注「⚠️需人工核实：引注格式全文核查」</w:t>
      </w:r>
      <w:r>
        <w:br/>
      </w:r>
      <w:r>
        <w:t xml:space="preserve">[id: citation-citation-format-013]</w:t>
      </w:r>
    </w:p>
  </w:comment>
  <w:comment w:id="9" w:author="张老师的agent" w:initials="ZA" w:date="2026-05-19T09:52:18Z" w14:paraId="E658C0CC">
    <w:p w14:paraId="E658C0CC">
      <w:r>
        <w:t xml:space="preserve">【学术不端线索】【轻微】论文以裁判文书为样本，需确认是否对引用判决进行了脱敏处理（隐去当事人姓名等个人信息），以及是否规范标注了裁判文书的案号和来源。 → 逐条检查判决书引用是否已脱敏处理</w:t>
      </w:r>
      <w:r>
        <w:br/>
      </w:r>
      <w:r>
        <w:t xml:space="preserve">其他建议：</w:t>
      </w:r>
      <w:r>
        <w:br/>
      </w:r>
      <w:r>
        <w:t xml:space="preserve">  · 确保每条引用包含案号、法院名称和裁判日期</w:t>
      </w:r>
      <w:r>
        <w:br/>
      </w:r>
      <w:r>
        <w:t xml:space="preserve">  · 标注「⚠️需人工核实：裁判文书引用规范性」</w:t>
      </w:r>
      <w:r>
        <w:br/>
      </w:r>
      <w:r>
        <w:t xml:space="preserve">[id: thesis-academic-integrity-012]</w:t>
      </w:r>
    </w:p>
  </w:comment>
  <w:comment w:id="10" w:author="张老师的agent" w:initials="ZA" w:date="2026-05-19T09:52:18Z" w14:paraId="60E43391">
    <w:p w14:paraId="60E43391">
      <w:r>
        <w:t xml:space="preserve">【语言】【轻微】'规则根基'一词偏文学化表达，在法学学术论文中建议使用更规范的术语。 → 将'规则根基'改为'规范基础'或'请求权基础'</w:t>
      </w:r>
      <w:r>
        <w:br/>
      </w:r>
      <w:r>
        <w:t xml:space="preserve">[id: thesis-language-008]</w:t>
      </w:r>
    </w:p>
  </w:comment>
  <w:comment w:id="11" w:author="张老师的agent" w:initials="ZA" w:date="2026-05-19T09:52:18Z" w14:paraId="617FC358">
    <w:p w14:paraId="617FC358">
      <w:r>
        <w:t xml:space="preserve">【语言】【轻微】英文摘要中存在多余空格，'owner 's'应为'owner's'。 → 修正为'the owner's trust judgment'</w:t>
      </w:r>
      <w:r>
        <w:br/>
      </w:r>
      <w:r>
        <w:t xml:space="preserve">其他建议：</w:t>
      </w:r>
      <w:r>
        <w:br/>
      </w:r>
      <w:r>
        <w:t xml:space="preserve">  · 建议对英文摘要进行整体专业润色</w:t>
      </w:r>
      <w:r>
        <w:br/>
      </w:r>
      <w:r>
        <w:t xml:space="preserve">[id: thesis-language-010]</w:t>
      </w:r>
    </w:p>
  </w:comment>
  <w:comment w:id="12" w:author="张老师的agent" w:initials="ZA" w:date="2026-05-19T09:52:18Z" w14:paraId="8A38D161">
    <w:p w14:paraId="8A38D161">
      <w:r>
        <w:t xml:space="preserve">【结构】【轻微】三阶段框架是论文的核心分析框架，但摘要中未简要说明各阶段的划分标准和时间节点，读者难以快速理解框架的逻辑基础。 → 在摘要或绪论中简要说明三阶段的划分标准</w:t>
      </w:r>
      <w:r>
        <w:br/>
      </w:r>
      <w:r>
        <w:t xml:space="preserve">其他建议：</w:t>
      </w:r>
      <w:r>
        <w:br/>
      </w:r>
      <w:r>
        <w:t xml:space="preserve">  · 明确各阶段之间的递进关系和因果链条</w:t>
      </w:r>
      <w:r>
        <w:br/>
      </w:r>
      <w:r>
        <w:t xml:space="preserve">[id: thesis-structure-015]</w:t>
      </w:r>
    </w:p>
  </w:comment>
  <w:comment w:id="13" w:author="张老师的agent" w:initials="ZA" w:date="2026-05-19T09:52:18Z" w14:paraId="77621515">
    <w:p w14:paraId="77621515">
      <w:r>
        <w:t xml:space="preserve">【语言】【轻微】'本可在诉前能消解'存在语病，'本可'与'能'语义重复。 → 改为'本可在诉前消解的分歧'或'可在诉前消解的分歧'</w:t>
      </w:r>
      <w:r>
        <w:br/>
      </w:r>
      <w:r>
        <w:t xml:space="preserve">[id: thesis-language-009]</w:t>
      </w:r>
    </w:p>
  </w:comment>
  <w:comment w:id="14" w:author="张老师的agent" w:initials="ZA" w:date="2026-05-19T09:52:18Z" w14:paraId="572713FE">
    <w:p w14:paraId="572713FE">
      <w:r>
        <w:t xml:space="preserve">【语言】【轻微】'consultation mark'疑似'协商留痕'的直译，英文中不自然，可能造成理解困难。 → 改为'documented consultation records'或'consultation documentation'</w:t>
      </w:r>
      <w:r>
        <w:br/>
      </w:r>
      <w:r>
        <w:t xml:space="preserve">[id: thesis-language-011]</w:t>
      </w:r>
    </w:p>
  </w:comment>
</w:comments>
</file>

<file path=word/commentsExtended.xml><?xml version="1.0" encoding="utf-8"?>
<w15:commentsEx xmlns:w15="http://schemas.microsoft.com/office/word/2012/wordml">
  <w15:commentEx w15:paraId="8BB648AC" w15:done="0"/>
  <w15:commentEx w15:paraId="9C405176" w15:done="0"/>
  <w15:commentEx w15:paraId="66D8A5A7" w15:done="0"/>
  <w15:commentEx w15:paraId="112953DE" w15:done="0"/>
  <w15:commentEx w15:paraId="1E659B3B" w15:done="0"/>
  <w15:commentEx w15:paraId="4A76476C" w15:done="0"/>
  <w15:commentEx w15:paraId="8E8A05AC" w15:done="0"/>
  <w15:commentEx w15:paraId="AA70C261" w15:done="0"/>
  <w15:commentEx w15:paraId="0C694A42" w15:done="0"/>
  <w15:commentEx w15:paraId="E658C0CC" w15:done="0"/>
  <w15:commentEx w15:paraId="60E43391" w15:done="0"/>
  <w15:commentEx w15:paraId="617FC358" w15:done="0"/>
  <w15:commentEx w15:paraId="8A38D161" w15:done="0"/>
  <w15:commentEx w15:paraId="77621515" w15:done="0"/>
  <w15:commentEx w15:paraId="572713FE" w15:done="0"/>
</w15:commentsEx>
</file>

<file path=word/commentsIds.xml><?xml version="1.0" encoding="utf-8"?>
<w16cid:commentsIds xmlns:w16cid="http://schemas.microsoft.com/office/word/2016/wordml/cid">
  <w16cid:commentId w16cid:paraId="8BB648AC" w16cid:durableId="89A41F96"/>
  <w16cid:commentId w16cid:paraId="9C405176" w16cid:durableId="5DDA8FBB"/>
  <w16cid:commentId w16cid:paraId="66D8A5A7" w16cid:durableId="A1D2B4AE"/>
  <w16cid:commentId w16cid:paraId="112953DE" w16cid:durableId="207A034D"/>
  <w16cid:commentId w16cid:paraId="1E659B3B" w16cid:durableId="F8BD7C5F"/>
  <w16cid:commentId w16cid:paraId="4A76476C" w16cid:durableId="5051B0E0"/>
  <w16cid:commentId w16cid:paraId="8E8A05AC" w16cid:durableId="6AD1E3FB"/>
  <w16cid:commentId w16cid:paraId="AA70C261" w16cid:durableId="7C90EA83"/>
  <w16cid:commentId w16cid:paraId="0C694A42" w16cid:durableId="D20D2B38"/>
  <w16cid:commentId w16cid:paraId="E658C0CC" w16cid:durableId="061F5F50"/>
  <w16cid:commentId w16cid:paraId="60E43391" w16cid:durableId="07094DE3"/>
  <w16cid:commentId w16cid:paraId="617FC358" w16cid:durableId="7EE1A726"/>
  <w16cid:commentId w16cid:paraId="8A38D161" w16cid:durableId="5ECB0FD7"/>
  <w16cid:commentId w16cid:paraId="77621515" w16cid:durableId="1BD0BAA8"/>
  <w16cid:commentId w16cid:paraId="572713FE" w16cid:durableId="4221A6B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BAEF">
    <w:pPr>
      <w:widowControl w:val="0"/>
      <w:snapToGrid w:val="0"/>
      <w:jc w:val="center"/>
      <w:rPr>
        <w:rFonts w:ascii="Calibri" w:hAnsi="Calibri"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03C6">
    <w:pPr>
      <w:pStyle w:val="16"/>
      <w:jc w:val="cente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v:textbox inset="0mm,0mm,0mm,0mm" style="mso-fit-shape-to-text:t;">
            <w:txbxContent>
              <w:p w14:paraId="0D2CC119">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56E6">
    <w:pPr>
      <w:pStyle w:val="16"/>
      <w:jc w:val="cente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v:textbox inset="0mm,0mm,0mm,0mm" style="mso-fit-shape-to-text:t;">
            <w:txbxContent>
              <w:p w14:paraId="1F738FB2">
                <w:pPr>
                  <w:pStyle w:val="16"/>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1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B6B4">
    <w:r>
      <w:pict>
        <v:shape id="_x0000_s3076" o:spid="_x0000_s307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v:textbox inset="0mm,0mm,0mm,0mm" style="mso-fit-shape-to-text:t;">
            <w:txbxContent>
              <w:p w14:paraId="3A404CC2">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240" w:lineRule="auto"/>
        <w:ind w:firstLine="480"/>
      </w:pPr>
      <w:r>
        <w:separator/>
      </w:r>
    </w:p>
  </w:footnote>
  <w:footnote w:type="continuationSeparator" w:id="77">
    <w:p>
      <w:pPr>
        <w:spacing w:line="240" w:lineRule="auto"/>
        <w:ind w:firstLine="480"/>
      </w:pPr>
      <w:r>
        <w:continuationSeparator/>
      </w:r>
    </w:p>
  </w:footnote>
  <w:footnote w:id="0">
    <w:p w14:paraId="2B160DA8">
      <w:pPr>
        <w:pStyle w:val="20"/>
        <w:bidi w:val="0"/>
      </w:pPr>
      <w:r>
        <w:rPr>
          <w:rStyle w:val="34"/>
        </w:rPr>
        <w:footnoteRef/>
      </w:r>
      <w:r>
        <w:rPr>
          <w:rFonts w:hint="eastAsia"/>
          <w:lang w:val="en-US" w:eastAsia="zh-CN"/>
        </w:rPr>
        <w:t xml:space="preserve"> </w:t>
      </w:r>
      <w:r>
        <w:rPr>
          <w:rFonts w:hint="eastAsia"/>
          <w:lang w:val="en-US" w:eastAsia="zh-CN"/>
        </w:rPr>
        <w:t xml:space="preserve">《2026年最高人民法院工作报告》，载最高人民法院官网，https://www.court.gov.cn，2026年4月11日访问；最高人民法院“迎两会·守公正·启新程”新闻发布会（2026年3月2日）披露，近五年依法审结一审物业服务合同纠纷439万余件。 </w:t>
      </w:r>
    </w:p>
  </w:footnote>
  <w:footnote w:id="1">
    <w:p w14:paraId="7D6106A6">
      <w:pPr>
        <w:pStyle w:val="20"/>
        <w:bidi w:val="0"/>
      </w:pPr>
      <w:r>
        <w:rPr>
          <w:rStyle w:val="34"/>
        </w:rPr>
        <w:footnoteRef/>
      </w:r>
      <w:r>
        <w:t xml:space="preserve"> </w:t>
      </w:r>
      <w:r>
        <w:rPr>
          <w:rFonts w:hint="eastAsia"/>
        </w:rPr>
        <w:t>《最高法公布第一季度司法审判工作主要数据》，载法治日报-法治网，https://www.legaldaily.com.cn，2026年</w:t>
      </w:r>
      <w:r>
        <w:rPr>
          <w:rFonts w:hint="eastAsia"/>
          <w:lang w:val="en-US" w:eastAsia="zh-CN"/>
        </w:rPr>
        <w:t>4</w:t>
      </w:r>
      <w:r>
        <w:rPr>
          <w:rFonts w:hint="eastAsia"/>
        </w:rPr>
        <w:t>月</w:t>
      </w:r>
      <w:r>
        <w:rPr>
          <w:rFonts w:hint="eastAsia"/>
          <w:lang w:val="en-US" w:eastAsia="zh-CN"/>
        </w:rPr>
        <w:t>11</w:t>
      </w:r>
      <w:r>
        <w:rPr>
          <w:rFonts w:hint="eastAsia"/>
        </w:rPr>
        <w:t>日访问。</w:t>
      </w:r>
    </w:p>
  </w:footnote>
  <w:footnote w:id="2">
    <w:p w14:paraId="5FBBDDCE">
      <w:pPr>
        <w:pStyle w:val="20"/>
        <w:bidi w:val="0"/>
      </w:pPr>
      <w:r>
        <w:rPr>
          <w:rStyle w:val="34"/>
        </w:rPr>
        <w:footnoteRef/>
      </w:r>
      <w:r>
        <w:rPr>
          <w:rFonts w:hint="eastAsia"/>
          <w:lang w:val="en-US" w:eastAsia="zh-CN"/>
        </w:rPr>
        <w:t xml:space="preserve"> </w:t>
      </w:r>
      <w:r>
        <w:rPr>
          <w:rFonts w:hint="eastAsia"/>
        </w:rPr>
        <w:t>广东省高级人民法院：《广东法院物业服务合同纠纷审判白皮书（2024）》，2025年4月。</w:t>
      </w:r>
    </w:p>
  </w:footnote>
  <w:footnote w:id="3">
    <w:p w14:paraId="3AC99CAD">
      <w:pPr>
        <w:pStyle w:val="20"/>
        <w:bidi w:val="0"/>
      </w:pPr>
      <w:r>
        <w:rPr>
          <w:rStyle w:val="34"/>
        </w:rPr>
        <w:footnoteRef/>
      </w:r>
      <w:r>
        <w:t xml:space="preserve"> </w:t>
      </w:r>
      <w:r>
        <w:rPr>
          <w:rFonts w:hint="eastAsia"/>
        </w:rPr>
        <w:t>中国消费者协会：《2025年全国消协组织受理投诉情况分析》，载中国消费者协会官网，https://www.cca.org.cn，2026年</w:t>
      </w:r>
      <w:r>
        <w:rPr>
          <w:rFonts w:hint="eastAsia"/>
          <w:lang w:val="en-US" w:eastAsia="zh-CN"/>
        </w:rPr>
        <w:t>4</w:t>
      </w:r>
      <w:r>
        <w:rPr>
          <w:rFonts w:hint="eastAsia"/>
        </w:rPr>
        <w:t>月1</w:t>
      </w:r>
      <w:r>
        <w:rPr>
          <w:rFonts w:hint="eastAsia"/>
          <w:lang w:val="en-US" w:eastAsia="zh-CN"/>
        </w:rPr>
        <w:t>1</w:t>
      </w:r>
      <w:r>
        <w:rPr>
          <w:rFonts w:hint="eastAsia"/>
        </w:rPr>
        <w:t>日访问。</w:t>
      </w:r>
    </w:p>
  </w:footnote>
  <w:footnote w:id="4">
    <w:p w14:paraId="263C7273">
      <w:pPr>
        <w:pStyle w:val="20"/>
        <w:bidi w:val="0"/>
        <w:rPr>
          <w:rFonts w:hint="eastAsia"/>
          <w:lang w:val="en-US" w:eastAsia="zh-CN"/>
        </w:rPr>
      </w:pPr>
      <w:r>
        <w:rPr>
          <w:rStyle w:val="34"/>
        </w:rPr>
        <w:footnoteRef/>
      </w:r>
      <w:r>
        <w:rPr>
          <w:rFonts w:hint="eastAsia"/>
          <w:lang w:val="en-US" w:eastAsia="zh-CN"/>
        </w:rPr>
        <w:t xml:space="preserve"> 克而瑞物管、中物研协：《2025年物业服务满意度调查报告》，2026年1月。</w:t>
      </w:r>
    </w:p>
  </w:footnote>
  <w:footnote w:id="5">
    <w:p w14:paraId="79CA7C4C">
      <w:pPr>
        <w:pStyle w:val="20"/>
        <w:bidi w:val="0"/>
      </w:pPr>
      <w:r>
        <w:rPr>
          <w:rStyle w:val="34"/>
        </w:rPr>
        <w:footnoteRef/>
      </w:r>
      <w:r>
        <w:t xml:space="preserve"> </w:t>
      </w:r>
      <w:r>
        <w:rPr>
          <w:rFonts w:hint="eastAsia"/>
        </w:rPr>
        <w:t>克而瑞物管研究中心：《2025年中国住宅物业满意度与收缴率深度观察》，2026年2月。</w:t>
      </w:r>
    </w:p>
  </w:footnote>
  <w:footnote w:id="6">
    <w:p w14:paraId="2D0461EB">
      <w:pPr>
        <w:pStyle w:val="20"/>
        <w:bidi w:val="0"/>
      </w:pPr>
      <w:r>
        <w:rPr>
          <w:rStyle w:val="34"/>
        </w:rPr>
        <w:footnoteRef/>
      </w:r>
      <w:r>
        <w:t xml:space="preserve"> </w:t>
      </w:r>
      <w:r>
        <w:rPr>
          <w:rFonts w:hint="eastAsia"/>
        </w:rPr>
        <w:t>郑峥：《物业服务合同纠纷的诉源治理：现实需求及实施路径》，载《中州学刊》2021年第11期，第62页。</w:t>
      </w:r>
    </w:p>
  </w:footnote>
  <w:footnote w:id="7">
    <w:p w14:paraId="7370F6F8">
      <w:pPr>
        <w:pStyle w:val="20"/>
        <w:bidi w:val="0"/>
      </w:pPr>
      <w:r>
        <w:rPr>
          <w:rStyle w:val="34"/>
        </w:rPr>
        <w:footnoteRef/>
      </w:r>
      <w:r>
        <w:t xml:space="preserve"> </w:t>
      </w:r>
      <w:r>
        <w:rPr>
          <w:rFonts w:hint="eastAsia"/>
        </w:rPr>
        <w:t>陈华彬：《建筑物区分所有权的构成研究——兼及对〈物权法〉第70条的释明》，载《中国不动产法研究》2015年第2期，第3-20页。</w:t>
      </w:r>
    </w:p>
  </w:footnote>
  <w:footnote w:id="8">
    <w:p w14:paraId="6655BFFF">
      <w:pPr>
        <w:pStyle w:val="20"/>
        <w:bidi w:val="0"/>
      </w:pPr>
      <w:r>
        <w:rPr>
          <w:rStyle w:val="34"/>
        </w:rPr>
        <w:footnoteRef/>
      </w:r>
      <w:r>
        <w:t xml:space="preserve"> </w:t>
      </w:r>
      <w:r>
        <w:rPr>
          <w:rFonts w:hint="eastAsia"/>
        </w:rPr>
        <w:t>王利明：《物业服务合同立法若干问题探讨》，载《财经法学》2018年第3期，第5-14页。</w:t>
      </w:r>
    </w:p>
  </w:footnote>
  <w:footnote w:id="9">
    <w:p w14:paraId="578C29DD">
      <w:pPr>
        <w:pStyle w:val="20"/>
        <w:bidi w:val="0"/>
      </w:pPr>
      <w:r>
        <w:rPr>
          <w:rStyle w:val="34"/>
        </w:rPr>
        <w:footnoteRef/>
      </w:r>
      <w:r>
        <w:t xml:space="preserve"> </w:t>
      </w:r>
      <w:r>
        <w:rPr>
          <w:rFonts w:hint="eastAsia"/>
        </w:rPr>
        <w:t>杨立新：《物业服务合同:从无名合同到典型合同的蜕变》，载《现代法学》2020年第4期，第69-82页。</w:t>
      </w:r>
    </w:p>
  </w:footnote>
  <w:footnote w:id="10">
    <w:p w14:paraId="612DD3BD">
      <w:pPr>
        <w:pStyle w:val="20"/>
        <w:bidi w:val="0"/>
      </w:pPr>
      <w:r>
        <w:rPr>
          <w:rStyle w:val="34"/>
        </w:rPr>
        <w:footnoteRef/>
      </w:r>
      <w:r>
        <w:t xml:space="preserve"> </w:t>
      </w:r>
      <w:r>
        <w:rPr>
          <w:rFonts w:hint="eastAsia"/>
        </w:rPr>
        <w:t>谢鸿飞、涂燕辉：《民法典典型合同的制度创新及意义》，载《人民检察》2020年第12期，第58-63页。</w:t>
      </w:r>
    </w:p>
  </w:footnote>
  <w:footnote w:id="11">
    <w:p w14:paraId="64341035">
      <w:pPr>
        <w:pStyle w:val="20"/>
        <w:bidi w:val="0"/>
      </w:pPr>
      <w:r>
        <w:rPr>
          <w:rStyle w:val="34"/>
        </w:rPr>
        <w:footnoteRef/>
      </w:r>
      <w:r>
        <w:t xml:space="preserve"> </w:t>
      </w:r>
      <w:r>
        <w:rPr>
          <w:rFonts w:hint="eastAsia"/>
        </w:rPr>
        <w:t>徐涤宇：《物业服务合同法律构造之中国模式》，载《法学研究》2021年第3期，第52-67页。</w:t>
      </w:r>
    </w:p>
  </w:footnote>
  <w:footnote w:id="12">
    <w:p w14:paraId="6244B415">
      <w:pPr>
        <w:pStyle w:val="20"/>
        <w:bidi w:val="0"/>
      </w:pPr>
      <w:r>
        <w:rPr>
          <w:rStyle w:val="34"/>
        </w:rPr>
        <w:footnoteRef/>
      </w:r>
      <w:r>
        <w:t xml:space="preserve"> 邓冬梅：《基于〈民法典〉视角下业主委员会签订物业服务合同的思考与探索》，载《法制与社会》2021年第9期，第119-120页。</w:t>
      </w:r>
    </w:p>
  </w:footnote>
  <w:footnote w:id="13">
    <w:p w14:paraId="01941925">
      <w:pPr>
        <w:pStyle w:val="20"/>
        <w:bidi w:val="0"/>
      </w:pPr>
      <w:r>
        <w:rPr>
          <w:rStyle w:val="34"/>
        </w:rPr>
        <w:footnoteRef/>
      </w:r>
      <w:r>
        <w:t xml:space="preserve"> </w:t>
      </w:r>
      <w:r>
        <w:rPr>
          <w:rFonts w:hint="eastAsia"/>
        </w:rPr>
        <w:t>黄赤橙：《〈民法典〉第937条(物业服务合同的一般规定)评注》，载《南大法学》2025年第1期，第174-188页。</w:t>
      </w:r>
    </w:p>
  </w:footnote>
  <w:footnote w:id="14">
    <w:p w14:paraId="02813D42">
      <w:pPr>
        <w:pStyle w:val="20"/>
        <w:bidi w:val="0"/>
        <w:rPr>
          <w:rFonts w:hint="eastAsia"/>
          <w:lang w:eastAsia="zh-CN"/>
        </w:rPr>
      </w:pPr>
      <w:r>
        <w:rPr>
          <w:rStyle w:val="34"/>
        </w:rPr>
        <w:footnoteRef/>
      </w:r>
      <w:r>
        <w:t xml:space="preserve"> </w:t>
      </w:r>
      <w:r>
        <w:rPr>
          <w:rFonts w:hint="eastAsia"/>
        </w:rPr>
        <w:t>王茂刚：《业主知情权的行使与限制》，载《人民司法(案例)》2018年第23期，第63-66页</w:t>
      </w:r>
      <w:r>
        <w:rPr>
          <w:rFonts w:hint="eastAsia"/>
          <w:lang w:eastAsia="zh-CN"/>
        </w:rPr>
        <w:t>。</w:t>
      </w:r>
    </w:p>
  </w:footnote>
  <w:footnote w:id="15">
    <w:p w14:paraId="377C3B2B">
      <w:pPr>
        <w:pStyle w:val="20"/>
        <w:bidi w:val="0"/>
      </w:pPr>
      <w:r>
        <w:rPr>
          <w:rStyle w:val="34"/>
        </w:rPr>
        <w:footnoteRef/>
      </w:r>
      <w:r>
        <w:t xml:space="preserve"> </w:t>
      </w:r>
      <w:r>
        <w:rPr>
          <w:rFonts w:hint="eastAsia"/>
        </w:rPr>
        <w:t>周梅芳：《前期物业合同及物业费调价程序的效力判定》，载《人民司法(案例)》2018年第5期，第50-53页。</w:t>
      </w:r>
    </w:p>
  </w:footnote>
  <w:footnote w:id="16">
    <w:p w14:paraId="57935324">
      <w:pPr>
        <w:pStyle w:val="20"/>
        <w:bidi w:val="0"/>
      </w:pPr>
      <w:r>
        <w:rPr>
          <w:rStyle w:val="34"/>
        </w:rPr>
        <w:footnoteRef/>
      </w:r>
      <w:r>
        <w:t xml:space="preserve"> 朱虎：《分合之间：民法典中的合同任意解除权》，载《中外法学》2020年第4期，第1018-1041页。</w:t>
      </w:r>
    </w:p>
  </w:footnote>
  <w:footnote w:id="17">
    <w:p w14:paraId="57167DAC">
      <w:pPr>
        <w:pStyle w:val="20"/>
        <w:bidi w:val="0"/>
        <w:rPr>
          <w:rFonts w:hint="eastAsia"/>
          <w:lang w:eastAsia="zh-CN"/>
        </w:rPr>
      </w:pPr>
      <w:r>
        <w:rPr>
          <w:rStyle w:val="34"/>
        </w:rPr>
        <w:footnoteRef/>
      </w:r>
      <w:r>
        <w:t xml:space="preserve"> 王粟：《关于我国非诉讼纠纷解决机制的思考》，载《法制与社会》2020年第33期，第13-14页</w:t>
      </w:r>
      <w:r>
        <w:rPr>
          <w:rFonts w:hint="eastAsia"/>
          <w:lang w:eastAsia="zh-CN"/>
        </w:rPr>
        <w:t>。</w:t>
      </w:r>
    </w:p>
  </w:footnote>
  <w:footnote w:id="18">
    <w:p w14:paraId="2B2006D3">
      <w:pPr>
        <w:pStyle w:val="20"/>
        <w:bidi w:val="0"/>
      </w:pPr>
      <w:r>
        <w:rPr>
          <w:rStyle w:val="34"/>
        </w:rPr>
        <w:footnoteRef/>
      </w:r>
      <w:r>
        <w:t xml:space="preserve"> 郑峥：《物业服务合同纠纷的诉源治理：现实需求及实施路径》，载《中州学刊》2021年第11期，第59-63页。</w:t>
      </w:r>
    </w:p>
  </w:footnote>
  <w:footnote w:id="19">
    <w:p w14:paraId="266FC3A5">
      <w:pPr>
        <w:pStyle w:val="20"/>
        <w:bidi w:val="0"/>
      </w:pPr>
      <w:r>
        <w:rPr>
          <w:rStyle w:val="34"/>
        </w:rPr>
        <w:footnoteRef/>
      </w:r>
      <w:r>
        <w:t xml:space="preserve"> </w:t>
      </w:r>
      <w:r>
        <w:rPr>
          <w:rFonts w:hint="eastAsia"/>
        </w:rPr>
        <w:t>汪世荣：《“枫桥经验”预防性法律制度建设的实践及其成效》，载《政治与法律》2024年第7期，第33-43页。</w:t>
      </w:r>
    </w:p>
  </w:footnote>
  <w:footnote w:id="20">
    <w:p w14:paraId="7855354C">
      <w:pPr>
        <w:pStyle w:val="20"/>
        <w:bidi w:val="0"/>
      </w:pPr>
      <w:r>
        <w:rPr>
          <w:rStyle w:val="34"/>
        </w:rPr>
        <w:footnoteRef/>
      </w:r>
      <w:r>
        <w:t xml:space="preserve"> 董妍：《诉源治理视角下多元化纠纷解决机制的司法面向》，载《中国法治》2024年第3期，第100-105页。</w:t>
      </w:r>
    </w:p>
  </w:footnote>
  <w:footnote w:id="21">
    <w:p w14:paraId="7A382662">
      <w:pPr>
        <w:pStyle w:val="20"/>
        <w:bidi w:val="0"/>
      </w:pPr>
      <w:r>
        <w:rPr>
          <w:rStyle w:val="34"/>
        </w:rPr>
        <w:footnoteRef/>
      </w:r>
      <w:r>
        <w:t xml:space="preserve"> 李红斌：《新时代“枫桥经验”在物业纠纷多元化解中的应用——以重庆市渝北区为例》，载《住宅与房地产》2025年第13期，第45-47页。</w:t>
      </w:r>
    </w:p>
  </w:footnote>
  <w:footnote w:id="22">
    <w:p w14:paraId="60AD66E3">
      <w:pPr>
        <w:pStyle w:val="20"/>
        <w:snapToGrid w:val="0"/>
      </w:pPr>
      <w:r>
        <w:rPr>
          <w:rStyle w:val="34"/>
        </w:rPr>
        <w:footnoteRef/>
      </w:r>
      <w:r>
        <w:rPr>
          <w:rFonts w:hint="eastAsia"/>
          <w:lang w:val="en-US" w:eastAsia="zh-CN"/>
        </w:rPr>
        <w:t xml:space="preserve"> </w:t>
      </w:r>
      <w:r>
        <w:rPr>
          <w:rFonts w:hint="eastAsia"/>
        </w:rPr>
        <w:t>杨立新：《物业服务合同：从无名合同到典型合同的蜕变》，载《现代法学》2020年第4期，第9-10页。</w:t>
      </w:r>
    </w:p>
  </w:footnote>
  <w:footnote w:id="23">
    <w:p w14:paraId="2C580E30">
      <w:pPr>
        <w:pStyle w:val="20"/>
        <w:bidi w:val="0"/>
        <w:rPr>
          <w:rFonts w:hint="eastAsia"/>
          <w:lang w:eastAsia="zh-CN"/>
        </w:rPr>
      </w:pPr>
      <w:r>
        <w:rPr>
          <w:rStyle w:val="34"/>
        </w:rPr>
        <w:footnoteRef/>
      </w:r>
      <w:r>
        <w:t xml:space="preserve"> </w:t>
      </w:r>
      <w:r>
        <w:rPr>
          <w:rFonts w:hint="eastAsia"/>
        </w:rPr>
        <w:t>汪世荣：《“枫桥经验”预防性法律制度建设的实践及其成效》，载《政治与法律》2024年第7期</w:t>
      </w:r>
      <w:r>
        <w:rPr>
          <w:rFonts w:hint="eastAsia"/>
          <w:lang w:eastAsia="zh-CN"/>
        </w:rPr>
        <w:t>，第35-36页。</w:t>
      </w:r>
    </w:p>
  </w:footnote>
  <w:footnote w:id="24">
    <w:p w14:paraId="10D91674">
      <w:pPr>
        <w:pStyle w:val="20"/>
        <w:bidi w:val="0"/>
        <w:rPr>
          <w:rFonts w:hint="eastAsia"/>
          <w:lang w:eastAsia="zh-CN"/>
        </w:rPr>
      </w:pPr>
      <w:r>
        <w:rPr>
          <w:rStyle w:val="34"/>
        </w:rPr>
        <w:footnoteRef/>
      </w:r>
      <w:r>
        <w:t xml:space="preserve"> </w:t>
      </w:r>
      <w:r>
        <w:rPr>
          <w:rFonts w:hint="eastAsia"/>
        </w:rPr>
        <w:t>前文100份裁判文书样本的分类统计结果及总体分析结论</w:t>
      </w:r>
      <w:r>
        <w:rPr>
          <w:rFonts w:hint="eastAsia"/>
          <w:lang w:eastAsia="zh-CN"/>
        </w:rPr>
        <w:t>。</w:t>
      </w:r>
    </w:p>
  </w:footnote>
  <w:footnote w:id="25">
    <w:p w14:paraId="7329C2F0">
      <w:pPr>
        <w:pStyle w:val="20"/>
        <w:snapToGrid w:val="0"/>
      </w:pPr>
      <w:r>
        <w:rPr>
          <w:rStyle w:val="34"/>
        </w:rPr>
        <w:footnoteRef/>
      </w:r>
      <w:r>
        <w:t xml:space="preserve"> </w:t>
      </w:r>
      <w:r>
        <w:rPr>
          <w:rFonts w:hint="eastAsia"/>
        </w:rPr>
        <w:t>广州越秀物业发展有限公司诉林锋生物业服务合同纠纷案，广东省广州市中级人民法院（2025）粤01民终14109号民事判决书。</w:t>
      </w:r>
    </w:p>
  </w:footnote>
  <w:footnote w:id="26">
    <w:p w14:paraId="4929CCE2">
      <w:pPr>
        <w:pStyle w:val="20"/>
        <w:bidi w:val="0"/>
        <w:rPr>
          <w:rFonts w:hint="eastAsia"/>
        </w:rPr>
      </w:pPr>
      <w:r>
        <w:rPr>
          <w:rStyle w:val="34"/>
        </w:rPr>
        <w:footnoteRef/>
      </w:r>
      <w:r>
        <w:t xml:space="preserve"> </w:t>
      </w:r>
      <w:r>
        <w:rPr>
          <w:rFonts w:hint="eastAsia"/>
        </w:rPr>
        <w:t>张某等17位业主诉苏州某物业公司、某小区业主委员会业主知情权纠纷案，江苏省苏州市吴江区人民法院（2023）苏0509民初4992号民事判决书。</w:t>
      </w:r>
    </w:p>
    <w:p w14:paraId="15C3B444">
      <w:pPr>
        <w:pStyle w:val="20"/>
        <w:snapToGrid w:val="0"/>
      </w:pPr>
    </w:p>
  </w:footnote>
  <w:footnote w:id="27">
    <w:p w14:paraId="0987C59E">
      <w:pPr>
        <w:pStyle w:val="20"/>
        <w:snapToGrid w:val="0"/>
      </w:pPr>
      <w:r>
        <w:rPr>
          <w:rStyle w:val="34"/>
        </w:rPr>
        <w:footnoteRef/>
      </w:r>
      <w:r>
        <w:t xml:space="preserve"> </w:t>
      </w:r>
      <w:r>
        <w:rPr>
          <w:rFonts w:hint="eastAsia"/>
        </w:rPr>
        <w:t>彭某诉深圳市某有限公司业主知情权纠纷案，云南省嵩明县人民法院（2025）云0127民初4598号民事判决书。</w:t>
      </w:r>
    </w:p>
  </w:footnote>
  <w:footnote w:id="28">
    <w:p w14:paraId="5123069E">
      <w:pPr>
        <w:pStyle w:val="20"/>
        <w:bidi w:val="0"/>
        <w:rPr>
          <w:rFonts w:hint="default"/>
          <w:lang w:val="en-US" w:eastAsia="zh-CN"/>
        </w:rPr>
      </w:pPr>
      <w:r>
        <w:rPr>
          <w:rStyle w:val="34"/>
        </w:rPr>
        <w:footnoteRef/>
      </w:r>
      <w:r>
        <w:t xml:space="preserve"> </w:t>
      </w:r>
      <w:r>
        <w:rPr>
          <w:rFonts w:hint="eastAsia"/>
        </w:rPr>
        <w:t>广州东华物业管理有限公司诉WONG JACKSON（中文名黄继振）物业服务合同纠纷案，广东省广州市中级人民法院二审民事判决书</w:t>
      </w:r>
      <w:r>
        <w:rPr>
          <w:rFonts w:hint="eastAsia"/>
          <w:lang w:val="en-US" w:eastAsia="zh-CN"/>
        </w:rPr>
        <w:t xml:space="preserve"> (2025)粤01民终14114号</w:t>
      </w:r>
    </w:p>
  </w:footnote>
  <w:footnote w:id="29">
    <w:p w14:paraId="792446CA">
      <w:pPr>
        <w:pStyle w:val="20"/>
        <w:bidi w:val="0"/>
      </w:pPr>
      <w:r>
        <w:rPr>
          <w:rStyle w:val="34"/>
        </w:rPr>
        <w:footnoteRef/>
      </w:r>
      <w:r>
        <w:t xml:space="preserve"> </w:t>
      </w:r>
      <w:r>
        <w:rPr>
          <w:rFonts w:hint="eastAsia"/>
        </w:rPr>
        <w:t>阜新市龙胜物业管理有限责任公司诉安某物业服务合同纠纷案，辽宁省阜新市中级人民法院（2025）辽09民终1271号民事判决书。</w:t>
      </w:r>
    </w:p>
  </w:footnote>
  <w:footnote w:id="30">
    <w:p w14:paraId="0BD5E147">
      <w:pPr>
        <w:pStyle w:val="20"/>
        <w:bidi w:val="0"/>
      </w:pPr>
      <w:r>
        <w:rPr>
          <w:rStyle w:val="34"/>
        </w:rPr>
        <w:footnoteRef/>
      </w:r>
      <w:r>
        <w:t xml:space="preserve"> </w:t>
      </w:r>
      <w:r>
        <w:rPr>
          <w:rFonts w:hint="eastAsia"/>
        </w:rPr>
        <w:t>牛朋杰、井改玲诉许昌卓弘物业管理有限公司物业服务合同纠纷案，河南省许昌市魏都区人民法院（2025）豫1002民初4904号之二民事判决书。</w:t>
      </w:r>
    </w:p>
  </w:footnote>
  <w:footnote w:id="31">
    <w:p w14:paraId="7D5A0E04">
      <w:pPr>
        <w:pStyle w:val="20"/>
        <w:snapToGrid w:val="0"/>
      </w:pPr>
      <w:r>
        <w:rPr>
          <w:rStyle w:val="34"/>
        </w:rPr>
        <w:footnoteRef/>
      </w:r>
      <w:r>
        <w:t xml:space="preserve"> </w:t>
      </w:r>
      <w:r>
        <w:rPr>
          <w:rFonts w:hint="eastAsia"/>
        </w:rPr>
        <w:t>杨立新：《物业服务合同：从无名合同到典型合同的蜕变》，载《现代法学》2020年第4期，第9-10页。</w:t>
      </w:r>
    </w:p>
  </w:footnote>
  <w:footnote w:id="32">
    <w:p w14:paraId="4BF3EF73">
      <w:pPr>
        <w:pStyle w:val="20"/>
        <w:snapToGrid w:val="0"/>
        <w:rPr>
          <w:rFonts w:hint="eastAsia"/>
        </w:rPr>
      </w:pPr>
      <w:r>
        <w:rPr>
          <w:rStyle w:val="34"/>
        </w:rPr>
        <w:footnoteRef/>
      </w:r>
      <w:r>
        <w:t xml:space="preserve"> </w:t>
      </w:r>
      <w:r>
        <w:rPr>
          <w:rFonts w:hint="eastAsia"/>
        </w:rPr>
        <w:t>徐涤宇：《物业服务合同法律构造之中国模式》，载《法学研究》2021年第3期，第5-6页。</w:t>
      </w:r>
    </w:p>
  </w:footnote>
  <w:footnote w:id="33">
    <w:p w14:paraId="0B5CFFE6">
      <w:pPr>
        <w:pStyle w:val="20"/>
        <w:snapToGrid w:val="0"/>
      </w:pPr>
      <w:r>
        <w:rPr>
          <w:rStyle w:val="34"/>
        </w:rPr>
        <w:footnoteRef/>
      </w:r>
      <w:r>
        <w:rPr>
          <w:rFonts w:hint="eastAsia"/>
          <w:lang w:val="en-US" w:eastAsia="zh-CN"/>
        </w:rPr>
        <w:t xml:space="preserve"> </w:t>
      </w:r>
      <w:r>
        <w:rPr>
          <w:rFonts w:hint="eastAsia"/>
        </w:rPr>
        <w:t>周梅芳：《前期物业合同及物业费调价程序的效力判定》，载《人民司法（案例）》2018年第5期，第50-53页。</w:t>
      </w:r>
    </w:p>
  </w:footnote>
  <w:footnote w:id="34">
    <w:p w14:paraId="0BFECD92">
      <w:pPr>
        <w:pStyle w:val="20"/>
        <w:snapToGrid w:val="0"/>
      </w:pPr>
      <w:r>
        <w:rPr>
          <w:rStyle w:val="34"/>
        </w:rPr>
        <w:footnoteRef/>
      </w:r>
      <w:r>
        <w:t xml:space="preserve"> </w:t>
      </w:r>
      <w:r>
        <w:rPr>
          <w:rFonts w:hint="eastAsia"/>
        </w:rPr>
        <w:t>《住房和城乡建设部等部门关于加强和改进住宅物业管理工作的通知》，建房规〔2020〕10号。</w:t>
      </w:r>
    </w:p>
  </w:footnote>
  <w:footnote w:id="35">
    <w:p w14:paraId="7FCC5DEA">
      <w:pPr>
        <w:pStyle w:val="20"/>
        <w:bidi w:val="0"/>
      </w:pPr>
      <w:r>
        <w:rPr>
          <w:rStyle w:val="34"/>
        </w:rPr>
        <w:footnoteRef/>
      </w:r>
      <w:r>
        <w:t xml:space="preserve"> </w:t>
      </w:r>
      <w:r>
        <w:rPr>
          <w:rFonts w:hint="eastAsia"/>
        </w:rPr>
        <w:t>《破冰物业信任困局，里水成全市首批物业服务数字存证平台试点》，载佛山市人民政府官网，2025年6月24日。</w:t>
      </w:r>
    </w:p>
  </w:footnote>
  <w:footnote w:id="36">
    <w:p w14:paraId="14BA44EA">
      <w:pPr>
        <w:pStyle w:val="20"/>
        <w:bidi w:val="0"/>
      </w:pPr>
      <w:r>
        <w:rPr>
          <w:rStyle w:val="34"/>
        </w:rPr>
        <w:footnoteRef/>
      </w:r>
      <w:r>
        <w:t xml:space="preserve"> </w:t>
      </w:r>
      <w:r>
        <w:rPr>
          <w:rFonts w:hint="eastAsia"/>
        </w:rPr>
        <w:t>广东省高级人民法院、省委社会工作部、省司法厅、省住房城乡建设厅《加强物业纠纷前端治理工作备忘录》，2025年5月；中共四川省委政法委、省高级人民法院等六家省级单位《关于建立健全物业纠纷多元化解机制的工作意见》，2026年4月。</w:t>
      </w:r>
    </w:p>
  </w:footnote>
  <w:footnote w:id="37">
    <w:p w14:paraId="15B922AE">
      <w:pPr>
        <w:pStyle w:val="20"/>
        <w:bidi w:val="0"/>
        <w:rPr>
          <w:rFonts w:hint="eastAsia" w:eastAsia="宋体"/>
          <w:lang w:eastAsia="zh-CN"/>
        </w:rPr>
      </w:pPr>
      <w:r>
        <w:rPr>
          <w:rStyle w:val="34"/>
        </w:rPr>
        <w:footnoteRef/>
      </w:r>
      <w:r>
        <w:t xml:space="preserve"> </w:t>
      </w:r>
      <w:r>
        <w:rPr>
          <w:rFonts w:hint="eastAsia"/>
        </w:rPr>
        <w:t>李红斌：《新时代“枫桥经验”在物业纠纷多元化解中的应用——以重庆市渝北区为例》，载《住宅与房地产》2025年第13期，第3页</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519A">
    <w:pPr>
      <w:widowControl w:val="0"/>
      <w:pBdr>
        <w:bottom w:val="none" w:color="auto" w:sz="0" w:space="1"/>
      </w:pBdr>
      <w:snapToGrid w:val="0"/>
      <w:jc w:val="center"/>
      <w:rPr>
        <w:rFonts w:ascii="Calibri" w:hAnsi="Calibri"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E50B">
    <w:pPr>
      <w:pStyle w:val="17"/>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E74A">
    <w:pPr>
      <w:jc w:val="center"/>
    </w:pPr>
    <w:r>
      <w:rPr>
        <w:rFonts w:hint="eastAsia"/>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BCD7">
    <w:pPr>
      <w:pStyle w:val="17"/>
      <w:pBdr>
        <w:bottom w:val="none" w:color="auto" w:sz="0" w:space="1"/>
      </w:pBdr>
      <w:rPr>
        <w:snapToGrid w:val="0"/>
        <w:sz w:val="21"/>
        <w:szCs w:val="21"/>
      </w:rPr>
    </w:pPr>
    <w:r>
      <w:rPr>
        <w:rFonts w:hint="eastAsia"/>
        <w:snapToGrid w:val="0"/>
        <w:sz w:val="21"/>
        <w:szCs w:val="21"/>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6061C">
    <w:pPr>
      <w:pStyle w:val="17"/>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F841"/>
    <w:multiLevelType w:val="multilevel"/>
    <w:tmpl w:val="9AC4F841"/>
    <w:lvl w:ilvl="0" w:tentative="0">
      <w:start w:val="1"/>
      <w:numFmt w:val="chineseCounting"/>
      <w:pStyle w:val="2"/>
      <w:suff w:val="nothing"/>
      <w:lvlText w:val="%1、 "/>
      <w:lvlJc w:val="left"/>
      <w:pPr>
        <w:tabs>
          <w:tab w:val="left" w:pos="0"/>
        </w:tabs>
        <w:ind w:left="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9E53D56"/>
    <w:multiLevelType w:val="singleLevel"/>
    <w:tmpl w:val="09E53D56"/>
    <w:lvl w:ilvl="0" w:tentative="0">
      <w:start w:val="1"/>
      <w:numFmt w:val="decimal"/>
      <w:pStyle w:val="51"/>
      <w:suff w:val="nothing"/>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61"/>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footnotePr>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76B4"/>
    <w:rsid w:val="000226C7"/>
    <w:rsid w:val="0003048C"/>
    <w:rsid w:val="00061E0A"/>
    <w:rsid w:val="00093499"/>
    <w:rsid w:val="000A1727"/>
    <w:rsid w:val="000B2952"/>
    <w:rsid w:val="000C02E0"/>
    <w:rsid w:val="00103E7F"/>
    <w:rsid w:val="001044CA"/>
    <w:rsid w:val="0010579D"/>
    <w:rsid w:val="00121771"/>
    <w:rsid w:val="00127DFF"/>
    <w:rsid w:val="001612B3"/>
    <w:rsid w:val="00172A27"/>
    <w:rsid w:val="0018098B"/>
    <w:rsid w:val="00183864"/>
    <w:rsid w:val="00183951"/>
    <w:rsid w:val="0019720F"/>
    <w:rsid w:val="001A626E"/>
    <w:rsid w:val="001D52B4"/>
    <w:rsid w:val="001E21FE"/>
    <w:rsid w:val="00231931"/>
    <w:rsid w:val="002455FD"/>
    <w:rsid w:val="0025421E"/>
    <w:rsid w:val="00261B72"/>
    <w:rsid w:val="0026762B"/>
    <w:rsid w:val="00294992"/>
    <w:rsid w:val="002B76AC"/>
    <w:rsid w:val="002C1133"/>
    <w:rsid w:val="002E53F3"/>
    <w:rsid w:val="00312A6F"/>
    <w:rsid w:val="003226B5"/>
    <w:rsid w:val="00353C8F"/>
    <w:rsid w:val="00353CA1"/>
    <w:rsid w:val="0036181E"/>
    <w:rsid w:val="00365EBE"/>
    <w:rsid w:val="0036667C"/>
    <w:rsid w:val="003B05A6"/>
    <w:rsid w:val="003D49F4"/>
    <w:rsid w:val="003F7931"/>
    <w:rsid w:val="0040113D"/>
    <w:rsid w:val="00402F48"/>
    <w:rsid w:val="004223E9"/>
    <w:rsid w:val="004374EB"/>
    <w:rsid w:val="0044451B"/>
    <w:rsid w:val="00464E7C"/>
    <w:rsid w:val="0047365A"/>
    <w:rsid w:val="0048644B"/>
    <w:rsid w:val="00491F6F"/>
    <w:rsid w:val="00492A05"/>
    <w:rsid w:val="004C055C"/>
    <w:rsid w:val="004D4909"/>
    <w:rsid w:val="004D5D9D"/>
    <w:rsid w:val="004E649B"/>
    <w:rsid w:val="004F4C43"/>
    <w:rsid w:val="00537CF0"/>
    <w:rsid w:val="005727B2"/>
    <w:rsid w:val="0057691A"/>
    <w:rsid w:val="00583DF6"/>
    <w:rsid w:val="00597D9C"/>
    <w:rsid w:val="005A4EF0"/>
    <w:rsid w:val="005E00DB"/>
    <w:rsid w:val="005F32E4"/>
    <w:rsid w:val="005F5E76"/>
    <w:rsid w:val="00605BFF"/>
    <w:rsid w:val="00617910"/>
    <w:rsid w:val="00626DA5"/>
    <w:rsid w:val="006322C9"/>
    <w:rsid w:val="006453F6"/>
    <w:rsid w:val="00645760"/>
    <w:rsid w:val="00674332"/>
    <w:rsid w:val="006820F4"/>
    <w:rsid w:val="00686D55"/>
    <w:rsid w:val="006870EC"/>
    <w:rsid w:val="006A17A8"/>
    <w:rsid w:val="006F6353"/>
    <w:rsid w:val="007008AA"/>
    <w:rsid w:val="00725218"/>
    <w:rsid w:val="0073164B"/>
    <w:rsid w:val="00731C3B"/>
    <w:rsid w:val="0076021E"/>
    <w:rsid w:val="007663CA"/>
    <w:rsid w:val="007A0628"/>
    <w:rsid w:val="007B4D92"/>
    <w:rsid w:val="007C1FF5"/>
    <w:rsid w:val="007D2E65"/>
    <w:rsid w:val="007E612A"/>
    <w:rsid w:val="0080461F"/>
    <w:rsid w:val="00832989"/>
    <w:rsid w:val="00837D2D"/>
    <w:rsid w:val="00844523"/>
    <w:rsid w:val="00865A26"/>
    <w:rsid w:val="008745AB"/>
    <w:rsid w:val="00891804"/>
    <w:rsid w:val="008C52B3"/>
    <w:rsid w:val="008E2E7A"/>
    <w:rsid w:val="008F6FA8"/>
    <w:rsid w:val="0092089F"/>
    <w:rsid w:val="00926FD5"/>
    <w:rsid w:val="00945496"/>
    <w:rsid w:val="009478B3"/>
    <w:rsid w:val="00971F1D"/>
    <w:rsid w:val="00995CBF"/>
    <w:rsid w:val="00A054A9"/>
    <w:rsid w:val="00A26653"/>
    <w:rsid w:val="00A42939"/>
    <w:rsid w:val="00A54A07"/>
    <w:rsid w:val="00A702D8"/>
    <w:rsid w:val="00A76622"/>
    <w:rsid w:val="00A96635"/>
    <w:rsid w:val="00AB44A9"/>
    <w:rsid w:val="00AC4F55"/>
    <w:rsid w:val="00AD38B2"/>
    <w:rsid w:val="00AD66F4"/>
    <w:rsid w:val="00AE78AB"/>
    <w:rsid w:val="00B04658"/>
    <w:rsid w:val="00B7757A"/>
    <w:rsid w:val="00B82570"/>
    <w:rsid w:val="00B9653C"/>
    <w:rsid w:val="00BB36DB"/>
    <w:rsid w:val="00BF0445"/>
    <w:rsid w:val="00BF1015"/>
    <w:rsid w:val="00BF4559"/>
    <w:rsid w:val="00C5794C"/>
    <w:rsid w:val="00C6006F"/>
    <w:rsid w:val="00C75142"/>
    <w:rsid w:val="00C7570E"/>
    <w:rsid w:val="00C76FB7"/>
    <w:rsid w:val="00C97830"/>
    <w:rsid w:val="00CB5153"/>
    <w:rsid w:val="00CF4D2F"/>
    <w:rsid w:val="00D142B6"/>
    <w:rsid w:val="00D21A61"/>
    <w:rsid w:val="00D26226"/>
    <w:rsid w:val="00D40140"/>
    <w:rsid w:val="00D44DE2"/>
    <w:rsid w:val="00D714C2"/>
    <w:rsid w:val="00DC3875"/>
    <w:rsid w:val="00DD3B2D"/>
    <w:rsid w:val="00E06A3B"/>
    <w:rsid w:val="00E07561"/>
    <w:rsid w:val="00E14267"/>
    <w:rsid w:val="00E21D36"/>
    <w:rsid w:val="00E27B94"/>
    <w:rsid w:val="00E5563D"/>
    <w:rsid w:val="00E57544"/>
    <w:rsid w:val="00E677B5"/>
    <w:rsid w:val="00E71C73"/>
    <w:rsid w:val="00E76F39"/>
    <w:rsid w:val="00E77A8E"/>
    <w:rsid w:val="00E90635"/>
    <w:rsid w:val="00E91DC1"/>
    <w:rsid w:val="00E927E6"/>
    <w:rsid w:val="00EA126C"/>
    <w:rsid w:val="00EC1385"/>
    <w:rsid w:val="00EC1608"/>
    <w:rsid w:val="00EC1CDE"/>
    <w:rsid w:val="00F51EC1"/>
    <w:rsid w:val="00F57736"/>
    <w:rsid w:val="00F66E7D"/>
    <w:rsid w:val="00F7586E"/>
    <w:rsid w:val="00FB014C"/>
    <w:rsid w:val="00FB36CC"/>
    <w:rsid w:val="00FF0229"/>
    <w:rsid w:val="00FF2B67"/>
    <w:rsid w:val="011A1B82"/>
    <w:rsid w:val="013656FC"/>
    <w:rsid w:val="01397442"/>
    <w:rsid w:val="01582E90"/>
    <w:rsid w:val="01944C66"/>
    <w:rsid w:val="01A2386D"/>
    <w:rsid w:val="01AF28D7"/>
    <w:rsid w:val="01B22FF0"/>
    <w:rsid w:val="01BB2C92"/>
    <w:rsid w:val="01FE6BD3"/>
    <w:rsid w:val="01FF06AC"/>
    <w:rsid w:val="020379CE"/>
    <w:rsid w:val="02122738"/>
    <w:rsid w:val="02143CD5"/>
    <w:rsid w:val="021A27D2"/>
    <w:rsid w:val="021D3C05"/>
    <w:rsid w:val="022278B2"/>
    <w:rsid w:val="022E07BF"/>
    <w:rsid w:val="02BE10CC"/>
    <w:rsid w:val="02CA5022"/>
    <w:rsid w:val="02CA5F3A"/>
    <w:rsid w:val="02E25A03"/>
    <w:rsid w:val="030A6706"/>
    <w:rsid w:val="03271846"/>
    <w:rsid w:val="032C5FC0"/>
    <w:rsid w:val="033E071B"/>
    <w:rsid w:val="03521A83"/>
    <w:rsid w:val="035E32C9"/>
    <w:rsid w:val="0373465F"/>
    <w:rsid w:val="0379027C"/>
    <w:rsid w:val="03790580"/>
    <w:rsid w:val="037E2547"/>
    <w:rsid w:val="03857086"/>
    <w:rsid w:val="03934231"/>
    <w:rsid w:val="0396631A"/>
    <w:rsid w:val="03B35690"/>
    <w:rsid w:val="03BF0DB3"/>
    <w:rsid w:val="03C03826"/>
    <w:rsid w:val="03DA3D37"/>
    <w:rsid w:val="03DB41BC"/>
    <w:rsid w:val="03FF09EF"/>
    <w:rsid w:val="040D6820"/>
    <w:rsid w:val="041617C1"/>
    <w:rsid w:val="0426586F"/>
    <w:rsid w:val="04284F5F"/>
    <w:rsid w:val="043664B6"/>
    <w:rsid w:val="043769F9"/>
    <w:rsid w:val="0442423B"/>
    <w:rsid w:val="044F2C20"/>
    <w:rsid w:val="04575034"/>
    <w:rsid w:val="04622EAA"/>
    <w:rsid w:val="04677A9E"/>
    <w:rsid w:val="04731B5B"/>
    <w:rsid w:val="04762AE0"/>
    <w:rsid w:val="04770561"/>
    <w:rsid w:val="048C4C83"/>
    <w:rsid w:val="04915053"/>
    <w:rsid w:val="049F168E"/>
    <w:rsid w:val="04C47A45"/>
    <w:rsid w:val="04D12EE4"/>
    <w:rsid w:val="04FD5870"/>
    <w:rsid w:val="05123ADE"/>
    <w:rsid w:val="0536769E"/>
    <w:rsid w:val="0557355F"/>
    <w:rsid w:val="056D7096"/>
    <w:rsid w:val="058B0485"/>
    <w:rsid w:val="05A675C7"/>
    <w:rsid w:val="05FB71FB"/>
    <w:rsid w:val="05FC02D3"/>
    <w:rsid w:val="05FD699E"/>
    <w:rsid w:val="05FF20B9"/>
    <w:rsid w:val="060602D8"/>
    <w:rsid w:val="062C6F51"/>
    <w:rsid w:val="06521A0C"/>
    <w:rsid w:val="06565574"/>
    <w:rsid w:val="065A13C7"/>
    <w:rsid w:val="065C266F"/>
    <w:rsid w:val="06623584"/>
    <w:rsid w:val="067D6372"/>
    <w:rsid w:val="06823015"/>
    <w:rsid w:val="06AB3C4A"/>
    <w:rsid w:val="06AB669A"/>
    <w:rsid w:val="06DF54E8"/>
    <w:rsid w:val="06E21788"/>
    <w:rsid w:val="06EE5BA7"/>
    <w:rsid w:val="06F166AB"/>
    <w:rsid w:val="070E7D3C"/>
    <w:rsid w:val="07126147"/>
    <w:rsid w:val="07171DAE"/>
    <w:rsid w:val="071B7485"/>
    <w:rsid w:val="073A689E"/>
    <w:rsid w:val="076A69D9"/>
    <w:rsid w:val="076C72BA"/>
    <w:rsid w:val="077522AE"/>
    <w:rsid w:val="0786149F"/>
    <w:rsid w:val="078A4C58"/>
    <w:rsid w:val="079D34BC"/>
    <w:rsid w:val="07A50719"/>
    <w:rsid w:val="07A6619A"/>
    <w:rsid w:val="07B436A2"/>
    <w:rsid w:val="07C3354C"/>
    <w:rsid w:val="080055AF"/>
    <w:rsid w:val="08096ED2"/>
    <w:rsid w:val="081A21FF"/>
    <w:rsid w:val="084C24A9"/>
    <w:rsid w:val="08535187"/>
    <w:rsid w:val="085865D5"/>
    <w:rsid w:val="08847F54"/>
    <w:rsid w:val="08874912"/>
    <w:rsid w:val="088F199B"/>
    <w:rsid w:val="0893113E"/>
    <w:rsid w:val="089734BB"/>
    <w:rsid w:val="08A57F7C"/>
    <w:rsid w:val="08A756F4"/>
    <w:rsid w:val="08BB5CE2"/>
    <w:rsid w:val="08BE4A24"/>
    <w:rsid w:val="08DF02AB"/>
    <w:rsid w:val="08E86AFA"/>
    <w:rsid w:val="08EA07A4"/>
    <w:rsid w:val="09830AC0"/>
    <w:rsid w:val="098C3315"/>
    <w:rsid w:val="09BC3668"/>
    <w:rsid w:val="09D01723"/>
    <w:rsid w:val="09E65ED1"/>
    <w:rsid w:val="0A037886"/>
    <w:rsid w:val="0A2B3C75"/>
    <w:rsid w:val="0A5C0894"/>
    <w:rsid w:val="0A621193"/>
    <w:rsid w:val="0A820AE1"/>
    <w:rsid w:val="0A830DC8"/>
    <w:rsid w:val="0A833B0A"/>
    <w:rsid w:val="0AD52878"/>
    <w:rsid w:val="0AE11493"/>
    <w:rsid w:val="0AFA0790"/>
    <w:rsid w:val="0B154BBD"/>
    <w:rsid w:val="0B177D20"/>
    <w:rsid w:val="0B24469B"/>
    <w:rsid w:val="0B347A49"/>
    <w:rsid w:val="0B5B1AAE"/>
    <w:rsid w:val="0B816BAB"/>
    <w:rsid w:val="0B9744C6"/>
    <w:rsid w:val="0BA16207"/>
    <w:rsid w:val="0BB66944"/>
    <w:rsid w:val="0BCF567D"/>
    <w:rsid w:val="0BE90AC2"/>
    <w:rsid w:val="0C1F2B7C"/>
    <w:rsid w:val="0C22507E"/>
    <w:rsid w:val="0C3D67FB"/>
    <w:rsid w:val="0C3F7BB0"/>
    <w:rsid w:val="0C747086"/>
    <w:rsid w:val="0C866D11"/>
    <w:rsid w:val="0C9F3310"/>
    <w:rsid w:val="0CB07405"/>
    <w:rsid w:val="0CB952B6"/>
    <w:rsid w:val="0CC766B0"/>
    <w:rsid w:val="0D192D09"/>
    <w:rsid w:val="0D325B99"/>
    <w:rsid w:val="0D511890"/>
    <w:rsid w:val="0D536036"/>
    <w:rsid w:val="0D5A2878"/>
    <w:rsid w:val="0D615C08"/>
    <w:rsid w:val="0D744D72"/>
    <w:rsid w:val="0D775417"/>
    <w:rsid w:val="0D790AD4"/>
    <w:rsid w:val="0D9A6E96"/>
    <w:rsid w:val="0DB4683B"/>
    <w:rsid w:val="0DB90694"/>
    <w:rsid w:val="0DBC35CF"/>
    <w:rsid w:val="0DC07858"/>
    <w:rsid w:val="0DDE5050"/>
    <w:rsid w:val="0DE70C46"/>
    <w:rsid w:val="0DF43997"/>
    <w:rsid w:val="0DF62C9E"/>
    <w:rsid w:val="0DFF5585"/>
    <w:rsid w:val="0E4833FA"/>
    <w:rsid w:val="0E54502B"/>
    <w:rsid w:val="0E6E2FDE"/>
    <w:rsid w:val="0E8335E0"/>
    <w:rsid w:val="0EAB02D8"/>
    <w:rsid w:val="0EFC41A3"/>
    <w:rsid w:val="0F261F26"/>
    <w:rsid w:val="0F6159BE"/>
    <w:rsid w:val="0F670FFA"/>
    <w:rsid w:val="0F763E6D"/>
    <w:rsid w:val="0F9C6171"/>
    <w:rsid w:val="0F9F231C"/>
    <w:rsid w:val="0FB107CE"/>
    <w:rsid w:val="0FC11AFA"/>
    <w:rsid w:val="0FFE2FE6"/>
    <w:rsid w:val="0FFE3B92"/>
    <w:rsid w:val="101B45FA"/>
    <w:rsid w:val="102218E0"/>
    <w:rsid w:val="10281E12"/>
    <w:rsid w:val="104135F9"/>
    <w:rsid w:val="1041483A"/>
    <w:rsid w:val="10506EFD"/>
    <w:rsid w:val="105D5064"/>
    <w:rsid w:val="108302CF"/>
    <w:rsid w:val="10A037AC"/>
    <w:rsid w:val="10AA5342"/>
    <w:rsid w:val="10BA7EBA"/>
    <w:rsid w:val="10C36704"/>
    <w:rsid w:val="10E932A7"/>
    <w:rsid w:val="11014AD9"/>
    <w:rsid w:val="114D6C5F"/>
    <w:rsid w:val="116223F5"/>
    <w:rsid w:val="11647E15"/>
    <w:rsid w:val="1190799A"/>
    <w:rsid w:val="119F7873"/>
    <w:rsid w:val="11AC6C29"/>
    <w:rsid w:val="11B04EDA"/>
    <w:rsid w:val="11C60F64"/>
    <w:rsid w:val="11CA4D29"/>
    <w:rsid w:val="11E6296C"/>
    <w:rsid w:val="12255A8E"/>
    <w:rsid w:val="12527D3F"/>
    <w:rsid w:val="128E0642"/>
    <w:rsid w:val="12D422E3"/>
    <w:rsid w:val="131C1745"/>
    <w:rsid w:val="13232374"/>
    <w:rsid w:val="13363108"/>
    <w:rsid w:val="13513E01"/>
    <w:rsid w:val="136150DD"/>
    <w:rsid w:val="136E1ECF"/>
    <w:rsid w:val="13734750"/>
    <w:rsid w:val="137B2A03"/>
    <w:rsid w:val="138137F3"/>
    <w:rsid w:val="13935BE9"/>
    <w:rsid w:val="13AA5959"/>
    <w:rsid w:val="13AD41C0"/>
    <w:rsid w:val="13B61C63"/>
    <w:rsid w:val="13E93D8C"/>
    <w:rsid w:val="13ED66B2"/>
    <w:rsid w:val="13F83651"/>
    <w:rsid w:val="14074B59"/>
    <w:rsid w:val="14224495"/>
    <w:rsid w:val="14263231"/>
    <w:rsid w:val="143D7907"/>
    <w:rsid w:val="14B9429A"/>
    <w:rsid w:val="14BB0716"/>
    <w:rsid w:val="14D84EE2"/>
    <w:rsid w:val="14E37DDB"/>
    <w:rsid w:val="15080B89"/>
    <w:rsid w:val="15174D00"/>
    <w:rsid w:val="15511CF9"/>
    <w:rsid w:val="15632BBE"/>
    <w:rsid w:val="157E577E"/>
    <w:rsid w:val="158365BF"/>
    <w:rsid w:val="15861B5E"/>
    <w:rsid w:val="159A3ED7"/>
    <w:rsid w:val="15BE23EA"/>
    <w:rsid w:val="15C54CCC"/>
    <w:rsid w:val="15FA29B3"/>
    <w:rsid w:val="162C2B0A"/>
    <w:rsid w:val="164053BC"/>
    <w:rsid w:val="16561BC2"/>
    <w:rsid w:val="166C0353"/>
    <w:rsid w:val="16992920"/>
    <w:rsid w:val="16BB6AF3"/>
    <w:rsid w:val="16BD5E27"/>
    <w:rsid w:val="16D32075"/>
    <w:rsid w:val="16D915C0"/>
    <w:rsid w:val="16FC40B2"/>
    <w:rsid w:val="171E52B0"/>
    <w:rsid w:val="17312619"/>
    <w:rsid w:val="176231EC"/>
    <w:rsid w:val="17685577"/>
    <w:rsid w:val="17F40ED7"/>
    <w:rsid w:val="17F515F6"/>
    <w:rsid w:val="17FC4009"/>
    <w:rsid w:val="183B16CB"/>
    <w:rsid w:val="184A4865"/>
    <w:rsid w:val="184D2540"/>
    <w:rsid w:val="1851724E"/>
    <w:rsid w:val="188B21ED"/>
    <w:rsid w:val="189179DC"/>
    <w:rsid w:val="18A07E26"/>
    <w:rsid w:val="18DF7738"/>
    <w:rsid w:val="18F32AFF"/>
    <w:rsid w:val="19042D9A"/>
    <w:rsid w:val="19166537"/>
    <w:rsid w:val="19285748"/>
    <w:rsid w:val="19683FBD"/>
    <w:rsid w:val="1969364A"/>
    <w:rsid w:val="196F4647"/>
    <w:rsid w:val="197468D1"/>
    <w:rsid w:val="197B045A"/>
    <w:rsid w:val="198A5B72"/>
    <w:rsid w:val="19A37420"/>
    <w:rsid w:val="19C00F4E"/>
    <w:rsid w:val="19C56C72"/>
    <w:rsid w:val="19C9433F"/>
    <w:rsid w:val="19CD1A9E"/>
    <w:rsid w:val="19CD785E"/>
    <w:rsid w:val="19E13681"/>
    <w:rsid w:val="19E845BF"/>
    <w:rsid w:val="1A1409D8"/>
    <w:rsid w:val="1A1E6D69"/>
    <w:rsid w:val="1A202A12"/>
    <w:rsid w:val="1A445924"/>
    <w:rsid w:val="1A466A63"/>
    <w:rsid w:val="1A4B3AB3"/>
    <w:rsid w:val="1A4E2CDB"/>
    <w:rsid w:val="1A56742D"/>
    <w:rsid w:val="1A5A58C9"/>
    <w:rsid w:val="1A5F0EA6"/>
    <w:rsid w:val="1A620D3B"/>
    <w:rsid w:val="1A7620CB"/>
    <w:rsid w:val="1A8352CB"/>
    <w:rsid w:val="1A996BA6"/>
    <w:rsid w:val="1AC474F7"/>
    <w:rsid w:val="1ACF393C"/>
    <w:rsid w:val="1AD7565F"/>
    <w:rsid w:val="1B24793F"/>
    <w:rsid w:val="1B3C357F"/>
    <w:rsid w:val="1B6539B9"/>
    <w:rsid w:val="1B764DF0"/>
    <w:rsid w:val="1B7D52F4"/>
    <w:rsid w:val="1BCA05D0"/>
    <w:rsid w:val="1BE82569"/>
    <w:rsid w:val="1BF260EF"/>
    <w:rsid w:val="1BF47159"/>
    <w:rsid w:val="1C024980"/>
    <w:rsid w:val="1C0A168B"/>
    <w:rsid w:val="1C1A58AA"/>
    <w:rsid w:val="1C3D34E0"/>
    <w:rsid w:val="1C444B9D"/>
    <w:rsid w:val="1C6A0474"/>
    <w:rsid w:val="1C993997"/>
    <w:rsid w:val="1CBF572F"/>
    <w:rsid w:val="1CD57DB0"/>
    <w:rsid w:val="1CF65792"/>
    <w:rsid w:val="1D1E1851"/>
    <w:rsid w:val="1D285900"/>
    <w:rsid w:val="1D2F3506"/>
    <w:rsid w:val="1D330575"/>
    <w:rsid w:val="1D36110B"/>
    <w:rsid w:val="1D3F7112"/>
    <w:rsid w:val="1D5D4C3D"/>
    <w:rsid w:val="1D5E44DD"/>
    <w:rsid w:val="1D6C19D4"/>
    <w:rsid w:val="1D841B13"/>
    <w:rsid w:val="1D84707B"/>
    <w:rsid w:val="1D8A1DEB"/>
    <w:rsid w:val="1D9F6054"/>
    <w:rsid w:val="1DFE1717"/>
    <w:rsid w:val="1E0B32C6"/>
    <w:rsid w:val="1E195BB5"/>
    <w:rsid w:val="1E37759A"/>
    <w:rsid w:val="1E3B5525"/>
    <w:rsid w:val="1E6131E6"/>
    <w:rsid w:val="1E944947"/>
    <w:rsid w:val="1E957931"/>
    <w:rsid w:val="1EC02562"/>
    <w:rsid w:val="1ED008B6"/>
    <w:rsid w:val="1EFA1543"/>
    <w:rsid w:val="1EFD771A"/>
    <w:rsid w:val="1F004D05"/>
    <w:rsid w:val="1F144E16"/>
    <w:rsid w:val="1F520CB4"/>
    <w:rsid w:val="1F672A94"/>
    <w:rsid w:val="1F6B6F1B"/>
    <w:rsid w:val="1F9F1DDC"/>
    <w:rsid w:val="1FA05708"/>
    <w:rsid w:val="1FA26389"/>
    <w:rsid w:val="1FB63CEA"/>
    <w:rsid w:val="1FDB15A2"/>
    <w:rsid w:val="1FE20A88"/>
    <w:rsid w:val="1FE50445"/>
    <w:rsid w:val="1FF77BBD"/>
    <w:rsid w:val="20071355"/>
    <w:rsid w:val="200B429D"/>
    <w:rsid w:val="203D39F0"/>
    <w:rsid w:val="20546E99"/>
    <w:rsid w:val="209B424A"/>
    <w:rsid w:val="20A03A95"/>
    <w:rsid w:val="20AC73F2"/>
    <w:rsid w:val="20BF691C"/>
    <w:rsid w:val="20C65ED3"/>
    <w:rsid w:val="20C703C4"/>
    <w:rsid w:val="20C813D6"/>
    <w:rsid w:val="20EF6FFB"/>
    <w:rsid w:val="20FA3A7C"/>
    <w:rsid w:val="210466A8"/>
    <w:rsid w:val="21432E4B"/>
    <w:rsid w:val="21452EA3"/>
    <w:rsid w:val="217277AC"/>
    <w:rsid w:val="219519F6"/>
    <w:rsid w:val="21962D28"/>
    <w:rsid w:val="21A03638"/>
    <w:rsid w:val="21A04E46"/>
    <w:rsid w:val="21BC1EBC"/>
    <w:rsid w:val="21D844EB"/>
    <w:rsid w:val="21E97C4B"/>
    <w:rsid w:val="21F93D33"/>
    <w:rsid w:val="21FC7D50"/>
    <w:rsid w:val="2244798B"/>
    <w:rsid w:val="224B3F7D"/>
    <w:rsid w:val="22533211"/>
    <w:rsid w:val="22A918EC"/>
    <w:rsid w:val="22A93DE0"/>
    <w:rsid w:val="22D304FC"/>
    <w:rsid w:val="22E3426D"/>
    <w:rsid w:val="22E9551F"/>
    <w:rsid w:val="22EA5D72"/>
    <w:rsid w:val="23095A19"/>
    <w:rsid w:val="23196482"/>
    <w:rsid w:val="233114AC"/>
    <w:rsid w:val="23372DE1"/>
    <w:rsid w:val="233F2E95"/>
    <w:rsid w:val="234E3B17"/>
    <w:rsid w:val="234E4553"/>
    <w:rsid w:val="235314B4"/>
    <w:rsid w:val="235F5B97"/>
    <w:rsid w:val="237F064A"/>
    <w:rsid w:val="23B32B1E"/>
    <w:rsid w:val="23C70504"/>
    <w:rsid w:val="23F85ED1"/>
    <w:rsid w:val="24172FDD"/>
    <w:rsid w:val="24293B8D"/>
    <w:rsid w:val="242B4398"/>
    <w:rsid w:val="2443373D"/>
    <w:rsid w:val="24473C5E"/>
    <w:rsid w:val="246E6C75"/>
    <w:rsid w:val="24814DE7"/>
    <w:rsid w:val="24A03FA5"/>
    <w:rsid w:val="24A37128"/>
    <w:rsid w:val="24AB32DF"/>
    <w:rsid w:val="24AD2BB7"/>
    <w:rsid w:val="24CF75B1"/>
    <w:rsid w:val="24EB0BA1"/>
    <w:rsid w:val="24FF3FBE"/>
    <w:rsid w:val="250270D8"/>
    <w:rsid w:val="250824EA"/>
    <w:rsid w:val="25595D41"/>
    <w:rsid w:val="25625496"/>
    <w:rsid w:val="25707940"/>
    <w:rsid w:val="257D0110"/>
    <w:rsid w:val="25AA3254"/>
    <w:rsid w:val="25AB5873"/>
    <w:rsid w:val="25B67243"/>
    <w:rsid w:val="25C275B3"/>
    <w:rsid w:val="25C617C9"/>
    <w:rsid w:val="25EB634E"/>
    <w:rsid w:val="2652435A"/>
    <w:rsid w:val="26604706"/>
    <w:rsid w:val="2671536A"/>
    <w:rsid w:val="26794191"/>
    <w:rsid w:val="268402B1"/>
    <w:rsid w:val="26AD2A00"/>
    <w:rsid w:val="26E75774"/>
    <w:rsid w:val="26EF5511"/>
    <w:rsid w:val="26FB0042"/>
    <w:rsid w:val="27035FB7"/>
    <w:rsid w:val="27066224"/>
    <w:rsid w:val="271021CC"/>
    <w:rsid w:val="2720585F"/>
    <w:rsid w:val="27373D28"/>
    <w:rsid w:val="274441F8"/>
    <w:rsid w:val="27466F3A"/>
    <w:rsid w:val="276A7481"/>
    <w:rsid w:val="27A57E24"/>
    <w:rsid w:val="27A77E5B"/>
    <w:rsid w:val="27AD64DB"/>
    <w:rsid w:val="27B87406"/>
    <w:rsid w:val="27E6008F"/>
    <w:rsid w:val="281B09D9"/>
    <w:rsid w:val="281E2746"/>
    <w:rsid w:val="28441A23"/>
    <w:rsid w:val="28557849"/>
    <w:rsid w:val="2857083D"/>
    <w:rsid w:val="28697A58"/>
    <w:rsid w:val="28762BC2"/>
    <w:rsid w:val="287967F4"/>
    <w:rsid w:val="287B1CF7"/>
    <w:rsid w:val="287F243A"/>
    <w:rsid w:val="288152C7"/>
    <w:rsid w:val="288E5A1C"/>
    <w:rsid w:val="28913E9A"/>
    <w:rsid w:val="29315FA2"/>
    <w:rsid w:val="29404C43"/>
    <w:rsid w:val="29454F80"/>
    <w:rsid w:val="294C0238"/>
    <w:rsid w:val="29552CDF"/>
    <w:rsid w:val="29644206"/>
    <w:rsid w:val="297E7214"/>
    <w:rsid w:val="29A24CB1"/>
    <w:rsid w:val="29C27A8F"/>
    <w:rsid w:val="29CA4207"/>
    <w:rsid w:val="29D77C6B"/>
    <w:rsid w:val="29FA4AED"/>
    <w:rsid w:val="29FE7D2A"/>
    <w:rsid w:val="2A020879"/>
    <w:rsid w:val="2A2F2642"/>
    <w:rsid w:val="2A465F84"/>
    <w:rsid w:val="2A6E5995"/>
    <w:rsid w:val="2A8B7393"/>
    <w:rsid w:val="2A94130D"/>
    <w:rsid w:val="2A990822"/>
    <w:rsid w:val="2AA66E18"/>
    <w:rsid w:val="2AAB35FB"/>
    <w:rsid w:val="2ACD7048"/>
    <w:rsid w:val="2AF92FF6"/>
    <w:rsid w:val="2B1A67F6"/>
    <w:rsid w:val="2B2E75CF"/>
    <w:rsid w:val="2B611ABA"/>
    <w:rsid w:val="2B62753C"/>
    <w:rsid w:val="2B7164D1"/>
    <w:rsid w:val="2B7938DE"/>
    <w:rsid w:val="2B880C5D"/>
    <w:rsid w:val="2BA34F9F"/>
    <w:rsid w:val="2BB846C7"/>
    <w:rsid w:val="2BE46F8D"/>
    <w:rsid w:val="2C0A6A50"/>
    <w:rsid w:val="2C1209FF"/>
    <w:rsid w:val="2C12605B"/>
    <w:rsid w:val="2C2E5A75"/>
    <w:rsid w:val="2C3A44F5"/>
    <w:rsid w:val="2C5F169B"/>
    <w:rsid w:val="2C6328DE"/>
    <w:rsid w:val="2C7D570A"/>
    <w:rsid w:val="2C882884"/>
    <w:rsid w:val="2CD93595"/>
    <w:rsid w:val="2CDE3F21"/>
    <w:rsid w:val="2D083382"/>
    <w:rsid w:val="2D0A07F1"/>
    <w:rsid w:val="2D183950"/>
    <w:rsid w:val="2D2D6F87"/>
    <w:rsid w:val="2D2F4F77"/>
    <w:rsid w:val="2D306A77"/>
    <w:rsid w:val="2D682D5F"/>
    <w:rsid w:val="2D6E3A7E"/>
    <w:rsid w:val="2D7C30AE"/>
    <w:rsid w:val="2DB505DA"/>
    <w:rsid w:val="2DD02BDD"/>
    <w:rsid w:val="2DE53D06"/>
    <w:rsid w:val="2E3E7D62"/>
    <w:rsid w:val="2E50690A"/>
    <w:rsid w:val="2E652F92"/>
    <w:rsid w:val="2E8B5D1F"/>
    <w:rsid w:val="2EAF4531"/>
    <w:rsid w:val="2EBB5FB9"/>
    <w:rsid w:val="2EC40E47"/>
    <w:rsid w:val="2F116190"/>
    <w:rsid w:val="2F141ECB"/>
    <w:rsid w:val="2F266A26"/>
    <w:rsid w:val="2F271B87"/>
    <w:rsid w:val="2F4F2815"/>
    <w:rsid w:val="2F67629F"/>
    <w:rsid w:val="2F75753F"/>
    <w:rsid w:val="2F7B047E"/>
    <w:rsid w:val="2F8630D7"/>
    <w:rsid w:val="2F921632"/>
    <w:rsid w:val="2FCE74D7"/>
    <w:rsid w:val="2FE62715"/>
    <w:rsid w:val="2FFD1776"/>
    <w:rsid w:val="300D65A9"/>
    <w:rsid w:val="30164F71"/>
    <w:rsid w:val="30357A05"/>
    <w:rsid w:val="30486A45"/>
    <w:rsid w:val="3056693D"/>
    <w:rsid w:val="305C56E5"/>
    <w:rsid w:val="30685E19"/>
    <w:rsid w:val="307F317A"/>
    <w:rsid w:val="30A61108"/>
    <w:rsid w:val="30B515F7"/>
    <w:rsid w:val="30EC45AA"/>
    <w:rsid w:val="30F2169A"/>
    <w:rsid w:val="313E7E48"/>
    <w:rsid w:val="31551635"/>
    <w:rsid w:val="31580EEF"/>
    <w:rsid w:val="31BD1969"/>
    <w:rsid w:val="31C942C0"/>
    <w:rsid w:val="31DB16A7"/>
    <w:rsid w:val="31E02916"/>
    <w:rsid w:val="31FB4EC3"/>
    <w:rsid w:val="31FC5542"/>
    <w:rsid w:val="31FE339E"/>
    <w:rsid w:val="320D55D9"/>
    <w:rsid w:val="32146967"/>
    <w:rsid w:val="32225249"/>
    <w:rsid w:val="324270F1"/>
    <w:rsid w:val="32A43020"/>
    <w:rsid w:val="32C94257"/>
    <w:rsid w:val="32EC0305"/>
    <w:rsid w:val="33082D45"/>
    <w:rsid w:val="331F61ED"/>
    <w:rsid w:val="33244184"/>
    <w:rsid w:val="3344783E"/>
    <w:rsid w:val="334D0CB7"/>
    <w:rsid w:val="336D685E"/>
    <w:rsid w:val="338E32D5"/>
    <w:rsid w:val="33D13AA1"/>
    <w:rsid w:val="33D8341D"/>
    <w:rsid w:val="33E22AAC"/>
    <w:rsid w:val="33EB36E4"/>
    <w:rsid w:val="33EF2449"/>
    <w:rsid w:val="33F21A47"/>
    <w:rsid w:val="340B22A1"/>
    <w:rsid w:val="340F18AE"/>
    <w:rsid w:val="3422536C"/>
    <w:rsid w:val="34311A53"/>
    <w:rsid w:val="3434509F"/>
    <w:rsid w:val="346D45D0"/>
    <w:rsid w:val="3476218D"/>
    <w:rsid w:val="34993154"/>
    <w:rsid w:val="34B9050D"/>
    <w:rsid w:val="34FC5E47"/>
    <w:rsid w:val="351C3501"/>
    <w:rsid w:val="351C625F"/>
    <w:rsid w:val="352D221A"/>
    <w:rsid w:val="353D61D5"/>
    <w:rsid w:val="35437FFF"/>
    <w:rsid w:val="35487054"/>
    <w:rsid w:val="354D6802"/>
    <w:rsid w:val="35602A5F"/>
    <w:rsid w:val="356A2329"/>
    <w:rsid w:val="35717CBC"/>
    <w:rsid w:val="357C2132"/>
    <w:rsid w:val="35817F56"/>
    <w:rsid w:val="35904CED"/>
    <w:rsid w:val="359E0925"/>
    <w:rsid w:val="35C71B0B"/>
    <w:rsid w:val="35F44A12"/>
    <w:rsid w:val="36090741"/>
    <w:rsid w:val="36211653"/>
    <w:rsid w:val="36521CA0"/>
    <w:rsid w:val="368816D2"/>
    <w:rsid w:val="368E4CB9"/>
    <w:rsid w:val="36946B19"/>
    <w:rsid w:val="36CA64AC"/>
    <w:rsid w:val="36D94049"/>
    <w:rsid w:val="36E56DF5"/>
    <w:rsid w:val="36FC292C"/>
    <w:rsid w:val="3708137B"/>
    <w:rsid w:val="370C5E5F"/>
    <w:rsid w:val="3728542B"/>
    <w:rsid w:val="372D30A2"/>
    <w:rsid w:val="375B525D"/>
    <w:rsid w:val="37613AFB"/>
    <w:rsid w:val="378C70B1"/>
    <w:rsid w:val="379F6CD3"/>
    <w:rsid w:val="37C003A8"/>
    <w:rsid w:val="38366B33"/>
    <w:rsid w:val="3846585A"/>
    <w:rsid w:val="38513271"/>
    <w:rsid w:val="385D4CE1"/>
    <w:rsid w:val="38710629"/>
    <w:rsid w:val="38733B1A"/>
    <w:rsid w:val="388B7B68"/>
    <w:rsid w:val="3890074E"/>
    <w:rsid w:val="38D049EC"/>
    <w:rsid w:val="38D47048"/>
    <w:rsid w:val="39012A56"/>
    <w:rsid w:val="39091AA1"/>
    <w:rsid w:val="39186B08"/>
    <w:rsid w:val="39280233"/>
    <w:rsid w:val="392E645D"/>
    <w:rsid w:val="394C5A0D"/>
    <w:rsid w:val="3951412A"/>
    <w:rsid w:val="3953139C"/>
    <w:rsid w:val="396E0C3C"/>
    <w:rsid w:val="397F340C"/>
    <w:rsid w:val="39820561"/>
    <w:rsid w:val="39941685"/>
    <w:rsid w:val="39A55AE7"/>
    <w:rsid w:val="39BB3AC3"/>
    <w:rsid w:val="39C13B7F"/>
    <w:rsid w:val="39CA335D"/>
    <w:rsid w:val="3A1212C9"/>
    <w:rsid w:val="3A1C7386"/>
    <w:rsid w:val="3A2A1F43"/>
    <w:rsid w:val="3A34099A"/>
    <w:rsid w:val="3A36165C"/>
    <w:rsid w:val="3A461688"/>
    <w:rsid w:val="3A50583E"/>
    <w:rsid w:val="3A7158D5"/>
    <w:rsid w:val="3A761502"/>
    <w:rsid w:val="3A834ACB"/>
    <w:rsid w:val="3A9E53BA"/>
    <w:rsid w:val="3AAD2152"/>
    <w:rsid w:val="3ABE36F1"/>
    <w:rsid w:val="3ABF6245"/>
    <w:rsid w:val="3AF018E0"/>
    <w:rsid w:val="3AFE2E55"/>
    <w:rsid w:val="3B2B335B"/>
    <w:rsid w:val="3B3C073C"/>
    <w:rsid w:val="3B4673E5"/>
    <w:rsid w:val="3B535498"/>
    <w:rsid w:val="3B836510"/>
    <w:rsid w:val="3B92264F"/>
    <w:rsid w:val="3B933343"/>
    <w:rsid w:val="3BAE7642"/>
    <w:rsid w:val="3BB53E23"/>
    <w:rsid w:val="3BBA442B"/>
    <w:rsid w:val="3BEB24E7"/>
    <w:rsid w:val="3C2F12D6"/>
    <w:rsid w:val="3C6479E0"/>
    <w:rsid w:val="3C6B3334"/>
    <w:rsid w:val="3CB97892"/>
    <w:rsid w:val="3CF36418"/>
    <w:rsid w:val="3CFA5C50"/>
    <w:rsid w:val="3D0C4772"/>
    <w:rsid w:val="3D2C4512"/>
    <w:rsid w:val="3D8250CD"/>
    <w:rsid w:val="3D834F6B"/>
    <w:rsid w:val="3D85598A"/>
    <w:rsid w:val="3D9555E1"/>
    <w:rsid w:val="3DA60DBB"/>
    <w:rsid w:val="3DC15EDC"/>
    <w:rsid w:val="3DC42CAC"/>
    <w:rsid w:val="3DD553AC"/>
    <w:rsid w:val="3E1F4B9A"/>
    <w:rsid w:val="3E286B85"/>
    <w:rsid w:val="3E375EB7"/>
    <w:rsid w:val="3E4811F1"/>
    <w:rsid w:val="3E584838"/>
    <w:rsid w:val="3E5E1696"/>
    <w:rsid w:val="3E731AC3"/>
    <w:rsid w:val="3E974FC2"/>
    <w:rsid w:val="3E995BBF"/>
    <w:rsid w:val="3EDF4135"/>
    <w:rsid w:val="3F447E1D"/>
    <w:rsid w:val="3F714D39"/>
    <w:rsid w:val="3F7A3FE3"/>
    <w:rsid w:val="3FB93A98"/>
    <w:rsid w:val="3FF95557"/>
    <w:rsid w:val="402F392B"/>
    <w:rsid w:val="40300E10"/>
    <w:rsid w:val="40311A23"/>
    <w:rsid w:val="403C29C3"/>
    <w:rsid w:val="40515DEE"/>
    <w:rsid w:val="40B747FF"/>
    <w:rsid w:val="40C355D0"/>
    <w:rsid w:val="40CA7159"/>
    <w:rsid w:val="40CB395B"/>
    <w:rsid w:val="40EB5B85"/>
    <w:rsid w:val="40F45D9F"/>
    <w:rsid w:val="410A0055"/>
    <w:rsid w:val="41305C04"/>
    <w:rsid w:val="41736541"/>
    <w:rsid w:val="419F3783"/>
    <w:rsid w:val="41C5062C"/>
    <w:rsid w:val="41D4771B"/>
    <w:rsid w:val="41ED5FB7"/>
    <w:rsid w:val="41FD4053"/>
    <w:rsid w:val="420A5094"/>
    <w:rsid w:val="425C2571"/>
    <w:rsid w:val="42775F1B"/>
    <w:rsid w:val="428D00BE"/>
    <w:rsid w:val="429E2A82"/>
    <w:rsid w:val="42B24DA4"/>
    <w:rsid w:val="42C972FA"/>
    <w:rsid w:val="42F81272"/>
    <w:rsid w:val="432F69D4"/>
    <w:rsid w:val="4349680E"/>
    <w:rsid w:val="435C3C83"/>
    <w:rsid w:val="4360210D"/>
    <w:rsid w:val="438002C8"/>
    <w:rsid w:val="43B1007B"/>
    <w:rsid w:val="43B729E7"/>
    <w:rsid w:val="43B91888"/>
    <w:rsid w:val="43E17924"/>
    <w:rsid w:val="43FE12F8"/>
    <w:rsid w:val="44114AB5"/>
    <w:rsid w:val="4424353E"/>
    <w:rsid w:val="445B65FA"/>
    <w:rsid w:val="448F7150"/>
    <w:rsid w:val="44A154AA"/>
    <w:rsid w:val="44AC2A71"/>
    <w:rsid w:val="44B502DB"/>
    <w:rsid w:val="44BF35B5"/>
    <w:rsid w:val="44BF52BA"/>
    <w:rsid w:val="44C66A64"/>
    <w:rsid w:val="44F24FAA"/>
    <w:rsid w:val="44F65018"/>
    <w:rsid w:val="450C24B5"/>
    <w:rsid w:val="451A06ED"/>
    <w:rsid w:val="451E23CA"/>
    <w:rsid w:val="45284F78"/>
    <w:rsid w:val="453C6991"/>
    <w:rsid w:val="45401AF6"/>
    <w:rsid w:val="454E031F"/>
    <w:rsid w:val="4559405A"/>
    <w:rsid w:val="457326B9"/>
    <w:rsid w:val="45A01C4B"/>
    <w:rsid w:val="45B32E6A"/>
    <w:rsid w:val="45B45068"/>
    <w:rsid w:val="45DF172F"/>
    <w:rsid w:val="45F303D0"/>
    <w:rsid w:val="45F75F2C"/>
    <w:rsid w:val="460E39A2"/>
    <w:rsid w:val="463058E8"/>
    <w:rsid w:val="466D2298"/>
    <w:rsid w:val="468C1F7A"/>
    <w:rsid w:val="46AD4937"/>
    <w:rsid w:val="46CB3641"/>
    <w:rsid w:val="46CE2DDC"/>
    <w:rsid w:val="46D30747"/>
    <w:rsid w:val="46DB70DE"/>
    <w:rsid w:val="46EE53E4"/>
    <w:rsid w:val="46EE732F"/>
    <w:rsid w:val="47264849"/>
    <w:rsid w:val="475364D6"/>
    <w:rsid w:val="476F0BC1"/>
    <w:rsid w:val="478D2DDB"/>
    <w:rsid w:val="47993F84"/>
    <w:rsid w:val="47A530D7"/>
    <w:rsid w:val="47BC742D"/>
    <w:rsid w:val="48010AA9"/>
    <w:rsid w:val="4807441C"/>
    <w:rsid w:val="481608EC"/>
    <w:rsid w:val="481711A1"/>
    <w:rsid w:val="482D1B49"/>
    <w:rsid w:val="484D62D8"/>
    <w:rsid w:val="484F2050"/>
    <w:rsid w:val="486E468C"/>
    <w:rsid w:val="48832BB7"/>
    <w:rsid w:val="48B639C7"/>
    <w:rsid w:val="48C05FF2"/>
    <w:rsid w:val="48D24121"/>
    <w:rsid w:val="48ED4974"/>
    <w:rsid w:val="48F01062"/>
    <w:rsid w:val="490E6FFF"/>
    <w:rsid w:val="491531DC"/>
    <w:rsid w:val="491C7C9C"/>
    <w:rsid w:val="4956775D"/>
    <w:rsid w:val="496F4ABD"/>
    <w:rsid w:val="499278AC"/>
    <w:rsid w:val="49CC559E"/>
    <w:rsid w:val="49DC2F2D"/>
    <w:rsid w:val="49DF7431"/>
    <w:rsid w:val="4A0B5F87"/>
    <w:rsid w:val="4A1876C5"/>
    <w:rsid w:val="4A1A0A17"/>
    <w:rsid w:val="4A1F3352"/>
    <w:rsid w:val="4A2A34C7"/>
    <w:rsid w:val="4A6D58E4"/>
    <w:rsid w:val="4A8A00DF"/>
    <w:rsid w:val="4A9F106C"/>
    <w:rsid w:val="4ABC5802"/>
    <w:rsid w:val="4AD964BB"/>
    <w:rsid w:val="4B0C4228"/>
    <w:rsid w:val="4B4936EA"/>
    <w:rsid w:val="4B8F3B84"/>
    <w:rsid w:val="4BA37B19"/>
    <w:rsid w:val="4BAA5A33"/>
    <w:rsid w:val="4BC45398"/>
    <w:rsid w:val="4BF058F8"/>
    <w:rsid w:val="4C156243"/>
    <w:rsid w:val="4C31118F"/>
    <w:rsid w:val="4C5D5017"/>
    <w:rsid w:val="4C611387"/>
    <w:rsid w:val="4C7028FA"/>
    <w:rsid w:val="4C8A70A1"/>
    <w:rsid w:val="4C9A24AF"/>
    <w:rsid w:val="4CA40570"/>
    <w:rsid w:val="4CAA596C"/>
    <w:rsid w:val="4CB05B4C"/>
    <w:rsid w:val="4CB63942"/>
    <w:rsid w:val="4CBB7459"/>
    <w:rsid w:val="4CBD7ED0"/>
    <w:rsid w:val="4CD36FF6"/>
    <w:rsid w:val="4CD6689C"/>
    <w:rsid w:val="4CED2983"/>
    <w:rsid w:val="4D203A06"/>
    <w:rsid w:val="4D20417A"/>
    <w:rsid w:val="4D2C48B2"/>
    <w:rsid w:val="4D416DCE"/>
    <w:rsid w:val="4D464668"/>
    <w:rsid w:val="4D560A96"/>
    <w:rsid w:val="4D5C0B12"/>
    <w:rsid w:val="4D6C5077"/>
    <w:rsid w:val="4D9F6625"/>
    <w:rsid w:val="4DA13687"/>
    <w:rsid w:val="4DAA76F7"/>
    <w:rsid w:val="4DAD3EFF"/>
    <w:rsid w:val="4DCA28A4"/>
    <w:rsid w:val="4DDD4206"/>
    <w:rsid w:val="4E181FA3"/>
    <w:rsid w:val="4E472B75"/>
    <w:rsid w:val="4E4852B5"/>
    <w:rsid w:val="4E737686"/>
    <w:rsid w:val="4E7C1E32"/>
    <w:rsid w:val="4E946A28"/>
    <w:rsid w:val="4EA87FBA"/>
    <w:rsid w:val="4EC44A71"/>
    <w:rsid w:val="4EDE2D1C"/>
    <w:rsid w:val="4EE554BC"/>
    <w:rsid w:val="4EF72CEC"/>
    <w:rsid w:val="4EF9611F"/>
    <w:rsid w:val="4F0168C6"/>
    <w:rsid w:val="4F135B85"/>
    <w:rsid w:val="4F4C432F"/>
    <w:rsid w:val="4F644320"/>
    <w:rsid w:val="4F6C22D5"/>
    <w:rsid w:val="4F7015F6"/>
    <w:rsid w:val="4F78177E"/>
    <w:rsid w:val="4F7B0C77"/>
    <w:rsid w:val="4F9667B6"/>
    <w:rsid w:val="4F9C7EB7"/>
    <w:rsid w:val="4FAA2338"/>
    <w:rsid w:val="5007672C"/>
    <w:rsid w:val="500D2764"/>
    <w:rsid w:val="501D1893"/>
    <w:rsid w:val="50253F04"/>
    <w:rsid w:val="502B7796"/>
    <w:rsid w:val="50485259"/>
    <w:rsid w:val="504D10D7"/>
    <w:rsid w:val="50621E6E"/>
    <w:rsid w:val="50835C26"/>
    <w:rsid w:val="508C1964"/>
    <w:rsid w:val="5099030C"/>
    <w:rsid w:val="50AB5627"/>
    <w:rsid w:val="50CE6F9F"/>
    <w:rsid w:val="50EF7E1E"/>
    <w:rsid w:val="50F626E2"/>
    <w:rsid w:val="50FC37C6"/>
    <w:rsid w:val="511E6A63"/>
    <w:rsid w:val="51264C98"/>
    <w:rsid w:val="51476A3A"/>
    <w:rsid w:val="514F099D"/>
    <w:rsid w:val="515D338B"/>
    <w:rsid w:val="5160707C"/>
    <w:rsid w:val="51954A02"/>
    <w:rsid w:val="51A61FD4"/>
    <w:rsid w:val="51B20896"/>
    <w:rsid w:val="51B4176D"/>
    <w:rsid w:val="51BB56B8"/>
    <w:rsid w:val="51EA543D"/>
    <w:rsid w:val="51FD5DB0"/>
    <w:rsid w:val="51FF59E1"/>
    <w:rsid w:val="52043EAB"/>
    <w:rsid w:val="52347DB7"/>
    <w:rsid w:val="523F5BD2"/>
    <w:rsid w:val="524C24E0"/>
    <w:rsid w:val="52870141"/>
    <w:rsid w:val="529060F2"/>
    <w:rsid w:val="52A1019F"/>
    <w:rsid w:val="52AF2069"/>
    <w:rsid w:val="52BD204D"/>
    <w:rsid w:val="52C92CAE"/>
    <w:rsid w:val="52CB1675"/>
    <w:rsid w:val="52D81BCE"/>
    <w:rsid w:val="52FD61A9"/>
    <w:rsid w:val="532647EC"/>
    <w:rsid w:val="53455429"/>
    <w:rsid w:val="534D0939"/>
    <w:rsid w:val="536C1B90"/>
    <w:rsid w:val="53771D46"/>
    <w:rsid w:val="537A08C9"/>
    <w:rsid w:val="53882A1B"/>
    <w:rsid w:val="53CB213C"/>
    <w:rsid w:val="53E162A0"/>
    <w:rsid w:val="53F058C2"/>
    <w:rsid w:val="5411167A"/>
    <w:rsid w:val="54316AAD"/>
    <w:rsid w:val="5437654D"/>
    <w:rsid w:val="54422937"/>
    <w:rsid w:val="5447544E"/>
    <w:rsid w:val="549E4761"/>
    <w:rsid w:val="54A44793"/>
    <w:rsid w:val="54AE49FC"/>
    <w:rsid w:val="54B00585"/>
    <w:rsid w:val="55261A88"/>
    <w:rsid w:val="55332A56"/>
    <w:rsid w:val="5535422D"/>
    <w:rsid w:val="55621614"/>
    <w:rsid w:val="556A1553"/>
    <w:rsid w:val="5593226C"/>
    <w:rsid w:val="55A93644"/>
    <w:rsid w:val="55C04658"/>
    <w:rsid w:val="55C82F4A"/>
    <w:rsid w:val="55DA51CA"/>
    <w:rsid w:val="55E02774"/>
    <w:rsid w:val="564B3E56"/>
    <w:rsid w:val="56505BFF"/>
    <w:rsid w:val="565C2507"/>
    <w:rsid w:val="5679378D"/>
    <w:rsid w:val="569746B8"/>
    <w:rsid w:val="56B60A78"/>
    <w:rsid w:val="56B6734F"/>
    <w:rsid w:val="56C618C6"/>
    <w:rsid w:val="56FD4B37"/>
    <w:rsid w:val="574127B6"/>
    <w:rsid w:val="575C4787"/>
    <w:rsid w:val="575E405D"/>
    <w:rsid w:val="578E36D2"/>
    <w:rsid w:val="57AE4647"/>
    <w:rsid w:val="57DE2192"/>
    <w:rsid w:val="57ED3263"/>
    <w:rsid w:val="57F112D5"/>
    <w:rsid w:val="580B7C81"/>
    <w:rsid w:val="58200B20"/>
    <w:rsid w:val="58497766"/>
    <w:rsid w:val="585A2A77"/>
    <w:rsid w:val="5872092A"/>
    <w:rsid w:val="587250A7"/>
    <w:rsid w:val="589F2B4F"/>
    <w:rsid w:val="58A75703"/>
    <w:rsid w:val="58AF095A"/>
    <w:rsid w:val="58B36AC8"/>
    <w:rsid w:val="58B7341E"/>
    <w:rsid w:val="58D06745"/>
    <w:rsid w:val="58DB71EA"/>
    <w:rsid w:val="58E612C6"/>
    <w:rsid w:val="59137383"/>
    <w:rsid w:val="59182CD4"/>
    <w:rsid w:val="59597927"/>
    <w:rsid w:val="595E182C"/>
    <w:rsid w:val="59626DD3"/>
    <w:rsid w:val="597D4C6F"/>
    <w:rsid w:val="598234F7"/>
    <w:rsid w:val="59CF0866"/>
    <w:rsid w:val="59E92304"/>
    <w:rsid w:val="5A1469C7"/>
    <w:rsid w:val="5A177889"/>
    <w:rsid w:val="5A290952"/>
    <w:rsid w:val="5A290E2B"/>
    <w:rsid w:val="5A420B01"/>
    <w:rsid w:val="5A50290A"/>
    <w:rsid w:val="5A680652"/>
    <w:rsid w:val="5A7A7DD8"/>
    <w:rsid w:val="5A815237"/>
    <w:rsid w:val="5A882A18"/>
    <w:rsid w:val="5ABB5323"/>
    <w:rsid w:val="5AC669A8"/>
    <w:rsid w:val="5AD42692"/>
    <w:rsid w:val="5AE02E8D"/>
    <w:rsid w:val="5AED35EE"/>
    <w:rsid w:val="5B0171D9"/>
    <w:rsid w:val="5B220213"/>
    <w:rsid w:val="5B2B5A1D"/>
    <w:rsid w:val="5B2C16AD"/>
    <w:rsid w:val="5B3E64BE"/>
    <w:rsid w:val="5B422082"/>
    <w:rsid w:val="5B52515F"/>
    <w:rsid w:val="5B734153"/>
    <w:rsid w:val="5BDB7AB2"/>
    <w:rsid w:val="5BE321D5"/>
    <w:rsid w:val="5BF117E5"/>
    <w:rsid w:val="5C0F2BFF"/>
    <w:rsid w:val="5C27167E"/>
    <w:rsid w:val="5C335AD2"/>
    <w:rsid w:val="5C3A23FF"/>
    <w:rsid w:val="5C3D5F27"/>
    <w:rsid w:val="5C3E04F8"/>
    <w:rsid w:val="5C3E3E63"/>
    <w:rsid w:val="5C5B13B2"/>
    <w:rsid w:val="5C640EF2"/>
    <w:rsid w:val="5C7605BF"/>
    <w:rsid w:val="5C7B59DE"/>
    <w:rsid w:val="5C863D9F"/>
    <w:rsid w:val="5C8B72C7"/>
    <w:rsid w:val="5C97599D"/>
    <w:rsid w:val="5C9C7C1F"/>
    <w:rsid w:val="5CC734D5"/>
    <w:rsid w:val="5CEE19DF"/>
    <w:rsid w:val="5D2F4A70"/>
    <w:rsid w:val="5D65524F"/>
    <w:rsid w:val="5D703C85"/>
    <w:rsid w:val="5D707918"/>
    <w:rsid w:val="5D826A79"/>
    <w:rsid w:val="5D866758"/>
    <w:rsid w:val="5D8F35F0"/>
    <w:rsid w:val="5DAA02F6"/>
    <w:rsid w:val="5DC748B0"/>
    <w:rsid w:val="5DE07B6A"/>
    <w:rsid w:val="5E135781"/>
    <w:rsid w:val="5E2F656E"/>
    <w:rsid w:val="5E33086F"/>
    <w:rsid w:val="5E3414AF"/>
    <w:rsid w:val="5E372ED5"/>
    <w:rsid w:val="5E521077"/>
    <w:rsid w:val="5E734892"/>
    <w:rsid w:val="5E746281"/>
    <w:rsid w:val="5E7A5C21"/>
    <w:rsid w:val="5E812D98"/>
    <w:rsid w:val="5E83082F"/>
    <w:rsid w:val="5E906DB9"/>
    <w:rsid w:val="5EB260F4"/>
    <w:rsid w:val="5EBF1885"/>
    <w:rsid w:val="5ED656FC"/>
    <w:rsid w:val="5EF141EA"/>
    <w:rsid w:val="5F475537"/>
    <w:rsid w:val="5F49568B"/>
    <w:rsid w:val="5F685614"/>
    <w:rsid w:val="5F6F1735"/>
    <w:rsid w:val="5F7113FE"/>
    <w:rsid w:val="5F7A1614"/>
    <w:rsid w:val="5FAB1287"/>
    <w:rsid w:val="5FB67912"/>
    <w:rsid w:val="5FC42BFA"/>
    <w:rsid w:val="5FE73964"/>
    <w:rsid w:val="5FFE63DD"/>
    <w:rsid w:val="600A6FF3"/>
    <w:rsid w:val="600E14E6"/>
    <w:rsid w:val="601C3588"/>
    <w:rsid w:val="60297928"/>
    <w:rsid w:val="602A297F"/>
    <w:rsid w:val="60411CE6"/>
    <w:rsid w:val="60455B9B"/>
    <w:rsid w:val="605F012B"/>
    <w:rsid w:val="606E70C0"/>
    <w:rsid w:val="609D43A0"/>
    <w:rsid w:val="60AF33AD"/>
    <w:rsid w:val="60D338C2"/>
    <w:rsid w:val="60EE4D1A"/>
    <w:rsid w:val="61017934"/>
    <w:rsid w:val="61032E37"/>
    <w:rsid w:val="610E3338"/>
    <w:rsid w:val="612123E7"/>
    <w:rsid w:val="61271DF6"/>
    <w:rsid w:val="612B17BB"/>
    <w:rsid w:val="61384047"/>
    <w:rsid w:val="61434A0C"/>
    <w:rsid w:val="61A85B43"/>
    <w:rsid w:val="61A92379"/>
    <w:rsid w:val="61B916CA"/>
    <w:rsid w:val="61BA7C63"/>
    <w:rsid w:val="61E01520"/>
    <w:rsid w:val="620025E1"/>
    <w:rsid w:val="620A72BB"/>
    <w:rsid w:val="621169B7"/>
    <w:rsid w:val="621874A7"/>
    <w:rsid w:val="622F4B23"/>
    <w:rsid w:val="624F75D6"/>
    <w:rsid w:val="625E73DA"/>
    <w:rsid w:val="62627FD4"/>
    <w:rsid w:val="62650A76"/>
    <w:rsid w:val="62685D90"/>
    <w:rsid w:val="629B2483"/>
    <w:rsid w:val="62AA137B"/>
    <w:rsid w:val="62AB2B83"/>
    <w:rsid w:val="62B611F1"/>
    <w:rsid w:val="62D94FBC"/>
    <w:rsid w:val="62D95506"/>
    <w:rsid w:val="62F0715F"/>
    <w:rsid w:val="62FC050F"/>
    <w:rsid w:val="63014223"/>
    <w:rsid w:val="630F7A14"/>
    <w:rsid w:val="632225B3"/>
    <w:rsid w:val="63281F71"/>
    <w:rsid w:val="634B193A"/>
    <w:rsid w:val="6359301B"/>
    <w:rsid w:val="63784A9C"/>
    <w:rsid w:val="639A641D"/>
    <w:rsid w:val="63A31776"/>
    <w:rsid w:val="63A93C83"/>
    <w:rsid w:val="63FA0916"/>
    <w:rsid w:val="6408782B"/>
    <w:rsid w:val="640B4C48"/>
    <w:rsid w:val="642B176B"/>
    <w:rsid w:val="643B7305"/>
    <w:rsid w:val="64517525"/>
    <w:rsid w:val="647D1898"/>
    <w:rsid w:val="647D77DD"/>
    <w:rsid w:val="64C21846"/>
    <w:rsid w:val="64FA2A94"/>
    <w:rsid w:val="651123F2"/>
    <w:rsid w:val="651C7AB0"/>
    <w:rsid w:val="65392450"/>
    <w:rsid w:val="653943E1"/>
    <w:rsid w:val="655E299E"/>
    <w:rsid w:val="657700A1"/>
    <w:rsid w:val="65A27738"/>
    <w:rsid w:val="65A76BCF"/>
    <w:rsid w:val="65D2271B"/>
    <w:rsid w:val="65D50C45"/>
    <w:rsid w:val="65D920A6"/>
    <w:rsid w:val="65F56152"/>
    <w:rsid w:val="660718F0"/>
    <w:rsid w:val="66462745"/>
    <w:rsid w:val="664A18CA"/>
    <w:rsid w:val="664A2064"/>
    <w:rsid w:val="665C68CF"/>
    <w:rsid w:val="669656AD"/>
    <w:rsid w:val="66A12093"/>
    <w:rsid w:val="66A870A3"/>
    <w:rsid w:val="66A96E82"/>
    <w:rsid w:val="66CE6F6C"/>
    <w:rsid w:val="66E008FF"/>
    <w:rsid w:val="670D0FEF"/>
    <w:rsid w:val="670F2417"/>
    <w:rsid w:val="67180834"/>
    <w:rsid w:val="671E2F03"/>
    <w:rsid w:val="67347CD3"/>
    <w:rsid w:val="67380738"/>
    <w:rsid w:val="67676019"/>
    <w:rsid w:val="67903975"/>
    <w:rsid w:val="67A01A11"/>
    <w:rsid w:val="67B6571A"/>
    <w:rsid w:val="67B96046"/>
    <w:rsid w:val="67BF6452"/>
    <w:rsid w:val="67C537CC"/>
    <w:rsid w:val="67CA11EF"/>
    <w:rsid w:val="67CC5D59"/>
    <w:rsid w:val="67CF5D1C"/>
    <w:rsid w:val="67F97B21"/>
    <w:rsid w:val="68256315"/>
    <w:rsid w:val="68274832"/>
    <w:rsid w:val="683E4BED"/>
    <w:rsid w:val="684756A2"/>
    <w:rsid w:val="685A46C3"/>
    <w:rsid w:val="68672E92"/>
    <w:rsid w:val="6869487F"/>
    <w:rsid w:val="686A0EB5"/>
    <w:rsid w:val="686E5E6F"/>
    <w:rsid w:val="688F6736"/>
    <w:rsid w:val="6892575D"/>
    <w:rsid w:val="68B327D3"/>
    <w:rsid w:val="68DA2CD1"/>
    <w:rsid w:val="68F90275"/>
    <w:rsid w:val="69074001"/>
    <w:rsid w:val="691058E2"/>
    <w:rsid w:val="693370F8"/>
    <w:rsid w:val="69596AB6"/>
    <w:rsid w:val="69604852"/>
    <w:rsid w:val="698B4A35"/>
    <w:rsid w:val="69BD4C13"/>
    <w:rsid w:val="69D364AE"/>
    <w:rsid w:val="69F93709"/>
    <w:rsid w:val="69FC1871"/>
    <w:rsid w:val="6A11270F"/>
    <w:rsid w:val="6A16241A"/>
    <w:rsid w:val="6A250D6A"/>
    <w:rsid w:val="6A3C0B5C"/>
    <w:rsid w:val="6A492FF1"/>
    <w:rsid w:val="6A7756E9"/>
    <w:rsid w:val="6A9A0AFF"/>
    <w:rsid w:val="6AB52FED"/>
    <w:rsid w:val="6ACE4215"/>
    <w:rsid w:val="6AF208ED"/>
    <w:rsid w:val="6AFB6C6A"/>
    <w:rsid w:val="6AFC5C0F"/>
    <w:rsid w:val="6B063FD1"/>
    <w:rsid w:val="6B0B1A2E"/>
    <w:rsid w:val="6B1F06CE"/>
    <w:rsid w:val="6B3248AD"/>
    <w:rsid w:val="6B4368F3"/>
    <w:rsid w:val="6B47600F"/>
    <w:rsid w:val="6B4B4A16"/>
    <w:rsid w:val="6B4D50DD"/>
    <w:rsid w:val="6B9D2F4E"/>
    <w:rsid w:val="6BA14120"/>
    <w:rsid w:val="6BA14F6A"/>
    <w:rsid w:val="6BB91E13"/>
    <w:rsid w:val="6BBD539F"/>
    <w:rsid w:val="6BCC6269"/>
    <w:rsid w:val="6BFE15AC"/>
    <w:rsid w:val="6C172E65"/>
    <w:rsid w:val="6C290A66"/>
    <w:rsid w:val="6C4040EE"/>
    <w:rsid w:val="6C4552C6"/>
    <w:rsid w:val="6C682153"/>
    <w:rsid w:val="6C8D4D71"/>
    <w:rsid w:val="6CB85856"/>
    <w:rsid w:val="6CC17134"/>
    <w:rsid w:val="6CDA1A49"/>
    <w:rsid w:val="6CFB084B"/>
    <w:rsid w:val="6CFD43DC"/>
    <w:rsid w:val="6D0925E6"/>
    <w:rsid w:val="6D3348B6"/>
    <w:rsid w:val="6D4549E6"/>
    <w:rsid w:val="6D470455"/>
    <w:rsid w:val="6D6136CF"/>
    <w:rsid w:val="6D883FC0"/>
    <w:rsid w:val="6DB8406F"/>
    <w:rsid w:val="6DBE5C5D"/>
    <w:rsid w:val="6DE221D3"/>
    <w:rsid w:val="6DE35E83"/>
    <w:rsid w:val="6DEE7EDF"/>
    <w:rsid w:val="6E3D28AE"/>
    <w:rsid w:val="6E407755"/>
    <w:rsid w:val="6E480B7B"/>
    <w:rsid w:val="6E563714"/>
    <w:rsid w:val="6E7A30D3"/>
    <w:rsid w:val="6E7D2524"/>
    <w:rsid w:val="6E856204"/>
    <w:rsid w:val="6EAA1457"/>
    <w:rsid w:val="6EAE3DA2"/>
    <w:rsid w:val="6EDC29D2"/>
    <w:rsid w:val="6EE13CDE"/>
    <w:rsid w:val="6EE357AE"/>
    <w:rsid w:val="6EE82C83"/>
    <w:rsid w:val="6F0B7EE2"/>
    <w:rsid w:val="6F275FEB"/>
    <w:rsid w:val="6F2B1F97"/>
    <w:rsid w:val="6F7A7FF3"/>
    <w:rsid w:val="6F812FA0"/>
    <w:rsid w:val="6FC16AE2"/>
    <w:rsid w:val="6FC32E89"/>
    <w:rsid w:val="6FC61A9B"/>
    <w:rsid w:val="6FD8753A"/>
    <w:rsid w:val="6FDE3B35"/>
    <w:rsid w:val="6FF550D9"/>
    <w:rsid w:val="700A2577"/>
    <w:rsid w:val="70401861"/>
    <w:rsid w:val="7058635C"/>
    <w:rsid w:val="706202C3"/>
    <w:rsid w:val="7077241C"/>
    <w:rsid w:val="708965C4"/>
    <w:rsid w:val="708E2E66"/>
    <w:rsid w:val="708F4897"/>
    <w:rsid w:val="70AC5DE7"/>
    <w:rsid w:val="70DF3049"/>
    <w:rsid w:val="70FF4E98"/>
    <w:rsid w:val="710245F7"/>
    <w:rsid w:val="710250A6"/>
    <w:rsid w:val="711C016E"/>
    <w:rsid w:val="712C2FA9"/>
    <w:rsid w:val="713669A6"/>
    <w:rsid w:val="715E6F0F"/>
    <w:rsid w:val="716167CC"/>
    <w:rsid w:val="71684825"/>
    <w:rsid w:val="71E261AA"/>
    <w:rsid w:val="71E6728A"/>
    <w:rsid w:val="71EF4A75"/>
    <w:rsid w:val="72045414"/>
    <w:rsid w:val="721B6FB3"/>
    <w:rsid w:val="721E1B9F"/>
    <w:rsid w:val="722E5B31"/>
    <w:rsid w:val="72417BF9"/>
    <w:rsid w:val="72510BAD"/>
    <w:rsid w:val="72744FEC"/>
    <w:rsid w:val="72771076"/>
    <w:rsid w:val="727B2BAE"/>
    <w:rsid w:val="728D03F1"/>
    <w:rsid w:val="72E24EAD"/>
    <w:rsid w:val="72E41463"/>
    <w:rsid w:val="72E62E0C"/>
    <w:rsid w:val="73220BEE"/>
    <w:rsid w:val="733158DC"/>
    <w:rsid w:val="73465A32"/>
    <w:rsid w:val="735C4C5C"/>
    <w:rsid w:val="73830B7E"/>
    <w:rsid w:val="73924331"/>
    <w:rsid w:val="73E074A9"/>
    <w:rsid w:val="73E208E9"/>
    <w:rsid w:val="73F14013"/>
    <w:rsid w:val="740E5173"/>
    <w:rsid w:val="74292D54"/>
    <w:rsid w:val="743968A9"/>
    <w:rsid w:val="74404A49"/>
    <w:rsid w:val="74551C96"/>
    <w:rsid w:val="74B66E2F"/>
    <w:rsid w:val="74C652C4"/>
    <w:rsid w:val="75146DB1"/>
    <w:rsid w:val="753D6031"/>
    <w:rsid w:val="75424670"/>
    <w:rsid w:val="754937FF"/>
    <w:rsid w:val="755F74C6"/>
    <w:rsid w:val="75673D4D"/>
    <w:rsid w:val="756A3232"/>
    <w:rsid w:val="75761242"/>
    <w:rsid w:val="75801B52"/>
    <w:rsid w:val="75854109"/>
    <w:rsid w:val="759A088A"/>
    <w:rsid w:val="759B6002"/>
    <w:rsid w:val="75B310A7"/>
    <w:rsid w:val="75CB4B5C"/>
    <w:rsid w:val="75D44488"/>
    <w:rsid w:val="75E02E70"/>
    <w:rsid w:val="75F54C00"/>
    <w:rsid w:val="76036145"/>
    <w:rsid w:val="76066D51"/>
    <w:rsid w:val="761B77D2"/>
    <w:rsid w:val="763D320A"/>
    <w:rsid w:val="764F1DA2"/>
    <w:rsid w:val="76723D8A"/>
    <w:rsid w:val="767F4D5D"/>
    <w:rsid w:val="768236B0"/>
    <w:rsid w:val="769A2AE8"/>
    <w:rsid w:val="76B963D7"/>
    <w:rsid w:val="76CB494E"/>
    <w:rsid w:val="76E539FB"/>
    <w:rsid w:val="76EA1644"/>
    <w:rsid w:val="76EF5702"/>
    <w:rsid w:val="76F62D76"/>
    <w:rsid w:val="7706409E"/>
    <w:rsid w:val="77330C57"/>
    <w:rsid w:val="7735039E"/>
    <w:rsid w:val="77413DB9"/>
    <w:rsid w:val="77450398"/>
    <w:rsid w:val="77480D19"/>
    <w:rsid w:val="77665C9A"/>
    <w:rsid w:val="77785510"/>
    <w:rsid w:val="777D25D4"/>
    <w:rsid w:val="77951D75"/>
    <w:rsid w:val="77A20BA3"/>
    <w:rsid w:val="77EE375B"/>
    <w:rsid w:val="77F03ED5"/>
    <w:rsid w:val="78302376"/>
    <w:rsid w:val="785328F5"/>
    <w:rsid w:val="785B4866"/>
    <w:rsid w:val="78650FA3"/>
    <w:rsid w:val="787176B4"/>
    <w:rsid w:val="78972AD3"/>
    <w:rsid w:val="78A371FC"/>
    <w:rsid w:val="78A66ADF"/>
    <w:rsid w:val="78A75575"/>
    <w:rsid w:val="78B42E24"/>
    <w:rsid w:val="78C02044"/>
    <w:rsid w:val="78C50714"/>
    <w:rsid w:val="78DB0ACA"/>
    <w:rsid w:val="791E6D7F"/>
    <w:rsid w:val="79276150"/>
    <w:rsid w:val="79551E04"/>
    <w:rsid w:val="796D46C6"/>
    <w:rsid w:val="796E19E7"/>
    <w:rsid w:val="797208B3"/>
    <w:rsid w:val="797B60BA"/>
    <w:rsid w:val="79815565"/>
    <w:rsid w:val="79971B58"/>
    <w:rsid w:val="79982F8C"/>
    <w:rsid w:val="79997202"/>
    <w:rsid w:val="79A823D2"/>
    <w:rsid w:val="79C21DD2"/>
    <w:rsid w:val="79E72D0B"/>
    <w:rsid w:val="79F301DD"/>
    <w:rsid w:val="7A32552B"/>
    <w:rsid w:val="7A361C20"/>
    <w:rsid w:val="7A5E11E5"/>
    <w:rsid w:val="7A7B44E1"/>
    <w:rsid w:val="7A981292"/>
    <w:rsid w:val="7A9F7716"/>
    <w:rsid w:val="7AA95D17"/>
    <w:rsid w:val="7AAE0556"/>
    <w:rsid w:val="7AB11B64"/>
    <w:rsid w:val="7AB12572"/>
    <w:rsid w:val="7AC313F4"/>
    <w:rsid w:val="7AC8166A"/>
    <w:rsid w:val="7AD8110B"/>
    <w:rsid w:val="7AE01DE0"/>
    <w:rsid w:val="7AE3566F"/>
    <w:rsid w:val="7B0824E6"/>
    <w:rsid w:val="7B0E780F"/>
    <w:rsid w:val="7B267CEC"/>
    <w:rsid w:val="7B3D3740"/>
    <w:rsid w:val="7B670A14"/>
    <w:rsid w:val="7B6D768F"/>
    <w:rsid w:val="7B6E0463"/>
    <w:rsid w:val="7B7A6DA9"/>
    <w:rsid w:val="7B7E0AB1"/>
    <w:rsid w:val="7B8B68F2"/>
    <w:rsid w:val="7BD738FE"/>
    <w:rsid w:val="7C047AE7"/>
    <w:rsid w:val="7C0939F5"/>
    <w:rsid w:val="7C106E98"/>
    <w:rsid w:val="7C276ABD"/>
    <w:rsid w:val="7C3A3560"/>
    <w:rsid w:val="7C3A76D7"/>
    <w:rsid w:val="7C3C1FBD"/>
    <w:rsid w:val="7C455114"/>
    <w:rsid w:val="7C6567F7"/>
    <w:rsid w:val="7C765C35"/>
    <w:rsid w:val="7C7E1850"/>
    <w:rsid w:val="7C896BD7"/>
    <w:rsid w:val="7CAC20C0"/>
    <w:rsid w:val="7CB03EC6"/>
    <w:rsid w:val="7CB63E70"/>
    <w:rsid w:val="7CC85951"/>
    <w:rsid w:val="7CD40F68"/>
    <w:rsid w:val="7CD44BEF"/>
    <w:rsid w:val="7CD6252B"/>
    <w:rsid w:val="7CE3031B"/>
    <w:rsid w:val="7CFB090D"/>
    <w:rsid w:val="7D1338D8"/>
    <w:rsid w:val="7D2964E6"/>
    <w:rsid w:val="7D2A270E"/>
    <w:rsid w:val="7D366D5F"/>
    <w:rsid w:val="7D730A7C"/>
    <w:rsid w:val="7D8201F6"/>
    <w:rsid w:val="7D9604E5"/>
    <w:rsid w:val="7D9D3C24"/>
    <w:rsid w:val="7DFC3B04"/>
    <w:rsid w:val="7E142F7D"/>
    <w:rsid w:val="7E4E67B1"/>
    <w:rsid w:val="7E74391E"/>
    <w:rsid w:val="7E7D6C22"/>
    <w:rsid w:val="7E8F1857"/>
    <w:rsid w:val="7EA87DD3"/>
    <w:rsid w:val="7EBE525E"/>
    <w:rsid w:val="7EC93785"/>
    <w:rsid w:val="7ECE2C72"/>
    <w:rsid w:val="7EDE145C"/>
    <w:rsid w:val="7EF74BC5"/>
    <w:rsid w:val="7F246F7E"/>
    <w:rsid w:val="7F301BC1"/>
    <w:rsid w:val="7F4B3BA7"/>
    <w:rsid w:val="7F703FD1"/>
    <w:rsid w:val="7F8F350D"/>
    <w:rsid w:val="7FA51BD1"/>
    <w:rsid w:val="7FBC5DE7"/>
    <w:rsid w:val="7FED3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93"/>
        <o:r id="V:Rule2" type="connector" idref="#_x0000_s2094"/>
        <o:r id="V:Rule3" type="connector" idref="#_x0000_s2095"/>
        <o:r id="V:Rule4" type="connector" idref="#_x0000_s2096"/>
        <o:r id="V:Rule5" type="connector" idref="#_x0000_s2097"/>
        <o:r id="V:Rule6" type="connector" idref="#自选图形 20"/>
        <o:r id="V:Rule7" type="connector" idref="#自选图形 2"/>
        <o:r id="V:Rule8" type="connector" idref="#自选图形 3"/>
        <o:r id="V:Rule9" type="connector" idref="#自选图形 4"/>
        <o:r id="V:Rule10" type="connector" idref="#自选图形 5"/>
        <o:r id="V:Rule11" type="connector" idref="#_x0000_s2104"/>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numPr>
        <w:ilvl w:val="0"/>
        <w:numId w:val="1"/>
      </w:numPr>
      <w:spacing w:before="480" w:after="360"/>
      <w:outlineLvl w:val="0"/>
    </w:pPr>
    <w:rPr>
      <w:rFonts w:eastAsia="宋体"/>
      <w:b/>
      <w:bCs/>
      <w:sz w:val="32"/>
      <w:szCs w:val="32"/>
    </w:rPr>
  </w:style>
  <w:style w:type="paragraph" w:styleId="3">
    <w:name w:val="heading 2"/>
    <w:basedOn w:val="1"/>
    <w:next w:val="1"/>
    <w:unhideWhenUsed/>
    <w:qFormat/>
    <w:uiPriority w:val="0"/>
    <w:pPr>
      <w:keepNext/>
      <w:keepLines/>
      <w:spacing w:before="480" w:beforeLines="0" w:beforeAutospacing="0" w:after="120" w:afterLines="0" w:afterAutospacing="0" w:line="400" w:lineRule="exact"/>
      <w:ind w:firstLine="1446" w:firstLineChars="200"/>
      <w:outlineLvl w:val="1"/>
    </w:pPr>
    <w:rPr>
      <w:rFonts w:ascii="Times New Roman" w:hAnsi="Times New Roman" w:eastAsia="宋体"/>
      <w:b/>
      <w:bCs/>
      <w:sz w:val="28"/>
      <w:szCs w:val="28"/>
    </w:rPr>
  </w:style>
  <w:style w:type="paragraph" w:styleId="4">
    <w:name w:val="heading 3"/>
    <w:basedOn w:val="1"/>
    <w:next w:val="1"/>
    <w:link w:val="50"/>
    <w:qFormat/>
    <w:uiPriority w:val="0"/>
    <w:pPr>
      <w:keepNext/>
      <w:keepLines/>
      <w:spacing w:before="240" w:after="120" w:line="400" w:lineRule="exact"/>
      <w:outlineLvl w:val="2"/>
    </w:pPr>
    <w:rPr>
      <w:rFonts w:eastAsia="宋体"/>
      <w:b/>
      <w:bCs/>
      <w:szCs w:val="30"/>
    </w:rPr>
  </w:style>
  <w:style w:type="paragraph" w:styleId="5">
    <w:name w:val="heading 4"/>
    <w:basedOn w:val="1"/>
    <w:next w:val="1"/>
    <w:qFormat/>
    <w:uiPriority w:val="0"/>
    <w:pPr>
      <w:keepNext/>
      <w:keepLines/>
      <w:spacing w:before="280" w:after="290" w:line="372" w:lineRule="auto"/>
      <w:outlineLvl w:val="3"/>
    </w:pPr>
    <w:rPr>
      <w:rFonts w:ascii="Arial" w:hAnsi="Arial" w:eastAsia="黑体" w:cs="Times New Roman"/>
      <w:b/>
      <w:sz w:val="28"/>
    </w:rPr>
  </w:style>
  <w:style w:type="paragraph" w:styleId="6">
    <w:name w:val="heading 6"/>
    <w:basedOn w:val="1"/>
    <w:next w:val="1"/>
    <w:qFormat/>
    <w:uiPriority w:val="0"/>
    <w:pPr>
      <w:keepNext/>
      <w:spacing w:line="360" w:lineRule="auto"/>
      <w:ind w:firstLine="600"/>
      <w:jc w:val="center"/>
      <w:outlineLvl w:val="5"/>
    </w:pPr>
    <w:rPr>
      <w:rFonts w:ascii="Times New Roman" w:hAnsi="Times New Roman" w:eastAsia="黑体" w:cs="Times New Roman"/>
      <w:color w:val="000000"/>
      <w:sz w:val="32"/>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qFormat/>
    <w:uiPriority w:val="0"/>
    <w:rPr>
      <w:rFonts w:ascii="Times New Roman" w:hAnsi="Times New Roman" w:eastAsia="宋体" w:cs="Times New Roman"/>
    </w:rPr>
  </w:style>
  <w:style w:type="table" w:default="1" w:styleId="26">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5"/>
    <w:qFormat/>
    <w:uiPriority w:val="0"/>
    <w:pPr>
      <w:jc w:val="left"/>
    </w:pPr>
    <w:rPr>
      <w:rFonts w:ascii="Times New Roman" w:hAnsi="Times New Roman" w:eastAsia="宋体" w:cs="Times New Roman"/>
    </w:rPr>
  </w:style>
  <w:style w:type="paragraph" w:styleId="10">
    <w:name w:val="Body Text"/>
    <w:basedOn w:val="1"/>
    <w:qFormat/>
    <w:uiPriority w:val="0"/>
    <w:pPr>
      <w:jc w:val="center"/>
    </w:pPr>
    <w:rPr>
      <w:rFonts w:ascii="Times New Roman" w:hAnsi="Times New Roman" w:eastAsia="黑体" w:cs="Times New Roman"/>
      <w:sz w:val="52"/>
    </w:rPr>
  </w:style>
  <w:style w:type="paragraph" w:styleId="11">
    <w:name w:val="Body Text Indent"/>
    <w:basedOn w:val="1"/>
    <w:qFormat/>
    <w:uiPriority w:val="0"/>
    <w:pPr>
      <w:widowControl/>
      <w:spacing w:after="120"/>
      <w:ind w:left="420" w:leftChars="200"/>
      <w:jc w:val="left"/>
    </w:pPr>
    <w:rPr>
      <w:rFonts w:ascii="Times New Roman" w:hAnsi="Times New Roman" w:eastAsia="宋体" w:cs="Times New Roman"/>
      <w:kern w:val="0"/>
      <w:sz w:val="24"/>
    </w:rPr>
  </w:style>
  <w:style w:type="paragraph" w:styleId="12">
    <w:name w:val="toc 3"/>
    <w:basedOn w:val="1"/>
    <w:next w:val="1"/>
    <w:link w:val="49"/>
    <w:qFormat/>
    <w:uiPriority w:val="0"/>
    <w:pPr>
      <w:spacing w:line="360" w:lineRule="auto"/>
      <w:ind w:left="840" w:leftChars="400" w:firstLine="0" w:firstLineChars="0"/>
    </w:pPr>
  </w:style>
  <w:style w:type="paragraph" w:styleId="13">
    <w:name w:val="Plain Text"/>
    <w:basedOn w:val="1"/>
    <w:qFormat/>
    <w:uiPriority w:val="0"/>
    <w:rPr>
      <w:rFonts w:ascii="宋体" w:hAnsi="Courier New" w:eastAsia="宋体" w:cs="Times New Roman"/>
      <w:szCs w:val="20"/>
    </w:rPr>
  </w:style>
  <w:style w:type="paragraph" w:styleId="14">
    <w:name w:val="Body Text Indent 2"/>
    <w:basedOn w:val="1"/>
    <w:qFormat/>
    <w:uiPriority w:val="0"/>
    <w:pPr>
      <w:spacing w:after="120" w:line="480" w:lineRule="auto"/>
      <w:ind w:left="420" w:leftChars="200"/>
    </w:pPr>
    <w:rPr>
      <w:rFonts w:ascii="Times New Roman" w:hAnsi="Times New Roman" w:eastAsia="宋体" w:cs="Times New Roman"/>
      <w:szCs w:val="21"/>
    </w:rPr>
  </w:style>
  <w:style w:type="paragraph" w:styleId="15">
    <w:name w:val="Balloon Text"/>
    <w:basedOn w:val="1"/>
    <w:qFormat/>
    <w:uiPriority w:val="0"/>
    <w:rPr>
      <w:rFonts w:ascii="Times New Roman" w:hAnsi="Times New Roman" w:eastAsia="宋体" w:cs="Times New Roman"/>
      <w:sz w:val="18"/>
      <w:szCs w:val="18"/>
    </w:rPr>
  </w:style>
  <w:style w:type="paragraph" w:styleId="16">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
    <w:next w:val="1"/>
    <w:qFormat/>
    <w:uiPriority w:val="0"/>
    <w:pPr>
      <w:spacing w:line="360" w:lineRule="auto"/>
      <w:ind w:firstLine="0" w:firstLineChars="0"/>
    </w:pPr>
    <w:rPr>
      <w:sz w:val="28"/>
    </w:rPr>
  </w:style>
  <w:style w:type="paragraph" w:styleId="19">
    <w:name w:val="toc 4"/>
    <w:basedOn w:val="1"/>
    <w:next w:val="1"/>
    <w:qFormat/>
    <w:uiPriority w:val="0"/>
    <w:pPr>
      <w:ind w:left="1260" w:leftChars="600"/>
    </w:pPr>
    <w:rPr>
      <w:rFonts w:ascii="Times New Roman" w:hAnsi="Times New Roman" w:eastAsia="宋体" w:cs="Times New Roman"/>
    </w:rPr>
  </w:style>
  <w:style w:type="paragraph" w:styleId="20">
    <w:name w:val="footnote text"/>
    <w:basedOn w:val="1"/>
    <w:qFormat/>
    <w:uiPriority w:val="0"/>
    <w:pPr>
      <w:snapToGrid w:val="0"/>
      <w:spacing w:line="240" w:lineRule="auto"/>
      <w:ind w:firstLine="0" w:firstLineChars="0"/>
      <w:jc w:val="left"/>
    </w:pPr>
    <w:rPr>
      <w:sz w:val="18"/>
    </w:rPr>
  </w:style>
  <w:style w:type="paragraph" w:styleId="21">
    <w:name w:val="Body Text Indent 3"/>
    <w:basedOn w:val="1"/>
    <w:qFormat/>
    <w:uiPriority w:val="0"/>
    <w:pPr>
      <w:adjustRightInd w:val="0"/>
      <w:snapToGrid w:val="0"/>
      <w:spacing w:line="300" w:lineRule="auto"/>
      <w:ind w:firstLine="540"/>
    </w:pPr>
    <w:rPr>
      <w:rFonts w:ascii="楷体_GB2312" w:hAnsi="Times New Roman" w:eastAsia="楷体_GB2312" w:cs="Times New Roman"/>
      <w:bCs/>
      <w:sz w:val="28"/>
    </w:rPr>
  </w:style>
  <w:style w:type="paragraph" w:styleId="22">
    <w:name w:val="toc 2"/>
    <w:basedOn w:val="1"/>
    <w:next w:val="1"/>
    <w:qFormat/>
    <w:uiPriority w:val="0"/>
    <w:pPr>
      <w:spacing w:line="360" w:lineRule="auto"/>
      <w:ind w:left="420" w:leftChars="200" w:firstLine="0" w:firstLineChars="0"/>
    </w:pPr>
    <w:rPr>
      <w:rFonts w:ascii="Times New Roman" w:hAnsi="Times New Roman" w:eastAsia="宋体"/>
    </w:rPr>
  </w:style>
  <w:style w:type="paragraph" w:styleId="23">
    <w:name w:val="Normal (Web)"/>
    <w:basedOn w:val="1"/>
    <w:qFormat/>
    <w:uiPriority w:val="0"/>
    <w:pPr>
      <w:widowControl/>
      <w:spacing w:before="100" w:beforeAutospacing="1" w:after="100" w:afterAutospacing="1"/>
      <w:jc w:val="left"/>
    </w:pPr>
    <w:rPr>
      <w:rFonts w:ascii="宋体" w:hAnsi="宋体" w:eastAsia="宋体" w:cs="Times New Roman"/>
      <w:color w:val="000000"/>
      <w:kern w:val="0"/>
      <w:sz w:val="24"/>
    </w:rPr>
  </w:style>
  <w:style w:type="paragraph" w:styleId="24">
    <w:name w:val="Title"/>
    <w:basedOn w:val="1"/>
    <w:qFormat/>
    <w:uiPriority w:val="0"/>
    <w:pPr>
      <w:spacing w:before="240" w:after="60"/>
      <w:jc w:val="center"/>
      <w:outlineLvl w:val="0"/>
    </w:pPr>
    <w:rPr>
      <w:rFonts w:ascii="Arial" w:hAnsi="Arial" w:eastAsia="宋体" w:cs="Arial"/>
      <w:b/>
      <w:bCs/>
      <w:sz w:val="32"/>
      <w:szCs w:val="32"/>
    </w:rPr>
  </w:style>
  <w:style w:type="paragraph" w:styleId="25">
    <w:name w:val="annotation subject"/>
    <w:basedOn w:val="9"/>
    <w:next w:val="9"/>
    <w:link w:val="36"/>
    <w:qFormat/>
    <w:uiPriority w:val="0"/>
    <w:rPr>
      <w:rFonts w:ascii="Times New Roman" w:hAnsi="Times New Roman" w:eastAsia="宋体" w:cs="Times New Roman"/>
      <w:b/>
      <w:bCs/>
    </w:rPr>
  </w:style>
  <w:style w:type="table" w:styleId="27">
    <w:name w:val="Table Grid"/>
    <w:qFormat/>
    <w:uiPriority w:val="0"/>
    <w:rPr>
      <w:rFonts w:ascii="Times New Roman" w:hAnsi="Times New Roman" w:eastAsia="宋体" w:cs="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endnote reference"/>
    <w:qFormat/>
    <w:uiPriority w:val="0"/>
    <w:rPr>
      <w:rFonts w:ascii="Times New Roman" w:hAnsi="Times New Roman" w:eastAsia="宋体" w:cs="Times New Roman"/>
      <w:vertAlign w:val="superscript"/>
    </w:rPr>
  </w:style>
  <w:style w:type="character" w:styleId="31">
    <w:name w:val="page number"/>
    <w:qFormat/>
    <w:uiPriority w:val="0"/>
    <w:rPr>
      <w:rFonts w:ascii="Times New Roman" w:hAnsi="Times New Roman" w:eastAsia="宋体" w:cs="Times New Roman"/>
    </w:rPr>
  </w:style>
  <w:style w:type="character" w:styleId="32">
    <w:name w:val="Hyperlink"/>
    <w:basedOn w:val="28"/>
    <w:qFormat/>
    <w:uiPriority w:val="0"/>
    <w:rPr>
      <w:rFonts w:ascii="Times New Roman" w:hAnsi="Times New Roman" w:eastAsia="宋体" w:cs="Times New Roman"/>
      <w:color w:val="0000FF"/>
      <w:u w:val="single"/>
    </w:rPr>
  </w:style>
  <w:style w:type="character" w:styleId="33">
    <w:name w:val="annotation reference"/>
    <w:qFormat/>
    <w:uiPriority w:val="0"/>
    <w:rPr>
      <w:rFonts w:ascii="Times New Roman" w:hAnsi="Times New Roman" w:eastAsia="宋体" w:cs="Times New Roman"/>
      <w:sz w:val="21"/>
      <w:szCs w:val="21"/>
    </w:rPr>
  </w:style>
  <w:style w:type="character" w:styleId="34">
    <w:name w:val="footnote reference"/>
    <w:qFormat/>
    <w:uiPriority w:val="0"/>
    <w:rPr>
      <w:rFonts w:ascii="Times New Roman" w:hAnsi="Times New Roman" w:eastAsia="宋体" w:cs="Times New Roman"/>
      <w:sz w:val="18"/>
      <w:vertAlign w:val="superscript"/>
    </w:rPr>
  </w:style>
  <w:style w:type="character" w:customStyle="1" w:styleId="35">
    <w:name w:val="批注文字 Char"/>
    <w:link w:val="9"/>
    <w:qFormat/>
    <w:uiPriority w:val="0"/>
    <w:rPr>
      <w:rFonts w:ascii="Times New Roman" w:hAnsi="Times New Roman" w:eastAsia="宋体" w:cs="Times New Roman"/>
      <w:kern w:val="2"/>
      <w:sz w:val="21"/>
      <w:szCs w:val="24"/>
    </w:rPr>
  </w:style>
  <w:style w:type="character" w:customStyle="1" w:styleId="36">
    <w:name w:val="批注主题 Char"/>
    <w:link w:val="25"/>
    <w:qFormat/>
    <w:uiPriority w:val="0"/>
    <w:rPr>
      <w:rFonts w:ascii="Times New Roman" w:hAnsi="Times New Roman" w:eastAsia="宋体" w:cs="Times New Roman"/>
      <w:b/>
      <w:bCs/>
      <w:kern w:val="2"/>
      <w:sz w:val="21"/>
      <w:szCs w:val="24"/>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eastAsia="宋体" w:cs="Times New Roman"/>
      <w:kern w:val="0"/>
      <w:sz w:val="24"/>
    </w:rPr>
  </w:style>
  <w:style w:type="paragraph" w:customStyle="1" w:styleId="38">
    <w:name w:val="_Style 2"/>
    <w:basedOn w:val="1"/>
    <w:qFormat/>
    <w:uiPriority w:val="0"/>
    <w:pPr>
      <w:spacing w:line="400" w:lineRule="exact"/>
      <w:ind w:firstLine="420" w:firstLineChars="200"/>
    </w:pPr>
    <w:rPr>
      <w:rFonts w:ascii="Times New Roman" w:hAnsi="Times New Roman" w:eastAsia="宋体" w:cs="Times New Roman"/>
      <w:sz w:val="24"/>
    </w:rPr>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s="Times New Roman"/>
      <w:color w:val="000000"/>
      <w:kern w:val="0"/>
      <w:sz w:val="18"/>
      <w:szCs w:val="20"/>
      <w:lang w:eastAsia="de-DE" w:bidi="en-US"/>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标题1"/>
    <w:basedOn w:val="24"/>
    <w:qFormat/>
    <w:uiPriority w:val="0"/>
    <w:pPr>
      <w:widowControl/>
      <w:adjustRightInd w:val="0"/>
      <w:spacing w:after="360" w:line="420" w:lineRule="exact"/>
      <w:textAlignment w:val="baseline"/>
      <w:outlineLvl w:val="9"/>
    </w:pPr>
    <w:rPr>
      <w:rFonts w:ascii="Times New Roman" w:hAnsi="Times New Roman" w:eastAsia="宋体" w:cs="Times New Roman"/>
      <w:b w:val="0"/>
      <w:bCs w:val="0"/>
      <w:kern w:val="0"/>
      <w:sz w:val="30"/>
      <w:szCs w:val="20"/>
    </w:rPr>
  </w:style>
  <w:style w:type="paragraph" w:customStyle="1" w:styleId="42">
    <w:name w:val="缩写表"/>
    <w:basedOn w:val="18"/>
    <w:qFormat/>
    <w:uiPriority w:val="0"/>
    <w:pPr>
      <w:adjustRightInd w:val="0"/>
      <w:spacing w:after="120" w:line="400" w:lineRule="exact"/>
      <w:jc w:val="left"/>
      <w:textAlignment w:val="baseline"/>
    </w:pPr>
    <w:rPr>
      <w:rFonts w:ascii="Times New Roman" w:hAnsi="Times New Roman" w:eastAsia="宋体" w:cs="Times New Roman"/>
      <w:spacing w:val="10"/>
      <w:kern w:val="0"/>
      <w:sz w:val="24"/>
      <w:szCs w:val="20"/>
    </w:rPr>
  </w:style>
  <w:style w:type="paragraph" w:customStyle="1" w:styleId="43">
    <w:name w:val="Char"/>
    <w:basedOn w:val="1"/>
    <w:qFormat/>
    <w:uiPriority w:val="0"/>
    <w:rPr>
      <w:rFonts w:ascii="Times New Roman" w:hAnsi="Times New Roman" w:eastAsia="宋体" w:cs="Times New Roman"/>
    </w:rPr>
  </w:style>
  <w:style w:type="paragraph" w:customStyle="1" w:styleId="44">
    <w:name w:val="修订1"/>
    <w:qFormat/>
    <w:uiPriority w:val="0"/>
    <w:rPr>
      <w:rFonts w:ascii="Times New Roman" w:hAnsi="Times New Roman" w:eastAsia="宋体" w:cs="Times New Roman"/>
      <w:kern w:val="2"/>
      <w:sz w:val="21"/>
      <w:szCs w:val="24"/>
      <w:lang w:val="en-US" w:eastAsia="zh-CN" w:bidi="ar-SA"/>
    </w:rPr>
  </w:style>
  <w:style w:type="table" w:customStyle="1" w:styleId="45">
    <w:name w:val="浅色底纹1"/>
    <w:basedOn w:val="26"/>
    <w:qFormat/>
    <w:uiPriority w:val="0"/>
    <w:rPr>
      <w:rFonts w:ascii="Times New Roman" w:hAnsi="Times New Roman" w:eastAsia="宋体" w:cs="Times New Roman"/>
      <w:color w:val="000000"/>
    </w:rPr>
    <w:tblPr>
      <w:tblBorders>
        <w:top w:val="single" w:color="auto" w:sz="8" w:space="0"/>
        <w:bottom w:val="single" w:color="auto" w:sz="8" w:space="0"/>
      </w:tblBorders>
      <w:tblCellMar>
        <w:top w:w="0" w:type="dxa"/>
        <w:left w:w="108" w:type="dxa"/>
        <w:bottom w:w="0" w:type="dxa"/>
        <w:right w:w="108" w:type="dxa"/>
      </w:tblCellMar>
    </w:tblPr>
    <w:tblStylePr w:type="fir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la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firstCol"/>
    <w:tblStylePr w:type="lastCol"/>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character" w:customStyle="1" w:styleId="46">
    <w:name w:val="font21"/>
    <w:basedOn w:val="28"/>
    <w:qFormat/>
    <w:uiPriority w:val="0"/>
    <w:rPr>
      <w:rFonts w:hint="default" w:ascii="Times New Roman" w:hAnsi="Times New Roman" w:cs="Times New Roman"/>
      <w:color w:val="000000"/>
      <w:sz w:val="24"/>
      <w:szCs w:val="24"/>
      <w:u w:val="none"/>
    </w:rPr>
  </w:style>
  <w:style w:type="character" w:customStyle="1" w:styleId="47">
    <w:name w:val="font11"/>
    <w:basedOn w:val="28"/>
    <w:qFormat/>
    <w:uiPriority w:val="0"/>
    <w:rPr>
      <w:rFonts w:hint="eastAsia" w:ascii="宋体" w:hAnsi="宋体" w:eastAsia="宋体" w:cs="宋体"/>
      <w:color w:val="000000"/>
      <w:sz w:val="24"/>
      <w:szCs w:val="24"/>
      <w:u w:val="none"/>
    </w:rPr>
  </w:style>
  <w:style w:type="character" w:customStyle="1" w:styleId="48">
    <w:name w:val="标题 1 Char"/>
    <w:link w:val="2"/>
    <w:qFormat/>
    <w:uiPriority w:val="0"/>
    <w:rPr>
      <w:rFonts w:ascii="Times New Roman" w:hAnsi="Times New Roman" w:eastAsia="宋体" w:cs="Times New Roman"/>
      <w:b/>
      <w:bCs/>
      <w:kern w:val="2"/>
      <w:sz w:val="32"/>
      <w:szCs w:val="32"/>
      <w:lang w:val="en-US" w:eastAsia="zh-CN" w:bidi="ar-SA"/>
    </w:rPr>
  </w:style>
  <w:style w:type="character" w:customStyle="1" w:styleId="49">
    <w:name w:val="目录 3 Char"/>
    <w:link w:val="12"/>
    <w:qFormat/>
    <w:uiPriority w:val="0"/>
    <w:rPr>
      <w:rFonts w:ascii="Times New Roman" w:hAnsi="Times New Roman" w:eastAsia="宋体" w:cs="Times New Roman"/>
      <w:sz w:val="24"/>
    </w:rPr>
  </w:style>
  <w:style w:type="character" w:customStyle="1" w:styleId="50">
    <w:name w:val="标题 3 Char"/>
    <w:link w:val="4"/>
    <w:qFormat/>
    <w:uiPriority w:val="0"/>
    <w:rPr>
      <w:rFonts w:eastAsia="宋体"/>
      <w:b/>
      <w:bCs/>
      <w:sz w:val="24"/>
      <w:szCs w:val="30"/>
    </w:rPr>
  </w:style>
  <w:style w:type="paragraph" w:customStyle="1" w:styleId="51">
    <w:name w:val="参考文献"/>
    <w:basedOn w:val="1"/>
    <w:qFormat/>
    <w:uiPriority w:val="0"/>
    <w:pPr>
      <w:numPr>
        <w:ilvl w:val="0"/>
        <w:numId w:val="2"/>
      </w:numPr>
      <w:wordWrap w:val="0"/>
      <w:ind w:left="454" w:hanging="454" w:firstLineChars="0"/>
      <w:outlineLvl w:val="9"/>
    </w:pPr>
    <w:rPr>
      <w:rFonts w:ascii="Times New Roman" w:hAnsi="Times New Roman"/>
      <w:szCs w:val="21"/>
    </w:rPr>
  </w:style>
  <w:style w:type="paragraph" w:customStyle="1" w:styleId="52">
    <w:name w:val="摘要"/>
    <w:basedOn w:val="1"/>
    <w:qFormat/>
    <w:uiPriority w:val="0"/>
    <w:pPr>
      <w:spacing w:before="50" w:beforeLines="50" w:after="50" w:afterLines="50"/>
    </w:pPr>
    <w:rPr>
      <w:rFonts w:hint="eastAsia"/>
    </w:rPr>
  </w:style>
  <w:style w:type="paragraph" w:customStyle="1" w:styleId="53">
    <w:name w:val="图题"/>
    <w:basedOn w:val="1"/>
    <w:uiPriority w:val="0"/>
    <w:pPr>
      <w:spacing w:before="120" w:after="240" w:line="240" w:lineRule="auto"/>
      <w:ind w:firstLine="0" w:firstLineChars="0"/>
      <w:jc w:val="center"/>
    </w:pPr>
    <w:rPr>
      <w:rFonts w:ascii="Times New Roman" w:hAnsi="Times New Roman"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 /><Relationship Id="rId8" Type="http://schemas.openxmlformats.org/officeDocument/2006/relationships/footer" Target="footer2.xml" /><Relationship Id="rId7" Type="http://schemas.openxmlformats.org/officeDocument/2006/relationships/header" Target="head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2" Type="http://schemas.openxmlformats.org/officeDocument/2006/relationships/fontTable" Target="fontTable.xml" /><Relationship Id="rId21" Type="http://schemas.openxmlformats.org/officeDocument/2006/relationships/numbering" Target="numbering.xml" /><Relationship Id="rId20" Type="http://schemas.openxmlformats.org/officeDocument/2006/relationships/customXml" Target="../customXml/item1.xml" /><Relationship Id="rId2" Type="http://schemas.openxmlformats.org/officeDocument/2006/relationships/settings" Target="settings.xml" /><Relationship Id="rId19" Type="http://schemas.openxmlformats.org/officeDocument/2006/relationships/image" Target="media/image4.png" /><Relationship Id="rId18" Type="http://schemas.openxmlformats.org/officeDocument/2006/relationships/image" Target="media/image3.png" /><Relationship Id="rId17" Type="http://schemas.openxmlformats.org/officeDocument/2006/relationships/image" Target="media/image2.png" /><Relationship Id="rId16" Type="http://schemas.openxmlformats.org/officeDocument/2006/relationships/image" Target="media/image1.png" /><Relationship Id="rId15" Type="http://schemas.openxmlformats.org/officeDocument/2006/relationships/theme" Target="theme/theme1.xml" /><Relationship Id="rId14" Type="http://schemas.openxmlformats.org/officeDocument/2006/relationships/footer" Target="footer5.xml" /><Relationship Id="rId13" Type="http://schemas.openxmlformats.org/officeDocument/2006/relationships/header" Target="header5.xml" /><Relationship Id="rId12" Type="http://schemas.openxmlformats.org/officeDocument/2006/relationships/footer" Target="footer4.xml" /><Relationship Id="rId11" Type="http://schemas.openxmlformats.org/officeDocument/2006/relationships/header" Target="header4.xml" /><Relationship Id="rId10" Type="http://schemas.openxmlformats.org/officeDocument/2006/relationships/footer" Target="footer3.xml" /><Relationship Id="rId1" Type="http://schemas.openxmlformats.org/officeDocument/2006/relationships/styles" Target="styles.xml" /><Relationship Id="rId23" Type="http://schemas.openxmlformats.org/officeDocument/2006/relationships/comments" Target="comments.xml" /><Relationship Id="rId24" Type="http://schemas.microsoft.com/office/2011/relationships/commentsExtended" Target="commentsExtended.xml" /><Relationship Id="rId25" Type="http://schemas.microsoft.com/office/2016/09/relationships/commentsIds" Target="commentsId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3"/>
    <customShpInfo spid="_x0000_s3074"/>
    <customShpInfo spid="_x0000_s3076"/>
    <customShpInfo spid="_x0000_s2093"/>
    <customShpInfo spid="_x0000_s2094"/>
    <customShpInfo spid="_x0000_s2095"/>
    <customShpInfo spid="_x0000_s2096"/>
    <customShpInfo spid="_x0000_s2097"/>
    <customShpInfo spid="_x0000_s2092"/>
    <customShpInfo spid="_x0000_s2099"/>
    <customShpInfo spid="_x0000_s2100"/>
    <customShpInfo spid="_x0000_s2101"/>
    <customShpInfo spid="_x0000_s2102"/>
    <customShpInfo spid="_x0000_s2103"/>
    <customShpInfo spid="_x0000_s2098"/>
    <customShpInfo spid="_x0000_s2104"/>
    <customShpInfo spid="_x0000_s2113"/>
    <customShpInfo spid="_x0000_s2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30</Pages>
  <Words>27962</Words>
  <Characters>30077</Characters>
  <Lines>81</Lines>
  <Paragraphs>22</Paragraphs>
  <TotalTime>627</TotalTime>
  <ScaleCrop>false</ScaleCrop>
  <LinksUpToDate>false</LinksUpToDate>
  <CharactersWithSpaces>30685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2023-10-10T02:38:00Z</dcterms:created>
  <dc:creator>ICBC</dc:creator>
  <cp:lastModifiedBy>胡思婷</cp:lastModifiedBy>
  <cp:lastPrinted>2026-05-17T00:35:18Z</cp:lastPrinted>
  <dcterms:modified xsi:type="dcterms:W3CDTF">2026-05-17T01:16:59Z</dcterms:modified>
  <dc:title>_x0001_</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CEC8D1276CD94E91B2B06E1E81D8A01C_13</vt:lpwstr>
  </property>
  <property fmtid="{D5CDD505-2E9C-101B-9397-08002B2CF9AE}" pid="5" name="KSOTemplateDocerSaveRecord">
    <vt:lpwstr>eyJoZGlkIjoiZjE1NGNhNGRmY2NjZGJmMTdkN2EyNjk2NjE2ZWNlZTAiLCJ1c2VySWQiOiIxNjU1NTU0MDA0In0=</vt:lpwstr>
  </property>
</Properties>
</file>