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2F490BF">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合同纠纷预防机制的完善——基于100份裁判文书发掘的启示</w:t>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v:group id="_x0000_s2092" o:spid="_x0000_s2092" o:spt="203" style="position:absolute;left:0pt;margin-left:113.5pt;margin-top:28.2pt;height:160.45pt;width:306pt;z-index:251663360;mso-width-relative:page;mso-height-relative:page;" coordorigin="6075,6895" coordsize="6120,3209203">
            <o:lock v:ext="edit"/>
            <v:shape id="_x0000_s2093" o:spid="_x0000_s2093" o:spt="32" type="#_x0000_t32" style="position:absolute;left:6075;top:7690;height:15;width:6120;" filled="f" coordsize="21600,21600">
              <v:path arrowok="t"/>
              <v:fill on="f" focussize="0,0"/>
              <v:stroke weight="1pt"/>
              <v:imagedata o:title=""/>
              <o:lock v:ext="edit"/>
            </v:shape>
            <v:shape id="_x0000_s2094" o:spid="_x0000_s2094" o:spt="32" type="#_x0000_t32" style="position:absolute;left:6075;top:8515;height:15;width:6120;" filled="f" coordsize="21600,21600">
              <v:path arrowok="t"/>
              <v:fill on="f" focussize="0,0"/>
              <v:stroke weight="1pt"/>
              <v:imagedata o:title=""/>
              <o:lock v:ext="edit"/>
            </v:shape>
            <v:shape id="_x0000_s2095" o:spid="_x0000_s2095" o:spt="32" type="#_x0000_t32" style="position:absolute;left:6075;top:9310;height:15;width:6120;" filled="f" coordsize="21600,21600">
              <v:path arrowok="t"/>
              <v:fill on="f" focussize="0,0"/>
              <v:stroke weight="1pt"/>
              <v:imagedata o:title=""/>
              <o:lock v:ext="edit"/>
            </v:shape>
            <v:shape id="_x0000_s2096" o:spid="_x0000_s2096" o:spt="32" type="#_x0000_t32" style="position:absolute;left:6075;top:10090;height:15;width:6120;" filled="f" coordsize="21600,21600">
              <v:path arrowok="t"/>
              <v:fill on="f" focussize="0,0"/>
              <v:stroke weight="1pt"/>
              <v:imagedata o:title=""/>
              <o:lock v:ext="edit"/>
            </v:shape>
            <v:shape id="_x0000_s2097" o:spid="_x0000_s2097" o:spt="32" type="#_x0000_t32" style="position:absolute;left:6075;top:6895;height:15;width:6120;" filled="f" coordsize="21600,21600">
              <v:path arrowok="t"/>
              <v:fill on="f" focussize="0,0"/>
              <v:stroke weight="1pt"/>
              <v:imagedata o:title=""/>
              <o:lock v:ext="edit"/>
            </v:shape>
          </v: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v:group id="组合 24" o:spid="_x0000_s2098" o:spt="203" style="position:absolute;left:0pt;margin-left:112.75pt;margin-top:-173.05pt;height:160.45pt;width:306pt;z-index:251664384;mso-width-relative:page;mso-height-relative:page;" coordorigin="6060,6895" coordsize="6120,3209">
            <o:lock v:ext="edit"/>
            <v:shape id="自选图形 20" o:spid="_x0000_s2099" o:spt="32" type="#_x0000_t32" style="position:absolute;left:6060;top:7690;height:15;width:6120;" filled="f" coordsize="21600,21600">
              <v:path arrowok="t"/>
              <v:fill on="f" focussize="0,0"/>
              <v:stroke weight="1pt"/>
              <v:imagedata o:title=""/>
              <o:lock v:ext="edit"/>
            </v:shape>
            <v:shape id="自选图形 2" o:spid="_x0000_s2100" o:spt="32" type="#_x0000_t32" style="position:absolute;left:6060;top:8515;height:15;width:6120;" filled="f" coordsize="21600,21600">
              <v:path arrowok="t"/>
              <v:fill on="f" focussize="0,0"/>
              <v:stroke weight="1pt"/>
              <v:imagedata o:title=""/>
              <o:lock v:ext="edit"/>
            </v:shape>
            <v:shape id="自选图形 3" o:spid="_x0000_s2101" o:spt="32" type="#_x0000_t32" style="position:absolute;left:6060;top:9310;height:15;width:6120;" filled="f" coordsize="21600,21600">
              <v:path arrowok="t"/>
              <v:fill on="f" focussize="0,0"/>
              <v:stroke weight="1pt"/>
              <v:imagedata o:title=""/>
              <o:lock v:ext="edit"/>
            </v:shape>
            <v:shape id="自选图形 4" o:spid="_x0000_s2102" o:spt="32" type="#_x0000_t32" style="position:absolute;left:6060;top:10090;height:15;width:6120;" filled="f" coordsize="21600,21600">
              <v:path arrowok="t"/>
              <v:fill on="f" focussize="0,0"/>
              <v:stroke weight="1pt"/>
              <v:imagedata o:title=""/>
              <o:lock v:ext="edit"/>
            </v:shape>
            <v:shape id="自选图形 5" o:spid="_x0000_s2103" o:spt="32" type="#_x0000_t32" style="position:absolute;left:6060;top:6895;height:15;width:6120;" filled="f" coordsize="21600,21600">
              <v:path arrowok="t"/>
              <v:fill on="f" focussize="0,0"/>
              <v:stroke weight="1pt"/>
              <v:imagedata o:title=""/>
              <o:lock v:ext="edit"/>
            </v:shape>
          </v: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v:shape id="_x0000_s2104" o:spid="_x0000_s2104" o:spt="32" type="#_x0000_t32" style="position:absolute;left:0pt;margin-left:176.9pt;margin-top:27.7pt;height:0pt;width:160.3pt;z-index:251665408;mso-width-relative:page;mso-height-relative:page;" o:connectortype="straight" filled="f" coordsize="21600,21600">
            <v:path arrowok="t"/>
            <v:fill on="f" focussize="0,0"/>
            <v:stroke weight="1pt"/>
            <v:imagedata o:title=""/>
            <o:lock v:ext="edit"/>
          </v: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基层社会治理中高频出现的一类民事争议。</w:t>
      </w:r>
      <w:r>
        <w:rPr>
          <w:rFonts w:hint="eastAsia"/>
          <w:lang w:val="en-US" w:eastAsia="zh-CN"/>
        </w:rPr>
        <w:t>研究</w:t>
      </w:r>
      <w:r>
        <w:rPr>
          <w:rFonts w:hint="eastAsia"/>
          <w:lang w:eastAsia="zh-CN"/>
        </w:rPr>
        <w:t>以100份裁判文书为样本，综合运用实证分析、规范分析和案例分析等方法，对纠纷类型分布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，物业费及收费标准争议占47%，服务质量争议占28%，信息披露争议占14%，违约责任及抗辩争议占11%。纠纷</w:t>
      </w:r>
      <w:r>
        <w:rPr>
          <w:rFonts w:hint="eastAsia"/>
          <w:lang w:val="en-US" w:eastAsia="zh-CN"/>
        </w:rPr>
        <w:t>并非</w:t>
      </w:r>
      <w:r>
        <w:rPr>
          <w:rFonts w:hint="eastAsia"/>
          <w:lang w:eastAsia="zh-CN"/>
        </w:rPr>
        <w:t>偶发的履约分歧，而是在合同订立、履行和争议显现三个阶段</w:t>
      </w:r>
      <w:r>
        <w:rPr>
          <w:rFonts w:hint="eastAsia"/>
          <w:lang w:val="en-US" w:eastAsia="zh-CN"/>
        </w:rPr>
        <w:t>累积的结果</w:t>
      </w:r>
      <w:r>
        <w:rPr>
          <w:rFonts w:hint="eastAsia"/>
          <w:lang w:eastAsia="zh-CN"/>
        </w:rPr>
        <w:t>：订立阶段，收费标准跟计费依据约定</w:t>
      </w:r>
      <w:r>
        <w:rPr>
          <w:rFonts w:hint="eastAsia"/>
          <w:lang w:val="en-US" w:eastAsia="zh-CN"/>
        </w:rPr>
        <w:t>不清</w:t>
      </w:r>
      <w:r>
        <w:rPr>
          <w:rFonts w:hint="eastAsia"/>
          <w:lang w:eastAsia="zh-CN"/>
        </w:rPr>
        <w:t>，</w:t>
      </w:r>
      <w:r>
        <w:rPr>
          <w:rFonts w:hint="eastAsia"/>
          <w:lang w:val="en-US" w:eastAsia="zh-CN"/>
        </w:rPr>
        <w:t>收费请求权因此缺少稳定的规则根基</w:t>
      </w:r>
      <w:r>
        <w:rPr>
          <w:rFonts w:hint="eastAsia"/>
          <w:lang w:eastAsia="zh-CN"/>
        </w:rPr>
        <w:t>；履行阶段，服务情况和费用信息公开不充分，业主对履约状态和收费合理性的信任判断被</w:t>
      </w:r>
      <w:r>
        <w:rPr>
          <w:rFonts w:hint="eastAsia"/>
          <w:lang w:val="en-US" w:eastAsia="zh-CN"/>
        </w:rPr>
        <w:t>逐步消解</w:t>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导致本可</w:t>
      </w:r>
      <w:r>
        <w:rPr>
          <w:rFonts w:hint="eastAsia"/>
          <w:lang w:eastAsia="zh-CN"/>
        </w:rPr>
        <w:t>在诉前能消解的分歧，直接涌</w:t>
      </w:r>
      <w:r>
        <w:rPr>
          <w:rFonts w:hint="eastAsia"/>
          <w:lang w:val="en-US" w:eastAsia="zh-CN"/>
        </w:rPr>
        <w:t>入了</w:t>
      </w:r>
      <w:r>
        <w:rPr>
          <w:rFonts w:hint="eastAsia"/>
          <w:lang w:eastAsia="zh-CN"/>
        </w:rPr>
        <w:t>诉讼</w:t>
      </w:r>
      <w:r>
        <w:rPr>
          <w:rFonts w:hint="eastAsia"/>
          <w:lang w:val="en-US" w:eastAsia="zh-CN"/>
        </w:rPr>
        <w:t>程序</w:t>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r>
        <w:rPr>
          <w:rFonts w:hint="eastAsia"/>
          <w:lang w:val="en-US" w:eastAsia="zh-CN"/>
        </w:rPr>
        <w:t>明确</w:t>
      </w:r>
      <w:r>
        <w:rPr>
          <w:rFonts w:hint="eastAsia"/>
          <w:lang w:eastAsia="zh-CN"/>
        </w:rPr>
        <w:t>收费项目、计费口径和调价条件</w:t>
      </w:r>
      <w:r>
        <w:rPr>
          <w:rFonts w:hint="eastAsia"/>
          <w:lang w:val="en-US" w:eastAsia="zh-CN"/>
        </w:rPr>
        <w:t>的</w:t>
      </w:r>
      <w:r>
        <w:rPr>
          <w:rFonts w:hint="eastAsia"/>
          <w:lang w:eastAsia="zh-CN"/>
        </w:rPr>
        <w:t>清单化规则；</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r>
        <w:rPr>
          <w:rFonts w:hint="eastAsia"/>
          <w:lang w:val="en-US" w:eastAsia="zh-CN"/>
        </w:rPr>
        <w:t>对</w:t>
      </w:r>
      <w:r>
        <w:rPr>
          <w:rFonts w:hint="eastAsia"/>
          <w:lang w:eastAsia="zh-CN"/>
        </w:rPr>
        <w:t>降低这类纠纷的诉讼化程度具有积极意义。</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the owner 's trust judgment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consultation mark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的物业服务合同纠纷越来越多，成了影响社区秩序、邻里关系和基层治理稳定的一类重要民事争议。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高发的势头。2021年到2025年，全国法院共审结了物业纠纷案件439万</w:t>
      </w:r>
      <w:r>
        <w:rPr>
          <w:rFonts w:hint="eastAsia"/>
          <w:lang w:val="en-US" w:eastAsia="zh-CN"/>
        </w:rPr>
        <w:t>余</w:t>
      </w:r>
      <w:r>
        <w:rPr>
          <w:rFonts w:hint="default"/>
          <w:lang w:val="en-US" w:eastAsia="zh-CN"/>
        </w:rPr>
        <w:t>件，平均每年约87.8万件。</w:t>
      </w:r>
      <w:r>
        <w:rPr>
          <w:rStyle w:val="34"/>
          <w:rFonts w:hint="default"/>
          <w:lang w:val="en-US" w:eastAsia="zh-CN"/>
        </w:rPr>
        <w:footnoteReference w:id="0"/>
      </w:r>
      <w:r>
        <w:rPr>
          <w:rFonts w:hint="eastAsia"/>
          <w:lang w:val="en-US" w:eastAsia="zh-CN"/>
        </w:rPr>
        <w:t>仅以</w:t>
      </w:r>
      <w:r>
        <w:rPr>
          <w:rFonts w:hint="default"/>
          <w:lang w:val="en-US" w:eastAsia="zh-CN"/>
        </w:rPr>
        <w:t>2025年，全国法院受理的物业服务合同纠纷一审案件就达到了29.47万件，跟上年相比上升了37.28%。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r>
        <w:rPr>
          <w:rStyle w:val="34"/>
          <w:rFonts w:hint="default"/>
          <w:lang w:val="en-US" w:eastAsia="zh-CN"/>
        </w:rPr>
        <w:footnoteReference w:id="2"/>
      </w:r>
      <w:r>
        <w:rPr>
          <w:rFonts w:hint="default"/>
          <w:lang w:val="en-US" w:eastAsia="zh-CN"/>
        </w:rPr>
        <w:t>四川省2024年到2025年9月一审新收的各类涉物业纠纷案件达到了70796件。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物业服务关系的紧张状态。2025年全国消协组织受理的物业类投诉有12.87万件，同比上涨16.8%，连续三年排在了服务类投诉的前列。</w:t>
      </w:r>
      <w:r>
        <w:rPr>
          <w:rStyle w:val="34"/>
          <w:rFonts w:hint="default"/>
          <w:lang w:val="en-US" w:eastAsia="zh-CN"/>
        </w:rPr>
        <w:footnoteReference w:id="4"/>
      </w:r>
      <w:r>
        <w:rPr>
          <w:rFonts w:hint="default"/>
          <w:lang w:val="en-US" w:eastAsia="zh-CN"/>
        </w:rPr>
        <w:t>同一年，全国住宅物业服务满意度掉到了69.1分，比上一年降</w:t>
      </w:r>
      <w:r>
        <w:rPr>
          <w:rFonts w:hint="eastAsia"/>
          <w:lang w:val="en-US" w:eastAsia="zh-CN"/>
        </w:rPr>
        <w:t>低</w:t>
      </w:r>
      <w:r>
        <w:rPr>
          <w:rFonts w:hint="default"/>
          <w:lang w:val="en-US" w:eastAsia="zh-CN"/>
        </w:rPr>
        <w:t>大约2个百分点；全国物业服务企业（500强）的平均物业费收缴率也降到</w:t>
      </w:r>
      <w:r>
        <w:rPr>
          <w:rFonts w:hint="eastAsia"/>
          <w:lang w:val="en-US" w:eastAsia="zh-CN"/>
        </w:rPr>
        <w:t>至</w:t>
      </w:r>
      <w:r>
        <w:rPr>
          <w:rFonts w:hint="default"/>
          <w:lang w:val="en-US" w:eastAsia="zh-CN"/>
        </w:rPr>
        <w:t>71%，连续四年下滑。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从这类合同的法律构造入手。早在《民法典》把它列为典型合同之前，陈华彬（2015）就从建筑物区分所有权法的角度指出，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，最后演变成对抗性争议。《民法典》第943条确立了物业服务人的公开和报告义务。王茂刚（2018）从司法实践的角度梳理业主知情权的行使范围和限制边界，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综合来看，既有研究已经形成了一个从制度构造到纠纷化解的完整认知谱系，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 </w:t>
      </w:r>
      <w:bookmarkEnd w:id="70"/>
      <w:bookmarkEnd w:id="71"/>
      <w:r>
        <w:rPr>
          <w:rStyle w:val="48"/>
          <w:rFonts w:hint="eastAsia"/>
          <w:lang w:val="en-US"/>
        </w:rPr>
        <w:t>物业服务合同纠纷预防机制的基础与观察思路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所示，样本地域分布的集中趋势相当明显。广东</w:t>
      </w:r>
      <w:r>
        <w:rPr>
          <w:rFonts w:hint="eastAsia"/>
          <w:lang w:val="en-US" w:eastAsia="zh-CN"/>
        </w:rPr>
        <w:t>省</w:t>
      </w:r>
      <w:r>
        <w:rPr>
          <w:rFonts w:hint="default"/>
        </w:rPr>
        <w:t>占了32件，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v:shape id="_x0000_i1060" o:spt="75" type="#_x0000_t75" style="height:198.4pt;width:396.85pt;" filled="f" o:preferrelative="t" stroked="f" coordsize="21600,21600">
            <v:path/>
            <v:fill on="f" focussize="0,0"/>
            <v:stroke on="f"/>
            <v:imagedata r:id="rId16" o:title=""/>
            <o:lock v:ext="edit" aspectratio="t"/>
            <w10:wrap type="none"/>
            <w10:anchorlock/>
          </v:shape>
        </w:pict>
      </w:r>
    </w:p>
    <w:p w14:paraId="26B45CA1">
      <w:pPr>
        <w:bidi w:val="0"/>
        <w:rPr>
          <w:rFonts w:hint="eastAsia" w:eastAsia="宋体"/>
          <w:lang w:eastAsia="zh-CN"/>
        </w:rPr>
      </w:pPr>
      <w:r>
        <w:rPr>
          <w:sz w:val="24"/>
        </w:rPr>
        <w:pict>
          <v:shape id="_x0000_s2113" o:spid="_x0000_s2113" o: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v:path/>
            <v:fill on="t" color2="#FFFFFF" focussize="0,0"/>
            <v:stroke on="f"/>
            <v:imagedata o:title=""/>
            <o:lock v:ext="edit" aspectratio="f"/>
            <v: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v:textbox>
            <w10:wrap type="through"/>
          </v: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v:shape id="_x0000_i1070" o:spt="75" type="#_x0000_t75" style="height:198.45pt;width:396.85pt;" filled="f" o:preferrelative="t" stroked="f" coordsize="21600,21600">
            <v:path/>
            <v:fill on="f" focussize="0,0"/>
            <v:stroke on="f"/>
            <v:imagedata r:id="rId17" o:title=""/>
            <o:lock v:ext="edit" aspectratio="t"/>
            <w10:wrap type="none"/>
            <w10:anchorlock/>
          </v:shape>
        </w:pict>
      </w:r>
      <w:r>
        <w:rPr>
          <w:sz w:val="24"/>
        </w:rPr>
        <w:pict>
          <v:shape id="_x0000_s2115" o:spid="_x0000_s2115" o:spt="202" type="#_x0000_t202" style="height:22.4pt;width:389.05pt;" fillcolor="#FFFFFF" filled="t" stroked="f" coordsize="21600,21600">
            <v:path/>
            <v:fill on="t" color2="#FFFFFF" focussize="0,0"/>
            <v:stroke on="f"/>
            <v:imagedata o:title=""/>
            <o:lock v:ext="edit" aspectratio="f"/>
            <v: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v:textbox>
            <w10:wrap type="none"/>
            <w10:anchorlock/>
          </v: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v:shape id="_x0000_i1058" o:spt="75" alt="" type="#_x0000_t75" style="height:198.4pt;width:232.15pt;" filled="f" o:preferrelative="t" stroked="f" coordsize="21600,21600">
            <v:path/>
            <v:fill on="f" focussize="0,0"/>
            <v:stroke on="f"/>
            <v:imagedata r:id="rId18" o:title=""/>
            <o:lock v:ext="edit" aspectratio="t"/>
            <w10:wrap type="none"/>
            <w10:anchorlock/>
          </v: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v:shape id="_x0000_i1059" o:spt="75" alt="" type="#_x0000_t75" style="height:198.4pt;width:223pt;" filled="f" o:preferrelative="t" stroked="f" coordsize="21600,21600">
            <v:path/>
            <v:fill on="f" focussize="0,0"/>
            <v:stroke on="f"/>
            <v:imagedata r:id="rId19" o:title=""/>
            <o:lock v:ext="edit" aspectratio="t"/>
            <w10:wrap type="none"/>
            <w10:anchorlock/>
          </v: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不少争议虽然在表面上争的是物业费该不该交、收这个标准合不合理，可法院在审理中反复审查的，其实都是合同里有没有对收费标准、计费依据、调价条件以及服务收费范围作出过明确的约定。这些核心事项要是在合同订立阶段就没写明白，收费上的分歧就很难在合同内部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只要合同中收费规则已作明确约定，法院便只能依据合同作出裁判，而无权对收费</w:t>
      </w:r>
      <w:r>
        <w:rPr>
          <w:rFonts w:hint="eastAsia"/>
          <w:lang w:val="en-US" w:eastAsia="zh-CN"/>
        </w:rPr>
        <w:t>的</w:t>
      </w:r>
      <w:r>
        <w:rPr>
          <w:rFonts w:hint="eastAsia"/>
          <w:lang w:eastAsia="zh-CN"/>
        </w:rPr>
        <w:t>合理性进行实质审查。这种裁判权限上的约束，使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pPr>
        <w:rPr>
          <w:rFonts w:hint="eastAsia"/>
          <w:lang w:val="en-US" w:eastAsia="zh-CN"/>
        </w:rPr>
      </w:pPr>
      <w:r>
        <w:rPr>
          <w:rFonts w:hint="eastAsia"/>
          <w:lang w:val="en-US" w:eastAsia="zh-CN"/>
        </w:rPr>
        <w:t>收费条款的清单化，是解决规则模糊问题的有效方式。物业服务合同由业主大会或者业主委员会与物业公司签订，对全体业主具有约束力，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建立递进式的异议受理程序。将异议处理拆分为四个节点，嵌入物业服务合同或业主管理规约：(1)书面异议登记，业主通过统一表单提出异议，写明异议事项、发生时间、涉及地点和具体诉求；(2)7日内给出初步答复，物业公司在这个期限内作出正式回应，把初步处理意见说清楚；(3)三十天内进入协商处理，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强化协商过程的书面留痕和结果确认。样本中大量案件进入诉讼后，双方经常围绕是否曾协商，协商时作出过何种承诺各执一词，却又难以提交完整的协商记录。佛山市率先探索的“物业服务痕迹存证平台”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陈华彬：《建筑物区分所有权的构成研究——兼及对〈物权法〉第70条的释明》，载《中国不动产法研究》2015年第2期。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