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宋体" w:cs="Times New Roman"/>
          <w:b/>
          <w:bCs/>
          <w:sz w:val="72"/>
        </w:rPr>
      </w:pPr>
      <w:r>
        <w:rPr>
          <w:rFonts w:hint="eastAsia" w:ascii="Times New Roman" w:hAnsi="Times New Roman" w:eastAsia="宋体" w:cs="Times New Roman"/>
          <w:b/>
          <w:bCs/>
          <w:sz w:val="72"/>
        </w:rPr>
        <w:t>湘潭大学毕业论文</w:t>
      </w:r>
    </w:p>
    <w:p>
      <w:pPr>
        <w:jc w:val="center"/>
        <w:rPr>
          <w:rFonts w:ascii="Times New Roman" w:hAnsi="Times New Roman" w:eastAsia="宋体" w:cs="Times New Roman"/>
          <w:b/>
          <w:bCs/>
          <w:sz w:val="72"/>
        </w:rPr>
      </w:pPr>
    </w:p>
    <w:p>
      <w:pPr>
        <w:tabs>
          <w:tab w:val="left" w:pos="7200"/>
        </w:tabs>
        <w:spacing w:line="600" w:lineRule="auto"/>
        <w:ind w:firstLine="643" w:firstLineChars="200"/>
        <w:jc w:val="left"/>
        <w:rPr>
          <w:rFonts w:hint="eastAsia" w:ascii="Times New Roman" w:hAnsi="Times New Roman" w:eastAsia="宋体" w:cs="Times New Roman"/>
          <w:b/>
          <w:bCs/>
          <w:sz w:val="32"/>
          <w:u w:val="single"/>
          <w:lang w:eastAsia="zh-CN"/>
        </w:rPr>
      </w:pPr>
      <w:r>
        <w:rPr>
          <w:rFonts w:hint="eastAsia" w:ascii="Times New Roman" w:hAnsi="Times New Roman" w:eastAsia="宋体" w:cs="Times New Roman"/>
          <w:b/>
          <w:bCs/>
          <w:sz w:val="32"/>
        </w:rPr>
        <w:t>题目：</w:t>
      </w:r>
      <w:r>
        <w:rPr>
          <w:rFonts w:hint="eastAsia" w:ascii="Times New Roman" w:hAnsi="Times New Roman" w:eastAsia="宋体" w:cs="Times New Roman"/>
          <w:b/>
          <w:bCs/>
          <w:sz w:val="32"/>
          <w:u w:val="single"/>
        </w:rPr>
        <w:t>彩礼返还规则研究——基于湖南省法院案例的实证分析</w:t>
      </w:r>
    </w:p>
    <w:p>
      <w:pPr>
        <w:spacing w:line="600" w:lineRule="auto"/>
        <w:jc w:val="center"/>
        <w:rPr>
          <w:rFonts w:ascii="Times New Roman" w:hAnsi="Times New Roman" w:eastAsia="宋体" w:cs="Times New Roman"/>
          <w:b/>
          <w:bCs/>
          <w:sz w:val="32"/>
        </w:rPr>
      </w:pPr>
    </w:p>
    <w:p>
      <w:pPr>
        <w:spacing w:line="600" w:lineRule="auto"/>
        <w:jc w:val="center"/>
        <w:rPr>
          <w:rFonts w:ascii="Times New Roman" w:hAnsi="Times New Roman" w:eastAsia="宋体" w:cs="Times New Roman"/>
          <w:b/>
          <w:bCs/>
          <w:sz w:val="32"/>
        </w:rPr>
      </w:pPr>
    </w:p>
    <w:p>
      <w:pPr>
        <w:spacing w:line="600" w:lineRule="auto"/>
        <w:ind w:left="630" w:leftChars="300"/>
        <w:jc w:val="left"/>
        <w:rPr>
          <w:rFonts w:hint="eastAsia" w:ascii="Times New Roman" w:hAnsi="Times New Roman" w:eastAsia="宋体" w:cs="Times New Roman"/>
          <w:b/>
          <w:bCs/>
          <w:sz w:val="32"/>
          <w:u w:val="none"/>
          <w:lang w:eastAsia="zh-CN"/>
        </w:rPr>
      </w:pPr>
      <w:r>
        <w:rPr>
          <w:rFonts w:ascii="Times New Roman" w:hAnsi="Times New Roman" w:eastAsia="宋体" w:cs="Times New Roman"/>
          <w:b/>
          <w:bCs/>
          <w:color w:val="FF0000"/>
          <w:szCs w:val="21"/>
        </w:rPr>
        <mc:AlternateContent>
          <mc:Choice Requires="wpg">
            <w:drawing>
              <wp:anchor distT="0" distB="0" distL="114300" distR="114300" simplePos="0" relativeHeight="251660288" behindDoc="0" locked="0" layoutInCell="1" allowOverlap="1">
                <wp:simplePos x="0" y="0"/>
                <wp:positionH relativeFrom="column">
                  <wp:posOffset>1367790</wp:posOffset>
                </wp:positionH>
                <wp:positionV relativeFrom="paragraph">
                  <wp:posOffset>394970</wp:posOffset>
                </wp:positionV>
                <wp:extent cx="3886200" cy="2037715"/>
                <wp:effectExtent l="0" t="6350" r="0" b="13335"/>
                <wp:wrapNone/>
                <wp:docPr id="38" name="组合 38"/>
                <wp:cNvGraphicFramePr/>
                <a:graphic xmlns:a="http://schemas.openxmlformats.org/drawingml/2006/main">
                  <a:graphicData uri="http://schemas.microsoft.com/office/word/2010/wordprocessingGroup">
                    <wpg:wgp>
                      <wpg:cNvGrpSpPr/>
                      <wpg:grpSpPr>
                        <a:xfrm>
                          <a:off x="0" y="0"/>
                          <a:ext cx="3886200" cy="2037715"/>
                          <a:chOff x="6060" y="6895"/>
                          <a:chExt cx="6120" cy="3209"/>
                        </a:xfrm>
                        <a:effectLst/>
                      </wpg:grpSpPr>
                      <wps:wsp>
                        <wps:cNvPr id="33" name="直接箭头连接符 33"/>
                        <wps:cNvCnPr/>
                        <wps:spPr>
                          <a:xfrm>
                            <a:off x="6060" y="7690"/>
                            <a:ext cx="6120" cy="15"/>
                          </a:xfrm>
                          <a:prstGeom prst="straightConnector1">
                            <a:avLst/>
                          </a:prstGeom>
                          <a:ln w="12700" cap="flat" cmpd="sng">
                            <a:solidFill>
                              <a:srgbClr val="000000"/>
                            </a:solidFill>
                            <a:prstDash val="solid"/>
                            <a:headEnd type="none" w="med" len="med"/>
                            <a:tailEnd type="none" w="med" len="med"/>
                          </a:ln>
                          <a:effectLst/>
                        </wps:spPr>
                        <wps:bodyPr/>
                      </wps:wsp>
                      <wps:wsp>
                        <wps:cNvPr id="34" name="直接箭头连接符 34"/>
                        <wps:cNvCnPr/>
                        <wps:spPr>
                          <a:xfrm>
                            <a:off x="6060" y="8515"/>
                            <a:ext cx="6120" cy="15"/>
                          </a:xfrm>
                          <a:prstGeom prst="straightConnector1">
                            <a:avLst/>
                          </a:prstGeom>
                          <a:ln w="12700" cap="flat" cmpd="sng">
                            <a:solidFill>
                              <a:srgbClr val="000000"/>
                            </a:solidFill>
                            <a:prstDash val="solid"/>
                            <a:headEnd type="none" w="med" len="med"/>
                            <a:tailEnd type="none" w="med" len="med"/>
                          </a:ln>
                          <a:effectLst/>
                        </wps:spPr>
                        <wps:bodyPr/>
                      </wps:wsp>
                      <wps:wsp>
                        <wps:cNvPr id="35" name="直接箭头连接符 35"/>
                        <wps:cNvCnPr/>
                        <wps:spPr>
                          <a:xfrm>
                            <a:off x="6060" y="9310"/>
                            <a:ext cx="6120" cy="15"/>
                          </a:xfrm>
                          <a:prstGeom prst="straightConnector1">
                            <a:avLst/>
                          </a:prstGeom>
                          <a:ln w="12700" cap="flat" cmpd="sng">
                            <a:solidFill>
                              <a:srgbClr val="000000"/>
                            </a:solidFill>
                            <a:prstDash val="solid"/>
                            <a:headEnd type="none" w="med" len="med"/>
                            <a:tailEnd type="none" w="med" len="med"/>
                          </a:ln>
                          <a:effectLst/>
                        </wps:spPr>
                        <wps:bodyPr/>
                      </wps:wsp>
                      <wps:wsp>
                        <wps:cNvPr id="36" name="直接箭头连接符 36"/>
                        <wps:cNvCnPr/>
                        <wps:spPr>
                          <a:xfrm>
                            <a:off x="6060" y="10090"/>
                            <a:ext cx="6120" cy="15"/>
                          </a:xfrm>
                          <a:prstGeom prst="straightConnector1">
                            <a:avLst/>
                          </a:prstGeom>
                          <a:ln w="12700" cap="flat" cmpd="sng">
                            <a:solidFill>
                              <a:srgbClr val="000000"/>
                            </a:solidFill>
                            <a:prstDash val="solid"/>
                            <a:headEnd type="none" w="med" len="med"/>
                            <a:tailEnd type="none" w="med" len="med"/>
                          </a:ln>
                          <a:effectLst/>
                        </wps:spPr>
                        <wps:bodyPr/>
                      </wps:wsp>
                      <wps:wsp>
                        <wps:cNvPr id="37" name="直接箭头连接符 37"/>
                        <wps:cNvCnPr/>
                        <wps:spPr>
                          <a:xfrm>
                            <a:off x="6060" y="6895"/>
                            <a:ext cx="6120" cy="15"/>
                          </a:xfrm>
                          <a:prstGeom prst="straightConnector1">
                            <a:avLst/>
                          </a:prstGeom>
                          <a:ln w="12700" cap="flat" cmpd="sng">
                            <a:solidFill>
                              <a:srgbClr val="000000"/>
                            </a:solidFill>
                            <a:prstDash val="solid"/>
                            <a:headEnd type="none" w="med" len="med"/>
                            <a:tailEnd type="none" w="med" len="med"/>
                          </a:ln>
                          <a:effectLst/>
                        </wps:spPr>
                        <wps:bodyPr/>
                      </wps:wsp>
                    </wpg:wgp>
                  </a:graphicData>
                </a:graphic>
              </wp:anchor>
            </w:drawing>
          </mc:Choice>
          <mc:Fallback>
            <w:pict>
              <v:group id="_x0000_s1026" o:spid="_x0000_s1026" o:spt="203" style="position:absolute;left:0pt;margin-left:107.7pt;margin-top:31.1pt;height:160.45pt;width:306pt;z-index:251660288;mso-width-relative:page;mso-height-relative:page;" coordorigin="6060,6895" coordsize="6120,3209" o:gfxdata="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T2kEfdsAAAAKAQAADwAAAAAAAAABACAAAAAiAAAAZHJzL2Rvd25yZXYueG1sUEsBAhQA&#10;FAAAAAgAh07iQMoHmPfTAgAAzw0AAA4AAAAAAAAAAQAgAAAAKgEAAGRycy9lMm9Eb2MueG1sUEsF&#10;BgAAAAAGAAYAWQEAAG8GAAAAAA==&#10;">
                <o:lock v:ext="edit" aspectratio="f"/>
                <v:shape id="_x0000_s1026" o:spid="_x0000_s1026" o:spt="32" type="#_x0000_t32" style="position:absolute;left:6060;top:7690;height:15;width:6120;" filled="f" stroked="t" coordsize="21600,21600" o:gfxdata="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7GWPC8AAAA&#10;2w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shape>
                <v:shape id="_x0000_s1026" o:spid="_x0000_s1026" o:spt="32" type="#_x0000_t32" style="position:absolute;left:6060;top:8515;height:15;width:6120;" filled="f" stroked="t" coordsize="21600,21600" o:gfxdata="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L8CEugAAANs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shape>
                <v:shape id="_x0000_s1026" o:spid="_x0000_s1026" o:spt="32" type="#_x0000_t32" style="position:absolute;left:6060;top:9310;height:15;width:6120;" filled="f" stroked="t" coordsize="21600,21600" o:gfxdata="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mNlH7sAAADb&#10;AAAADwAAAAAAAAABACAAAAAiAAAAZHJzL2Rvd25yZXYueG1sUEsBAhQAFAAAAAgAh07iQDMvBZ47&#10;AAAAOQAAABAAAAAAAAAAAQAgAAAACgEAAGRycy9zaGFwZXhtbC54bWxQSwUGAAAAAAYABgBbAQAA&#10;tAMAAAAA&#10;">
                  <v:fill on="f" focussize="0,0"/>
                  <v:stroke weight="1pt" color="#000000" joinstyle="round"/>
                  <v:imagedata o:title=""/>
                  <o:lock v:ext="edit" aspectratio="f"/>
                </v:shape>
                <v:shape id="_x0000_s1026" o:spid="_x0000_s1026" o:spt="32" type="#_x0000_t32" style="position:absolute;left:6060;top:10090;height:15;width:6120;" filled="f" stroked="t" coordsize="21600,21600" o:gfxdata="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sftovQAA&#10;ANs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shape>
                <v:shape id="_x0000_s1026" o:spid="_x0000_s1026" o:spt="32" type="#_x0000_t32" style="position:absolute;left:6060;top:6895;height:15;width:6120;" filled="f" stroked="t" coordsize="21600,21600" o:gfxdata="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f1e87sAAADb&#10;AAAADwAAAAAAAAABACAAAAAiAAAAZHJzL2Rvd25yZXYueG1sUEsBAhQAFAAAAAgAh07iQDMvBZ47&#10;AAAAOQAAABAAAAAAAAAAAQAgAAAACgEAAGRycy9zaGFwZXhtbC54bWxQSwUGAAAAAAYABgBbAQAA&#10;tAMAAAAA&#10;">
                  <v:fill on="f" focussize="0,0"/>
                  <v:stroke weight="1pt" color="#000000" joinstyle="round"/>
                  <v:imagedata o:title=""/>
                  <o:lock v:ext="edit" aspectratio="f"/>
                </v:shape>
              </v:group>
            </w:pict>
          </mc:Fallback>
        </mc:AlternateContent>
      </w:r>
      <w:r>
        <w:rPr>
          <w:sz w:val="32"/>
        </w:rPr>
        <mc:AlternateContent>
          <mc:Choice Requires="wps">
            <w:drawing>
              <wp:anchor distT="0" distB="0" distL="114300" distR="114300" simplePos="0" relativeHeight="251659264" behindDoc="0" locked="0" layoutInCell="1" allowOverlap="1">
                <wp:simplePos x="0" y="0"/>
                <wp:positionH relativeFrom="column">
                  <wp:posOffset>1365250</wp:posOffset>
                </wp:positionH>
                <wp:positionV relativeFrom="paragraph">
                  <wp:posOffset>393065</wp:posOffset>
                </wp:positionV>
                <wp:extent cx="3886200" cy="0"/>
                <wp:effectExtent l="0" t="6350" r="0" b="6350"/>
                <wp:wrapNone/>
                <wp:docPr id="27" name="直接箭头连接符 27"/>
                <wp:cNvGraphicFramePr/>
                <a:graphic xmlns:a="http://schemas.openxmlformats.org/drawingml/2006/main">
                  <a:graphicData uri="http://schemas.microsoft.com/office/word/2010/wordprocessingShape">
                    <wps:wsp>
                      <wps:cNvCnPr/>
                      <wps:spPr>
                        <a:xfrm>
                          <a:off x="2508250" y="4477385"/>
                          <a:ext cx="3886200" cy="0"/>
                        </a:xfrm>
                        <a:prstGeom prst="straightConnector1">
                          <a:avLst/>
                        </a:prstGeom>
                        <a:ln w="12700" cap="flat" cmpd="sng">
                          <a:solidFill>
                            <a:srgbClr val="000000"/>
                          </a:solidFill>
                          <a:prstDash val="solid"/>
                          <a:headEnd type="none" w="med" len="med"/>
                          <a:tailEnd type="none" w="med" len="med"/>
                        </a:ln>
                        <a:effectLst/>
                      </wps:spPr>
                      <wps:bodyPr/>
                    </wps:wsp>
                  </a:graphicData>
                </a:graphic>
              </wp:anchor>
            </w:drawing>
          </mc:Choice>
          <mc:Fallback>
            <w:pict>
              <v:shape id="_x0000_s1026" o:spid="_x0000_s1026" o:spt="32" type="#_x0000_t32" style="position:absolute;left:0pt;margin-left:107.5pt;margin-top:30.95pt;height:0pt;width:306pt;z-index:251659264;mso-width-relative:page;mso-height-relative:page;" filled="f" stroked="t" coordsize="21600,21600" o:gfxdata="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HV9YPUAAAACQEAAA8AAAAAAAAAAQAg&#10;AAAAIgAAAGRycy9kb3ducmV2LnhtbFBLAQIUABQAAAAIAIdO4kCfGQ05EgIAAAkEAAAOAAAAAAAA&#10;AAEAIAAAACMBAABkcnMvZTJvRG9jLnhtbFBLBQYAAAAABgAGAFkBAACnBQAAAAA=&#10;">
                <v:fill on="f" focussize="0,0"/>
                <v:stroke weight="1pt" color="#000000" joinstyle="round"/>
                <v:imagedata o:title=""/>
                <o:lock v:ext="edit" aspectratio="f"/>
              </v:shape>
            </w:pict>
          </mc:Fallback>
        </mc:AlternateContent>
      </w:r>
      <w:r>
        <w:rPr>
          <w:rFonts w:hint="eastAsia" w:ascii="Times New Roman" w:hAnsi="Times New Roman" w:eastAsia="宋体" w:cs="Times New Roman"/>
          <w:b/>
          <w:bCs/>
          <w:sz w:val="32"/>
        </w:rPr>
        <w:t>学院：</w:t>
      </w:r>
      <w:r>
        <w:rPr>
          <w:rFonts w:hint="eastAsia" w:ascii="Times New Roman" w:hAnsi="Times New Roman" w:cs="Times New Roman"/>
          <w:b/>
          <w:bCs/>
          <w:sz w:val="32"/>
          <w:lang w:val="en-US" w:eastAsia="zh-CN"/>
        </w:rPr>
        <w:t xml:space="preserve">           </w:t>
      </w:r>
      <w:r>
        <w:rPr>
          <w:rFonts w:hint="eastAsia" w:ascii="Times New Roman" w:hAnsi="Times New Roman" w:eastAsia="宋体" w:cs="Times New Roman"/>
          <w:b/>
          <w:bCs/>
          <w:sz w:val="32"/>
          <w:u w:val="none"/>
        </w:rPr>
        <w:t>法学</w:t>
      </w:r>
      <w:r>
        <w:rPr>
          <w:rFonts w:hint="eastAsia" w:ascii="Times New Roman" w:hAnsi="Times New Roman" w:eastAsia="宋体" w:cs="Times New Roman"/>
          <w:b/>
          <w:bCs/>
          <w:sz w:val="32"/>
          <w:u w:val="none"/>
          <w:lang w:val="en-US" w:eastAsia="zh-CN"/>
        </w:rPr>
        <w:t>学部</w:t>
      </w:r>
    </w:p>
    <w:p>
      <w:pPr>
        <w:spacing w:line="600" w:lineRule="auto"/>
        <w:ind w:left="630" w:leftChars="300"/>
        <w:jc w:val="left"/>
        <w:rPr>
          <w:rFonts w:ascii="Times New Roman" w:hAnsi="Times New Roman" w:eastAsia="宋体" w:cs="Times New Roman"/>
          <w:b/>
          <w:bCs/>
          <w:sz w:val="32"/>
          <w:u w:val="none"/>
        </w:rPr>
      </w:pPr>
      <w:r>
        <w:rPr>
          <w:rFonts w:hint="eastAsia" w:ascii="Times New Roman" w:hAnsi="Times New Roman" w:eastAsia="宋体" w:cs="Times New Roman"/>
          <w:b/>
          <w:bCs/>
          <w:sz w:val="32"/>
          <w:u w:val="none"/>
        </w:rPr>
        <w:t>班</w:t>
      </w:r>
      <w:r>
        <w:rPr>
          <w:rFonts w:hint="eastAsia" w:ascii="Times New Roman" w:hAnsi="Times New Roman" w:eastAsia="宋体" w:cs="Times New Roman"/>
          <w:b/>
          <w:bCs/>
          <w:color w:val="000000"/>
          <w:sz w:val="32"/>
          <w:u w:val="none"/>
        </w:rPr>
        <w:t>级</w:t>
      </w:r>
      <w:r>
        <w:rPr>
          <w:rFonts w:hint="eastAsia" w:ascii="Times New Roman" w:hAnsi="Times New Roman" w:eastAsia="宋体" w:cs="Times New Roman"/>
          <w:b/>
          <w:bCs/>
          <w:sz w:val="32"/>
          <w:u w:val="none"/>
        </w:rPr>
        <w:t>：</w:t>
      </w:r>
      <w:r>
        <w:rPr>
          <w:rFonts w:hint="eastAsia" w:ascii="Times New Roman" w:hAnsi="Times New Roman" w:cs="Times New Roman"/>
          <w:b/>
          <w:bCs/>
          <w:sz w:val="32"/>
          <w:u w:val="none"/>
          <w:lang w:val="en-US" w:eastAsia="zh-CN"/>
        </w:rPr>
        <w:t xml:space="preserve">           </w:t>
      </w:r>
      <w:r>
        <w:rPr>
          <w:rFonts w:hint="eastAsia" w:ascii="Times New Roman" w:hAnsi="Times New Roman" w:eastAsia="宋体" w:cs="Times New Roman"/>
          <w:b/>
          <w:bCs/>
          <w:sz w:val="32"/>
          <w:u w:val="none"/>
        </w:rPr>
        <w:t>202</w:t>
      </w:r>
      <w:r>
        <w:rPr>
          <w:rFonts w:hint="eastAsia" w:ascii="Times New Roman" w:hAnsi="Times New Roman" w:eastAsia="宋体" w:cs="Times New Roman"/>
          <w:b/>
          <w:bCs/>
          <w:sz w:val="32"/>
          <w:u w:val="none"/>
          <w:lang w:val="en-US" w:eastAsia="zh-CN"/>
        </w:rPr>
        <w:t>2</w:t>
      </w:r>
      <w:r>
        <w:rPr>
          <w:rFonts w:hint="eastAsia" w:ascii="Times New Roman" w:hAnsi="Times New Roman" w:eastAsia="宋体" w:cs="Times New Roman"/>
          <w:b/>
          <w:bCs/>
          <w:sz w:val="32"/>
          <w:u w:val="none"/>
        </w:rPr>
        <w:t>法学</w:t>
      </w:r>
      <w:r>
        <w:rPr>
          <w:rFonts w:hint="eastAsia" w:ascii="Times New Roman" w:hAnsi="Times New Roman" w:eastAsia="宋体" w:cs="Times New Roman"/>
          <w:b/>
          <w:bCs/>
          <w:sz w:val="32"/>
          <w:u w:val="none"/>
          <w:lang w:val="en-US" w:eastAsia="zh-CN"/>
        </w:rPr>
        <w:t>6</w:t>
      </w:r>
      <w:r>
        <w:rPr>
          <w:rFonts w:hint="eastAsia" w:ascii="Times New Roman" w:hAnsi="Times New Roman" w:eastAsia="宋体" w:cs="Times New Roman"/>
          <w:b/>
          <w:bCs/>
          <w:sz w:val="32"/>
          <w:u w:val="none"/>
        </w:rPr>
        <w:t>班</w:t>
      </w:r>
    </w:p>
    <w:p>
      <w:pPr>
        <w:spacing w:line="600" w:lineRule="auto"/>
        <w:ind w:left="630" w:leftChars="300"/>
        <w:jc w:val="left"/>
        <w:rPr>
          <w:rFonts w:hint="default" w:ascii="Times New Roman" w:hAnsi="Times New Roman" w:eastAsia="宋体" w:cs="Times New Roman"/>
          <w:b/>
          <w:bCs/>
          <w:sz w:val="32"/>
          <w:u w:val="none"/>
          <w:lang w:val="en-US" w:eastAsia="zh-CN"/>
        </w:rPr>
      </w:pPr>
      <w:r>
        <w:rPr>
          <w:rFonts w:hint="eastAsia" w:ascii="Times New Roman" w:hAnsi="Times New Roman" w:eastAsia="宋体" w:cs="Times New Roman"/>
          <w:b/>
          <w:bCs/>
          <w:sz w:val="32"/>
          <w:u w:val="none"/>
        </w:rPr>
        <w:t>学号：</w:t>
      </w:r>
      <w:r>
        <w:rPr>
          <w:rFonts w:hint="eastAsia" w:ascii="Times New Roman" w:hAnsi="Times New Roman" w:cs="Times New Roman"/>
          <w:b/>
          <w:bCs/>
          <w:sz w:val="32"/>
          <w:u w:val="none"/>
          <w:lang w:val="en-US" w:eastAsia="zh-CN"/>
        </w:rPr>
        <w:t xml:space="preserve">           </w:t>
      </w:r>
      <w:r>
        <w:rPr>
          <w:rFonts w:hint="eastAsia" w:ascii="Times New Roman" w:hAnsi="Times New Roman" w:eastAsia="宋体" w:cs="Times New Roman"/>
          <w:b/>
          <w:bCs/>
          <w:sz w:val="32"/>
          <w:u w:val="none"/>
          <w:lang w:val="en-US" w:eastAsia="zh-CN"/>
        </w:rPr>
        <w:t>202205256510</w:t>
      </w:r>
    </w:p>
    <w:p>
      <w:pPr>
        <w:spacing w:line="600" w:lineRule="auto"/>
        <w:ind w:left="630" w:leftChars="300"/>
        <w:jc w:val="left"/>
        <w:rPr>
          <w:rFonts w:hint="eastAsia" w:ascii="Times New Roman" w:hAnsi="Times New Roman" w:eastAsia="宋体" w:cs="Times New Roman"/>
          <w:b/>
          <w:bCs/>
          <w:sz w:val="32"/>
          <w:u w:val="none"/>
          <w:lang w:val="en-US" w:eastAsia="zh-CN"/>
        </w:rPr>
      </w:pPr>
      <w:r>
        <w:rPr>
          <w:rFonts w:hint="eastAsia" w:ascii="Times New Roman" w:hAnsi="Times New Roman" w:eastAsia="宋体" w:cs="Times New Roman"/>
          <w:b/>
          <w:bCs/>
          <w:sz w:val="32"/>
          <w:u w:val="none"/>
        </w:rPr>
        <w:t>姓名：</w:t>
      </w:r>
      <w:r>
        <w:rPr>
          <w:rFonts w:hint="eastAsia" w:ascii="Times New Roman" w:hAnsi="Times New Roman" w:cs="Times New Roman"/>
          <w:b/>
          <w:bCs/>
          <w:sz w:val="32"/>
          <w:u w:val="none"/>
          <w:lang w:val="en-US" w:eastAsia="zh-CN"/>
        </w:rPr>
        <w:t xml:space="preserve">           </w:t>
      </w:r>
      <w:r>
        <w:rPr>
          <w:rFonts w:hint="eastAsia" w:ascii="Times New Roman" w:hAnsi="Times New Roman" w:eastAsia="宋体" w:cs="Times New Roman"/>
          <w:b/>
          <w:bCs/>
          <w:sz w:val="32"/>
          <w:u w:val="none"/>
          <w:lang w:val="en-US" w:eastAsia="zh-CN"/>
        </w:rPr>
        <w:t>米顺平</w:t>
      </w:r>
    </w:p>
    <w:p>
      <w:pPr>
        <w:spacing w:line="600" w:lineRule="auto"/>
        <w:ind w:left="630" w:leftChars="300"/>
        <w:jc w:val="left"/>
        <w:rPr>
          <w:rFonts w:hint="default" w:ascii="Times New Roman" w:hAnsi="Times New Roman" w:eastAsia="宋体" w:cs="Times New Roman"/>
          <w:b/>
          <w:bCs/>
          <w:sz w:val="32"/>
          <w:u w:val="none"/>
          <w:lang w:val="en-US" w:eastAsia="zh-CN"/>
        </w:rPr>
      </w:pPr>
      <w:r>
        <w:rPr>
          <w:rFonts w:hint="eastAsia" w:ascii="Times New Roman" w:hAnsi="Times New Roman" w:eastAsia="宋体" w:cs="Times New Roman"/>
          <w:b/>
          <w:bCs/>
          <w:sz w:val="32"/>
          <w:u w:val="none"/>
        </w:rPr>
        <w:t>指导教师：</w:t>
      </w:r>
      <w:r>
        <w:rPr>
          <w:rFonts w:hint="eastAsia" w:ascii="Times New Roman" w:hAnsi="Times New Roman" w:cs="Times New Roman"/>
          <w:b/>
          <w:bCs/>
          <w:sz w:val="32"/>
          <w:u w:val="none"/>
          <w:lang w:val="en-US" w:eastAsia="zh-CN"/>
        </w:rPr>
        <w:t xml:space="preserve">        </w:t>
      </w:r>
      <w:r>
        <w:rPr>
          <w:rFonts w:hint="eastAsia" w:ascii="Times New Roman" w:hAnsi="Times New Roman" w:eastAsia="宋体" w:cs="Times New Roman"/>
          <w:b/>
          <w:bCs/>
          <w:sz w:val="32"/>
          <w:u w:val="none"/>
          <w:lang w:val="en-US" w:eastAsia="zh-CN"/>
        </w:rPr>
        <w:t>张庆霖</w:t>
      </w:r>
    </w:p>
    <w:p>
      <w:pPr>
        <w:tabs>
          <w:tab w:val="left" w:pos="7200"/>
        </w:tabs>
        <w:spacing w:line="600" w:lineRule="auto"/>
        <w:rPr>
          <w:rFonts w:ascii="Times New Roman" w:hAnsi="Times New Roman" w:eastAsia="宋体" w:cs="Times New Roman"/>
          <w:b/>
          <w:bCs/>
          <w:color w:val="FF0000"/>
          <w:szCs w:val="21"/>
        </w:rPr>
      </w:pPr>
    </w:p>
    <w:p>
      <w:pPr>
        <w:tabs>
          <w:tab w:val="left" w:pos="7200"/>
        </w:tabs>
        <w:spacing w:line="600" w:lineRule="auto"/>
        <w:rPr>
          <w:rFonts w:ascii="Times New Roman" w:hAnsi="Times New Roman" w:eastAsia="宋体" w:cs="Times New Roman"/>
          <w:b/>
          <w:bCs/>
          <w:color w:val="FF0000"/>
          <w:szCs w:val="21"/>
        </w:rPr>
      </w:pPr>
    </w:p>
    <w:p>
      <w:pPr>
        <w:tabs>
          <w:tab w:val="left" w:pos="7200"/>
        </w:tabs>
        <w:spacing w:line="600" w:lineRule="auto"/>
        <w:rPr>
          <w:rFonts w:ascii="Times New Roman" w:hAnsi="Times New Roman" w:eastAsia="宋体" w:cs="Times New Roman"/>
          <w:b/>
          <w:bCs/>
          <w:color w:val="FF0000"/>
          <w:szCs w:val="21"/>
        </w:rPr>
      </w:pPr>
    </w:p>
    <w:p>
      <w:pPr>
        <w:tabs>
          <w:tab w:val="left" w:pos="7200"/>
        </w:tabs>
        <w:spacing w:line="600" w:lineRule="auto"/>
        <w:rPr>
          <w:rFonts w:ascii="Times New Roman" w:hAnsi="Times New Roman" w:eastAsia="宋体" w:cs="Times New Roman"/>
          <w:b/>
          <w:bCs/>
          <w:color w:val="FF0000"/>
          <w:szCs w:val="21"/>
        </w:rPr>
      </w:pPr>
    </w:p>
    <w:p>
      <w:pPr>
        <w:spacing w:line="600" w:lineRule="auto"/>
        <w:ind w:firstLine="1928" w:firstLineChars="600"/>
        <w:jc w:val="left"/>
        <w:rPr>
          <w:rFonts w:hint="eastAsia" w:ascii="Times New Roman" w:hAnsi="Times New Roman" w:eastAsia="宋体" w:cs="Times New Roman"/>
          <w:b/>
          <w:bCs/>
          <w:color w:val="000000"/>
          <w:sz w:val="32"/>
          <w:lang w:eastAsia="zh-CN"/>
        </w:rPr>
      </w:pPr>
      <w:r>
        <w:rPr>
          <w:rFonts w:ascii="Times New Roman" w:hAnsi="Times New Roman" w:eastAsia="宋体" w:cs="Times New Roman"/>
          <w:b/>
          <w:bCs/>
          <w:sz w:val="32"/>
        </w:rPr>
        <mc:AlternateContent>
          <mc:Choice Requires="wps">
            <w:drawing>
              <wp:anchor distT="0" distB="0" distL="114300" distR="114300" simplePos="0" relativeHeight="251661312" behindDoc="0" locked="0" layoutInCell="1" allowOverlap="1">
                <wp:simplePos x="0" y="0"/>
                <wp:positionH relativeFrom="column">
                  <wp:posOffset>2170430</wp:posOffset>
                </wp:positionH>
                <wp:positionV relativeFrom="paragraph">
                  <wp:posOffset>386080</wp:posOffset>
                </wp:positionV>
                <wp:extent cx="2035810" cy="0"/>
                <wp:effectExtent l="0" t="6350" r="0" b="6350"/>
                <wp:wrapNone/>
                <wp:docPr id="39" name="直接箭头连接符 39"/>
                <wp:cNvGraphicFramePr/>
                <a:graphic xmlns:a="http://schemas.openxmlformats.org/drawingml/2006/main">
                  <a:graphicData uri="http://schemas.microsoft.com/office/word/2010/wordprocessingShape">
                    <wps:wsp>
                      <wps:cNvCnPr/>
                      <wps:spPr>
                        <a:xfrm>
                          <a:off x="0" y="0"/>
                          <a:ext cx="2035810" cy="0"/>
                        </a:xfrm>
                        <a:prstGeom prst="straightConnector1">
                          <a:avLst/>
                        </a:prstGeom>
                        <a:ln w="12700" cap="flat" cmpd="sng">
                          <a:solidFill>
                            <a:srgbClr val="000000"/>
                          </a:solidFill>
                          <a:prstDash val="solid"/>
                          <a:headEnd type="none" w="med" len="med"/>
                          <a:tailEnd type="none" w="med" len="med"/>
                        </a:ln>
                        <a:effectLst/>
                      </wps:spPr>
                      <wps:bodyPr/>
                    </wps:wsp>
                  </a:graphicData>
                </a:graphic>
              </wp:anchor>
            </w:drawing>
          </mc:Choice>
          <mc:Fallback>
            <w:pict>
              <v:shape id="_x0000_s1026" o:spid="_x0000_s1026" o:spt="32" type="#_x0000_t32" style="position:absolute;left:0pt;margin-left:170.9pt;margin-top:30.4pt;height:0pt;width:160.3pt;z-index:251661312;mso-width-relative:page;mso-height-relative:page;" filled="f" stroked="t" coordsize="21600,21600" o:gfxdata="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Qb5X/1QAAAAkBAAAPAAAAAAAAAAEAIAAAACIAAABkcnMvZG93&#10;bnJldi54bWxQSwECFAAUAAAACACHTuJAVTpl1gMCAAD9AwAADgAAAAAAAAABACAAAAAkAQAAZHJz&#10;L2Uyb0RvYy54bWxQSwUGAAAAAAYABgBZAQAAmQUAAAAA&#10;">
                <v:fill on="f" focussize="0,0"/>
                <v:stroke weight="1pt" color="#000000" joinstyle="round"/>
                <v:imagedata o:title=""/>
                <o:lock v:ext="edit" aspectratio="f"/>
              </v:shape>
            </w:pict>
          </mc:Fallback>
        </mc:AlternateContent>
      </w:r>
      <w:r>
        <w:rPr>
          <w:rFonts w:hint="eastAsia" w:ascii="Times New Roman" w:hAnsi="Times New Roman" w:eastAsia="宋体" w:cs="Times New Roman"/>
          <w:b/>
          <w:bCs/>
          <w:color w:val="000000"/>
          <w:sz w:val="32"/>
        </w:rPr>
        <w:t>完成日期：</w:t>
      </w:r>
      <w:r>
        <w:rPr>
          <w:rFonts w:hint="eastAsia" w:ascii="Times New Roman" w:hAnsi="Times New Roman" w:cs="Times New Roman"/>
          <w:b/>
          <w:bCs/>
          <w:color w:val="000000"/>
          <w:sz w:val="32"/>
          <w:lang w:val="en-US" w:eastAsia="zh-CN"/>
        </w:rPr>
        <w:t>2026</w:t>
      </w:r>
      <w:r>
        <w:rPr>
          <w:rFonts w:hint="eastAsia" w:ascii="Times New Roman" w:hAnsi="Times New Roman" w:eastAsia="宋体" w:cs="Times New Roman"/>
          <w:b/>
          <w:bCs/>
          <w:color w:val="000000"/>
          <w:sz w:val="32"/>
        </w:rPr>
        <w:t>年</w:t>
      </w:r>
      <w:r>
        <w:rPr>
          <w:rFonts w:hint="eastAsia" w:ascii="Times New Roman" w:hAnsi="Times New Roman" w:cs="Times New Roman"/>
          <w:b/>
          <w:bCs/>
          <w:color w:val="000000"/>
          <w:sz w:val="32"/>
          <w:lang w:val="en-US" w:eastAsia="zh-CN"/>
        </w:rPr>
        <w:t>5</w:t>
      </w:r>
      <w:r>
        <w:rPr>
          <w:rFonts w:hint="eastAsia" w:ascii="Times New Roman" w:hAnsi="Times New Roman" w:eastAsia="宋体" w:cs="Times New Roman"/>
          <w:b/>
          <w:bCs/>
          <w:color w:val="000000"/>
          <w:sz w:val="32"/>
        </w:rPr>
        <w:t>月</w:t>
      </w:r>
    </w:p>
    <w:p>
      <w:pPr>
        <w:spacing w:line="600" w:lineRule="auto"/>
        <w:ind w:firstLine="1928" w:firstLineChars="600"/>
        <w:jc w:val="left"/>
        <w:rPr>
          <w:rFonts w:ascii="Times New Roman" w:hAnsi="Times New Roman" w:eastAsia="宋体" w:cs="Times New Roman"/>
          <w:b/>
          <w:bCs/>
          <w:color w:val="000000"/>
          <w:sz w:val="32"/>
        </w:rPr>
      </w:pPr>
    </w:p>
    <w:p>
      <w:pPr>
        <w:sectPr>
          <w:footnotePr>
            <w:numFmt w:val="decimalEnclosedCircleChinese"/>
            <w:numRestart w:val="eachPage"/>
          </w:footnotePr>
          <w:pgSz w:w="11906" w:h="16838"/>
          <w:pgMar w:top="1440" w:right="1800" w:bottom="1440" w:left="1800" w:header="851" w:footer="992" w:gutter="0"/>
          <w:pgNumType w:fmt="decimal"/>
          <w:cols w:space="720" w:num="1"/>
          <w:docGrid w:type="lines" w:linePitch="312" w:charSpace="0"/>
        </w:sectPr>
      </w:pPr>
    </w:p>
    <w:p>
      <w:pPr>
        <w:keepNext w:val="0"/>
        <w:keepLines w:val="0"/>
        <w:pageBreakBefore w:val="0"/>
        <w:widowControl w:val="0"/>
        <w:kinsoku/>
        <w:wordWrap/>
        <w:overflowPunct/>
        <w:topLinePunct w:val="0"/>
        <w:autoSpaceDE/>
        <w:autoSpaceDN/>
        <w:bidi w:val="0"/>
        <w:adjustRightInd/>
        <w:snapToGrid/>
        <w:jc w:val="center"/>
        <w:textAlignment w:val="auto"/>
        <w:outlineLvl w:val="0"/>
        <w:rPr>
          <w:rFonts w:ascii="Times New Roman" w:hAnsi="Times New Roman"/>
          <w:b/>
          <w:bCs/>
          <w:sz w:val="32"/>
          <w:szCs w:val="36"/>
        </w:rPr>
      </w:pPr>
      <w:bookmarkStart w:id="0" w:name="_Toc19093"/>
      <w:bookmarkStart w:id="1" w:name="_Toc9789"/>
      <w:bookmarkStart w:id="2" w:name="_Toc22985"/>
      <w:bookmarkStart w:id="3" w:name="_Toc220"/>
      <w:bookmarkStart w:id="4" w:name="OLE_LINK1"/>
      <w:r>
        <w:rPr>
          <w:rFonts w:hint="eastAsia" w:ascii="Times New Roman" w:hAnsi="Times New Roman"/>
          <w:b/>
          <w:bCs/>
          <w:sz w:val="32"/>
          <w:szCs w:val="32"/>
        </w:rPr>
        <w:t>摘要</w:t>
      </w:r>
      <w:bookmarkEnd w:id="0"/>
      <w:bookmarkEnd w:id="1"/>
      <w:bookmarkEnd w:id="2"/>
      <w:bookmarkEnd w:id="3"/>
    </w:p>
    <w:p>
      <w:pPr>
        <w:pStyle w:val="28"/>
        <w:spacing w:before="161" w:beforeLines="50" w:after="161" w:afterLines="50"/>
        <w:rPr>
          <w:rFonts w:hint="default"/>
          <w:sz w:val="21"/>
          <w:szCs w:val="22"/>
          <w:lang w:val="en-US" w:eastAsia="zh-CN"/>
        </w:rPr>
      </w:pPr>
      <w:bookmarkStart w:id="5" w:name="OLE_LINK30"/>
      <w:r>
        <w:rPr>
          <w:rFonts w:hint="eastAsia"/>
          <w:sz w:val="21"/>
          <w:szCs w:val="22"/>
          <w:lang w:val="en-US" w:eastAsia="zh-CN"/>
        </w:rPr>
        <w:t>作为婚约财产纠纷最普遍的问题，彩礼返还的目的是矫正因婚姻目的落空产生的利益失衡，保护给付方的合法财产权益。细化彩礼返还规则，有助于统一裁判尺度，减少同案不同判，遏制高额彩礼、借婚姻索取财物等，引导社会树立健康婚恋观。彩礼返还规则主要有《民法典婚姻家庭编解释（一）》与《最高人民法院关于审理涉彩礼纠纷案件适用法律若干问题的规定》。基于湖南省78份裁判，可见存在原被告诉讼主体类型复杂、彩礼认定范围在不同法院存在显著分歧、返还比例参考因素权重不同导致裁判标准不统一，呈现出法官判案说理依据不足、适用规则混乱的特点。中国可以通过扩大诉讼主体范围、量化彩礼认定标准、构建多要素协同的动态体系协助法官在彩礼纠纷案件中对诉讼主体认定、彩礼范围界定、返还比例的裁量。如设置例外情形对主体范围作适当的扩大、彩礼的婚姻目的实现标准，为不属于彩礼的三类财物设置量化上限、建立动态返还体系要素顺位。在尊重彩礼的前提下，充分发挥彩礼返还机制的社会调节功能。</w:t>
      </w:r>
    </w:p>
    <w:bookmarkEnd w:id="5"/>
    <w:p>
      <w:pPr>
        <w:spacing w:line="400" w:lineRule="exact"/>
        <w:ind w:firstLine="482" w:firstLineChars="200"/>
        <w:rPr>
          <w:rFonts w:ascii="Times New Roman" w:hAnsi="Times New Roman"/>
          <w:b/>
          <w:bCs/>
          <w:sz w:val="24"/>
          <w:szCs w:val="32"/>
        </w:rPr>
      </w:pPr>
    </w:p>
    <w:p>
      <w:pPr>
        <w:spacing w:line="400" w:lineRule="exact"/>
        <w:ind w:firstLine="482" w:firstLineChars="200"/>
        <w:rPr>
          <w:rFonts w:hint="eastAsia" w:ascii="Times New Roman" w:hAnsi="Times New Roman" w:eastAsia="宋体"/>
          <w:lang w:val="en-US" w:eastAsia="zh-CN"/>
        </w:rPr>
      </w:pPr>
      <w:r>
        <w:rPr>
          <w:rFonts w:hint="eastAsia" w:ascii="Times New Roman" w:hAnsi="Times New Roman"/>
          <w:b/>
          <w:bCs/>
          <w:sz w:val="24"/>
          <w:szCs w:val="32"/>
        </w:rPr>
        <w:t>关键词：</w:t>
      </w:r>
      <w:bookmarkStart w:id="6" w:name="OLE_LINK11"/>
      <w:r>
        <w:rPr>
          <w:rFonts w:hint="eastAsia" w:ascii="Times New Roman" w:hAnsi="Times New Roman"/>
          <w:b w:val="0"/>
          <w:bCs w:val="0"/>
          <w:sz w:val="24"/>
          <w:szCs w:val="32"/>
          <w:lang w:val="en-US" w:eastAsia="zh-CN"/>
        </w:rPr>
        <w:t>彩礼返还</w:t>
      </w:r>
      <w:r>
        <w:rPr>
          <w:rFonts w:hint="eastAsia" w:ascii="Times New Roman" w:hAnsi="Times New Roman"/>
          <w:kern w:val="44"/>
        </w:rPr>
        <w:t>；</w:t>
      </w:r>
      <w:r>
        <w:rPr>
          <w:rFonts w:hint="eastAsia" w:ascii="Times New Roman" w:hAnsi="Times New Roman"/>
          <w:kern w:val="44"/>
          <w:lang w:val="en-US" w:eastAsia="zh-CN"/>
        </w:rPr>
        <w:t>婚约财产纠纷</w:t>
      </w:r>
      <w:r>
        <w:rPr>
          <w:rFonts w:hint="eastAsia" w:ascii="Times New Roman" w:hAnsi="Times New Roman"/>
          <w:kern w:val="44"/>
        </w:rPr>
        <w:t>；</w:t>
      </w:r>
      <w:r>
        <w:rPr>
          <w:rFonts w:hint="eastAsia" w:ascii="Times New Roman" w:hAnsi="Times New Roman"/>
          <w:kern w:val="44"/>
          <w:lang w:val="en-US" w:eastAsia="zh-CN"/>
        </w:rPr>
        <w:t>返还比例</w:t>
      </w:r>
      <w:r>
        <w:rPr>
          <w:rFonts w:hint="eastAsia" w:ascii="Times New Roman" w:hAnsi="Times New Roman"/>
          <w:kern w:val="44"/>
        </w:rPr>
        <w:t>；</w:t>
      </w:r>
      <w:r>
        <w:rPr>
          <w:rFonts w:hint="eastAsia" w:ascii="Times New Roman" w:hAnsi="Times New Roman"/>
          <w:kern w:val="44"/>
          <w:lang w:val="en-US" w:eastAsia="zh-CN"/>
        </w:rPr>
        <w:t>共同生活</w:t>
      </w:r>
      <w:bookmarkEnd w:id="6"/>
    </w:p>
    <w:p>
      <w:pPr>
        <w:jc w:val="center"/>
        <w:outlineLvl w:val="0"/>
        <w:rPr>
          <w:rFonts w:ascii="Times New Roman" w:hAnsi="Times New Roman"/>
          <w:bCs/>
          <w:sz w:val="32"/>
          <w:szCs w:val="32"/>
        </w:rPr>
        <w:sectPr>
          <w:headerReference r:id="rId4" w:type="default"/>
          <w:footerReference r:id="rId5" w:type="default"/>
          <w:footnotePr>
            <w:numFmt w:val="decimalEnclosedCircleChinese"/>
            <w:numRestart w:val="eachPage"/>
          </w:footnotePr>
          <w:pgSz w:w="11906" w:h="16838"/>
          <w:pgMar w:top="1701" w:right="1134" w:bottom="1417" w:left="1701" w:header="850" w:footer="992" w:gutter="0"/>
          <w:pgNumType w:fmt="upperRoman" w:start="1"/>
          <w:cols w:space="720" w:num="1"/>
          <w:docGrid w:type="lines" w:linePitch="322" w:charSpace="0"/>
        </w:sectPr>
      </w:pPr>
    </w:p>
    <w:bookmarkEnd w:id="4"/>
    <w:p>
      <w:pPr>
        <w:jc w:val="center"/>
        <w:outlineLvl w:val="0"/>
        <w:rPr>
          <w:rFonts w:ascii="Times New Roman" w:hAnsi="Times New Roman"/>
          <w:kern w:val="44"/>
          <w:sz w:val="32"/>
          <w:szCs w:val="32"/>
        </w:rPr>
      </w:pPr>
      <w:bookmarkStart w:id="7" w:name="_Toc31142"/>
      <w:bookmarkStart w:id="8" w:name="_Toc18053"/>
      <w:bookmarkStart w:id="9" w:name="_Toc3513"/>
      <w:bookmarkStart w:id="10" w:name="_Toc9712"/>
      <w:r>
        <w:rPr>
          <w:rFonts w:hint="eastAsia" w:ascii="Times New Roman" w:hAnsi="Times New Roman"/>
          <w:bCs/>
          <w:sz w:val="32"/>
          <w:szCs w:val="32"/>
        </w:rPr>
        <w:t>Abstract</w:t>
      </w:r>
      <w:bookmarkEnd w:id="7"/>
      <w:bookmarkEnd w:id="8"/>
      <w:bookmarkEnd w:id="9"/>
      <w:bookmarkEnd w:id="10"/>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kern w:val="44"/>
          <w:sz w:val="24"/>
        </w:rPr>
      </w:pPr>
      <w:r>
        <w:rPr>
          <w:rFonts w:hint="eastAsia" w:ascii="Times New Roman" w:hAnsi="Times New Roman"/>
          <w:kern w:val="44"/>
          <w:sz w:val="24"/>
        </w:rPr>
        <w:t>As the most common issue in disputes over property arising from marriage contracts, the purpose of bride price (betrothal gift) restitution is to remedy the imbalance of interests caused by the failure to achieve the purpose of marriage, thereby protecting the legitimate property rights of the paying party. Refining the rules for bride price restitution helps unify the adjudication standards, reduce inconsistent judgments for similar cases, curb exorbitant bride prices and marriage procurement through property demands, and guide society toward fostering healthy views on marriage and relationships. The primary rules governing bride price restitution are found in Interpretation (I) of the Marriage and Family Book of the Civil Code and the Provisions of the Supreme People's Court on Several Issues Concerning the Application of Law in the Trial of Disputes over Bride Price. Based on an analysis of 78 judicial decisions from Hunan Province, it is evident that there are complex issues regarding the types of plaintiffs and defendants, significant discrepancies among courts in defining the scope of bride price, and inconsistent adjudication standards due to varying weights assigned to factors determining the restitution ratio. These issues manifest as insufficient reasoning by judges and chaotic application of the rules. China can address these problems by expanding the scope of litigants, quantifying the criteria for determining bride price, and establishing a multi-factor collaborative dynamic system to assist judges in adjudicating disputes over bride price—particularly regarding the identification of litigants, the definition of bride price scope, and the discretion in determining restitution ratios. For instance, appropriate expansions of the litigant scope may be made through exceptional circumstances; the standard for achieving the marriage purpose of bride price should be clarified; quantitative caps should be set for three categories of properties that do not constitute bride price; and a dynamic restitution system with an ordered hierarchy of factors should be established. On the premise of respecting bride price, the social regulatory function of the bride price restitution mechanism should be fully leveraged.</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kern w:val="44"/>
          <w:sz w:val="24"/>
        </w:rPr>
      </w:pPr>
    </w:p>
    <w:p>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宋体"/>
          <w:kern w:val="44"/>
          <w:sz w:val="24"/>
          <w:lang w:val="en-US" w:eastAsia="zh-CN"/>
        </w:rPr>
        <w:sectPr>
          <w:footnotePr>
            <w:numFmt w:val="decimalEnclosedCircleChinese"/>
            <w:numRestart w:val="eachPage"/>
          </w:footnotePr>
          <w:pgSz w:w="11906" w:h="16838"/>
          <w:pgMar w:top="1440" w:right="1800" w:bottom="1440" w:left="1800" w:header="851" w:footer="992" w:gutter="0"/>
          <w:pgNumType w:fmt="upperRoman"/>
          <w:cols w:space="720" w:num="1"/>
          <w:docGrid w:type="lines" w:linePitch="312" w:charSpace="0"/>
        </w:sectPr>
      </w:pPr>
      <w:r>
        <w:rPr>
          <w:rFonts w:ascii="Times New Roman" w:hAnsi="Times New Roman"/>
          <w:b/>
          <w:bCs/>
          <w:kern w:val="44"/>
          <w:sz w:val="24"/>
          <w:szCs w:val="32"/>
        </w:rPr>
        <w:t>Keywords</w:t>
      </w:r>
      <w:r>
        <w:rPr>
          <w:rFonts w:hint="eastAsia" w:ascii="Times New Roman" w:hAnsi="Times New Roman"/>
          <w:b/>
          <w:bCs/>
          <w:kern w:val="44"/>
          <w:sz w:val="24"/>
          <w:szCs w:val="32"/>
        </w:rPr>
        <w:t>:</w:t>
      </w:r>
      <w:r>
        <w:rPr>
          <w:rFonts w:hint="eastAsia" w:ascii="Times New Roman" w:hAnsi="Times New Roman"/>
          <w:b/>
          <w:bCs/>
          <w:kern w:val="44"/>
          <w:sz w:val="24"/>
          <w:szCs w:val="32"/>
          <w:lang w:val="en-US" w:eastAsia="zh-CN"/>
        </w:rPr>
        <w:t xml:space="preserve"> </w:t>
      </w:r>
      <w:r>
        <w:rPr>
          <w:rFonts w:hint="eastAsia" w:ascii="Times New Roman" w:hAnsi="Times New Roman"/>
          <w:kern w:val="44"/>
          <w:sz w:val="24"/>
          <w:lang w:val="en-US" w:eastAsia="zh-CN"/>
        </w:rPr>
        <w:t xml:space="preserve">Return of betrothal gifts; Engagement Property Dispute; </w:t>
      </w:r>
      <w:r>
        <w:rPr>
          <w:rFonts w:hint="eastAsia" w:ascii="Times New Roman" w:hAnsi="Times New Roman"/>
          <w:kern w:val="44"/>
          <w:sz w:val="24"/>
        </w:rPr>
        <w:t>restitution</w:t>
      </w:r>
      <w:r>
        <w:rPr>
          <w:rFonts w:hint="eastAsia" w:ascii="Times New Roman" w:hAnsi="Times New Roman"/>
          <w:kern w:val="44"/>
          <w:sz w:val="24"/>
          <w:lang w:val="en-US" w:eastAsia="zh-CN"/>
        </w:rPr>
        <w:t xml:space="preserve"> </w:t>
      </w:r>
      <w:r>
        <w:rPr>
          <w:rFonts w:hint="eastAsia" w:ascii="Times New Roman" w:hAnsi="Times New Roman"/>
          <w:kern w:val="44"/>
          <w:sz w:val="24"/>
        </w:rPr>
        <w:t>percentage</w:t>
      </w:r>
      <w:r>
        <w:rPr>
          <w:rFonts w:hint="eastAsia" w:ascii="Times New Roman" w:hAnsi="Times New Roman"/>
          <w:kern w:val="44"/>
          <w:sz w:val="24"/>
          <w:lang w:val="en-US" w:eastAsia="zh-CN"/>
        </w:rPr>
        <w:t xml:space="preserve">; </w:t>
      </w:r>
      <w:r>
        <w:rPr>
          <w:rFonts w:hint="eastAsia" w:ascii="Times New Roman" w:hAnsi="Times New Roman"/>
          <w:kern w:val="44"/>
          <w:sz w:val="24"/>
        </w:rPr>
        <w:t>Cohabitation</w:t>
      </w:r>
    </w:p>
    <w:p>
      <w:pPr>
        <w:pStyle w:val="16"/>
        <w:keepNext w:val="0"/>
        <w:keepLines w:val="0"/>
        <w:pageBreakBefore w:val="0"/>
        <w:widowControl w:val="0"/>
        <w:tabs>
          <w:tab w:val="right" w:leader="dot" w:pos="8306"/>
        </w:tabs>
        <w:kinsoku/>
        <w:wordWrap/>
        <w:overflowPunct/>
        <w:topLinePunct w:val="0"/>
        <w:autoSpaceDE/>
        <w:autoSpaceDN/>
        <w:bidi w:val="0"/>
        <w:adjustRightInd/>
        <w:snapToGrid/>
        <w:spacing w:before="480" w:after="360" w:line="400" w:lineRule="exact"/>
        <w:jc w:val="center"/>
        <w:textAlignment w:val="auto"/>
        <w:rPr>
          <w:rFonts w:hint="eastAsia" w:eastAsia="宋体"/>
          <w:b/>
          <w:bCs/>
          <w:sz w:val="32"/>
          <w:szCs w:val="32"/>
          <w:lang w:val="en-US" w:eastAsia="zh-CN"/>
        </w:rPr>
      </w:pPr>
      <w:r>
        <w:rPr>
          <w:rFonts w:hint="eastAsia"/>
          <w:b/>
          <w:bCs/>
          <w:sz w:val="32"/>
          <w:szCs w:val="32"/>
          <w:lang w:val="en-US" w:eastAsia="zh-CN"/>
        </w:rPr>
        <w:t>目  录</w:t>
      </w:r>
    </w:p>
    <w:p>
      <w:pPr>
        <w:pStyle w:val="16"/>
        <w:tabs>
          <w:tab w:val="right" w:leader="dot" w:pos="8306"/>
        </w:tabs>
        <w:spacing w:line="360" w:lineRule="auto"/>
        <w:rPr>
          <w:rFonts w:hint="eastAsia" w:ascii="Times New Roman" w:hAnsi="Times New Roman" w:eastAsia="宋体" w:cs="宋体"/>
          <w:sz w:val="28"/>
        </w:rPr>
      </w:pPr>
      <w:r>
        <w:rPr>
          <w:rFonts w:hint="eastAsia" w:ascii="Times New Roman" w:hAnsi="Times New Roman" w:eastAsia="宋体" w:cs="宋体"/>
          <w:sz w:val="28"/>
          <w:szCs w:val="28"/>
          <w:lang w:eastAsia="zh-CN"/>
        </w:rPr>
        <w:fldChar w:fldCharType="begin"/>
      </w:r>
      <w:r>
        <w:rPr>
          <w:rFonts w:hint="eastAsia" w:ascii="Times New Roman" w:hAnsi="Times New Roman" w:eastAsia="宋体" w:cs="宋体"/>
          <w:sz w:val="28"/>
          <w:szCs w:val="28"/>
          <w:lang w:eastAsia="zh-CN"/>
        </w:rPr>
        <w:instrText xml:space="preserve">TOC \o "1-3" \h \u </w:instrText>
      </w:r>
      <w:r>
        <w:rPr>
          <w:rFonts w:hint="eastAsia" w:ascii="Times New Roman" w:hAnsi="Times New Roman" w:eastAsia="宋体" w:cs="宋体"/>
          <w:sz w:val="28"/>
          <w:szCs w:val="28"/>
          <w:lang w:eastAsia="zh-CN"/>
        </w:rPr>
        <w:fldChar w:fldCharType="separate"/>
      </w:r>
      <w:r>
        <w:rPr>
          <w:rFonts w:hint="eastAsia" w:ascii="Times New Roman" w:hAnsi="Times New Roman" w:eastAsia="宋体" w:cs="宋体"/>
          <w:sz w:val="28"/>
          <w:szCs w:val="28"/>
          <w:lang w:eastAsia="zh-CN"/>
        </w:rPr>
        <w:fldChar w:fldCharType="begin"/>
      </w:r>
      <w:r>
        <w:rPr>
          <w:rFonts w:hint="eastAsia" w:ascii="Times New Roman" w:hAnsi="Times New Roman" w:eastAsia="宋体" w:cs="宋体"/>
          <w:sz w:val="28"/>
          <w:szCs w:val="28"/>
          <w:lang w:eastAsia="zh-CN"/>
        </w:rPr>
        <w:instrText xml:space="preserve"> HYPERLINK \l _Toc220 </w:instrText>
      </w:r>
      <w:r>
        <w:rPr>
          <w:rFonts w:hint="eastAsia" w:ascii="Times New Roman" w:hAnsi="Times New Roman" w:eastAsia="宋体" w:cs="宋体"/>
          <w:sz w:val="28"/>
          <w:szCs w:val="28"/>
          <w:lang w:eastAsia="zh-CN"/>
        </w:rPr>
        <w:fldChar w:fldCharType="separate"/>
      </w:r>
      <w:r>
        <w:rPr>
          <w:rFonts w:hint="eastAsia" w:ascii="Times New Roman" w:hAnsi="Times New Roman" w:eastAsia="宋体" w:cs="宋体"/>
          <w:bCs/>
          <w:sz w:val="28"/>
          <w:szCs w:val="32"/>
        </w:rPr>
        <w:t>摘要</w:t>
      </w:r>
      <w:r>
        <w:rPr>
          <w:rFonts w:hint="eastAsia" w:ascii="Times New Roman" w:hAnsi="Times New Roman" w:eastAsia="宋体" w:cs="宋体"/>
          <w:sz w:val="28"/>
        </w:rPr>
        <w:tab/>
      </w:r>
      <w:r>
        <w:rPr>
          <w:rFonts w:hint="eastAsia" w:ascii="Times New Roman" w:hAnsi="Times New Roman" w:eastAsia="宋体" w:cs="宋体"/>
          <w:sz w:val="28"/>
        </w:rPr>
        <w:fldChar w:fldCharType="begin"/>
      </w:r>
      <w:r>
        <w:rPr>
          <w:rFonts w:hint="eastAsia" w:ascii="Times New Roman" w:hAnsi="Times New Roman" w:eastAsia="宋体" w:cs="宋体"/>
          <w:sz w:val="28"/>
        </w:rPr>
        <w:instrText xml:space="preserve"> PAGEREF _Toc220 \h </w:instrText>
      </w:r>
      <w:r>
        <w:rPr>
          <w:rFonts w:hint="eastAsia" w:ascii="Times New Roman" w:hAnsi="Times New Roman" w:eastAsia="宋体" w:cs="宋体"/>
          <w:sz w:val="28"/>
        </w:rPr>
        <w:fldChar w:fldCharType="separate"/>
      </w:r>
      <w:r>
        <w:rPr>
          <w:rFonts w:hint="eastAsia" w:ascii="Times New Roman" w:hAnsi="Times New Roman" w:eastAsia="宋体" w:cs="宋体"/>
          <w:sz w:val="28"/>
        </w:rPr>
        <w:t>I</w:t>
      </w:r>
      <w:r>
        <w:rPr>
          <w:rFonts w:hint="eastAsia" w:ascii="Times New Roman" w:hAnsi="Times New Roman" w:eastAsia="宋体" w:cs="宋体"/>
          <w:sz w:val="28"/>
        </w:rPr>
        <w:fldChar w:fldCharType="end"/>
      </w:r>
      <w:r>
        <w:rPr>
          <w:rFonts w:hint="eastAsia" w:ascii="Times New Roman" w:hAnsi="Times New Roman" w:eastAsia="宋体" w:cs="宋体"/>
          <w:sz w:val="28"/>
          <w:szCs w:val="28"/>
          <w:lang w:eastAsia="zh-CN"/>
        </w:rPr>
        <w:fldChar w:fldCharType="end"/>
      </w:r>
    </w:p>
    <w:p>
      <w:pPr>
        <w:pStyle w:val="16"/>
        <w:tabs>
          <w:tab w:val="right" w:leader="dot" w:pos="8306"/>
        </w:tabs>
        <w:spacing w:line="360" w:lineRule="auto"/>
        <w:rPr>
          <w:rFonts w:hint="eastAsia" w:ascii="Times New Roman" w:hAnsi="Times New Roman" w:eastAsia="宋体" w:cs="宋体"/>
          <w:sz w:val="28"/>
        </w:rPr>
      </w:pPr>
      <w:r>
        <w:rPr>
          <w:rFonts w:hint="eastAsia" w:ascii="Times New Roman" w:hAnsi="Times New Roman" w:eastAsia="宋体" w:cs="宋体"/>
          <w:sz w:val="28"/>
          <w:szCs w:val="28"/>
          <w:lang w:eastAsia="zh-CN"/>
        </w:rPr>
        <w:fldChar w:fldCharType="begin"/>
      </w:r>
      <w:r>
        <w:rPr>
          <w:rFonts w:hint="eastAsia" w:ascii="Times New Roman" w:hAnsi="Times New Roman" w:eastAsia="宋体" w:cs="宋体"/>
          <w:sz w:val="28"/>
          <w:szCs w:val="28"/>
          <w:lang w:eastAsia="zh-CN"/>
        </w:rPr>
        <w:instrText xml:space="preserve"> HYPERLINK \l _Toc9712 </w:instrText>
      </w:r>
      <w:r>
        <w:rPr>
          <w:rFonts w:hint="eastAsia" w:ascii="Times New Roman" w:hAnsi="Times New Roman" w:eastAsia="宋体" w:cs="宋体"/>
          <w:sz w:val="28"/>
          <w:szCs w:val="28"/>
          <w:lang w:eastAsia="zh-CN"/>
        </w:rPr>
        <w:fldChar w:fldCharType="separate"/>
      </w:r>
      <w:r>
        <w:rPr>
          <w:rFonts w:hint="eastAsia" w:ascii="Times New Roman" w:hAnsi="Times New Roman" w:eastAsia="宋体" w:cs="宋体"/>
          <w:bCs/>
          <w:sz w:val="28"/>
          <w:szCs w:val="32"/>
        </w:rPr>
        <w:t>Abstract</w:t>
      </w:r>
      <w:r>
        <w:rPr>
          <w:rFonts w:hint="eastAsia" w:ascii="Times New Roman" w:hAnsi="Times New Roman" w:eastAsia="宋体" w:cs="宋体"/>
          <w:sz w:val="28"/>
        </w:rPr>
        <w:tab/>
      </w:r>
      <w:r>
        <w:rPr>
          <w:rFonts w:hint="eastAsia" w:ascii="Times New Roman" w:hAnsi="Times New Roman" w:eastAsia="宋体" w:cs="宋体"/>
          <w:sz w:val="28"/>
        </w:rPr>
        <w:fldChar w:fldCharType="begin"/>
      </w:r>
      <w:r>
        <w:rPr>
          <w:rFonts w:hint="eastAsia" w:ascii="Times New Roman" w:hAnsi="Times New Roman" w:eastAsia="宋体" w:cs="宋体"/>
          <w:sz w:val="28"/>
        </w:rPr>
        <w:instrText xml:space="preserve"> PAGEREF _Toc9712 \h </w:instrText>
      </w:r>
      <w:r>
        <w:rPr>
          <w:rFonts w:hint="eastAsia" w:ascii="Times New Roman" w:hAnsi="Times New Roman" w:eastAsia="宋体" w:cs="宋体"/>
          <w:sz w:val="28"/>
        </w:rPr>
        <w:fldChar w:fldCharType="separate"/>
      </w:r>
      <w:r>
        <w:rPr>
          <w:rFonts w:hint="eastAsia" w:ascii="Times New Roman" w:hAnsi="Times New Roman" w:eastAsia="宋体" w:cs="宋体"/>
          <w:sz w:val="28"/>
        </w:rPr>
        <w:t>II</w:t>
      </w:r>
      <w:r>
        <w:rPr>
          <w:rFonts w:hint="eastAsia" w:ascii="Times New Roman" w:hAnsi="Times New Roman" w:eastAsia="宋体" w:cs="宋体"/>
          <w:sz w:val="28"/>
        </w:rPr>
        <w:fldChar w:fldCharType="end"/>
      </w:r>
      <w:r>
        <w:rPr>
          <w:rFonts w:hint="eastAsia" w:ascii="Times New Roman" w:hAnsi="Times New Roman" w:eastAsia="宋体" w:cs="宋体"/>
          <w:sz w:val="28"/>
          <w:szCs w:val="28"/>
          <w:lang w:eastAsia="zh-CN"/>
        </w:rPr>
        <w:fldChar w:fldCharType="end"/>
      </w:r>
    </w:p>
    <w:p>
      <w:pPr>
        <w:pStyle w:val="16"/>
        <w:tabs>
          <w:tab w:val="right" w:leader="dot" w:pos="8306"/>
        </w:tabs>
        <w:spacing w:line="360" w:lineRule="auto"/>
        <w:rPr>
          <w:rFonts w:hint="eastAsia" w:ascii="Times New Roman" w:hAnsi="Times New Roman" w:eastAsia="宋体" w:cs="宋体"/>
          <w:sz w:val="28"/>
        </w:rPr>
      </w:pPr>
      <w:r>
        <w:rPr>
          <w:rFonts w:hint="eastAsia" w:ascii="Times New Roman" w:hAnsi="Times New Roman" w:eastAsia="宋体" w:cs="宋体"/>
          <w:sz w:val="28"/>
          <w:szCs w:val="28"/>
          <w:lang w:eastAsia="zh-CN"/>
        </w:rPr>
        <w:fldChar w:fldCharType="begin"/>
      </w:r>
      <w:r>
        <w:rPr>
          <w:rFonts w:hint="eastAsia" w:ascii="Times New Roman" w:hAnsi="Times New Roman" w:eastAsia="宋体" w:cs="宋体"/>
          <w:sz w:val="28"/>
          <w:szCs w:val="28"/>
          <w:lang w:eastAsia="zh-CN"/>
        </w:rPr>
        <w:instrText xml:space="preserve"> HYPERLINK \l _Toc1206 </w:instrText>
      </w:r>
      <w:r>
        <w:rPr>
          <w:rFonts w:hint="eastAsia" w:ascii="Times New Roman" w:hAnsi="Times New Roman" w:eastAsia="宋体" w:cs="宋体"/>
          <w:sz w:val="28"/>
          <w:szCs w:val="28"/>
          <w:lang w:eastAsia="zh-CN"/>
        </w:rPr>
        <w:fldChar w:fldCharType="separate"/>
      </w:r>
      <w:r>
        <w:rPr>
          <w:rFonts w:hint="eastAsia" w:ascii="Times New Roman" w:hAnsi="Times New Roman" w:eastAsia="宋体" w:cs="宋体"/>
          <w:bCs/>
          <w:kern w:val="2"/>
          <w:sz w:val="28"/>
          <w:szCs w:val="32"/>
          <w:shd w:val="clear" w:color="auto" w:fill="FFFFFF"/>
          <w:lang w:val="en-US" w:eastAsia="zh-CN" w:bidi="ar-SA"/>
        </w:rPr>
        <w:t>一、绪论</w:t>
      </w:r>
      <w:r>
        <w:rPr>
          <w:rFonts w:hint="eastAsia" w:ascii="Times New Roman" w:hAnsi="Times New Roman" w:eastAsia="宋体" w:cs="宋体"/>
          <w:sz w:val="28"/>
        </w:rPr>
        <w:tab/>
      </w:r>
      <w:r>
        <w:rPr>
          <w:rFonts w:hint="eastAsia" w:ascii="Times New Roman" w:hAnsi="Times New Roman" w:eastAsia="宋体" w:cs="宋体"/>
          <w:sz w:val="28"/>
        </w:rPr>
        <w:fldChar w:fldCharType="begin"/>
      </w:r>
      <w:r>
        <w:rPr>
          <w:rFonts w:hint="eastAsia" w:ascii="Times New Roman" w:hAnsi="Times New Roman" w:eastAsia="宋体" w:cs="宋体"/>
          <w:sz w:val="28"/>
        </w:rPr>
        <w:instrText xml:space="preserve"> PAGEREF _Toc1206 \h </w:instrText>
      </w:r>
      <w:r>
        <w:rPr>
          <w:rFonts w:hint="eastAsia" w:ascii="Times New Roman" w:hAnsi="Times New Roman" w:eastAsia="宋体" w:cs="宋体"/>
          <w:sz w:val="28"/>
        </w:rPr>
        <w:fldChar w:fldCharType="separate"/>
      </w:r>
      <w:r>
        <w:rPr>
          <w:rFonts w:hint="eastAsia" w:ascii="Times New Roman" w:hAnsi="Times New Roman" w:eastAsia="宋体" w:cs="宋体"/>
          <w:sz w:val="28"/>
        </w:rPr>
        <w:t>1</w:t>
      </w:r>
      <w:r>
        <w:rPr>
          <w:rFonts w:hint="eastAsia" w:ascii="Times New Roman" w:hAnsi="Times New Roman" w:eastAsia="宋体" w:cs="宋体"/>
          <w:sz w:val="28"/>
        </w:rPr>
        <w:fldChar w:fldCharType="end"/>
      </w:r>
      <w:r>
        <w:rPr>
          <w:rFonts w:hint="eastAsia" w:ascii="Times New Roman" w:hAnsi="Times New Roman" w:eastAsia="宋体" w:cs="宋体"/>
          <w:sz w:val="28"/>
          <w:szCs w:val="28"/>
          <w:lang w:eastAsia="zh-CN"/>
        </w:rPr>
        <w:fldChar w:fldCharType="end"/>
      </w:r>
    </w:p>
    <w:p>
      <w:pPr>
        <w:pStyle w:val="18"/>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_Toc25683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shd w:val="clear" w:color="auto" w:fill="FFFFFF"/>
        </w:rPr>
        <w:t>（一）</w:t>
      </w:r>
      <w:r>
        <w:rPr>
          <w:rFonts w:hint="eastAsia" w:ascii="Times New Roman" w:hAnsi="Times New Roman" w:eastAsia="宋体" w:cs="宋体"/>
          <w:sz w:val="24"/>
          <w:szCs w:val="24"/>
          <w:shd w:val="clear" w:color="auto" w:fill="FFFFFF"/>
          <w:lang w:val="en-US" w:eastAsia="zh-CN"/>
        </w:rPr>
        <w:t>研究背景</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_Toc25683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8"/>
        <w:tabs>
          <w:tab w:val="right" w:leader="dot" w:pos="8306"/>
        </w:tabs>
        <w:spacing w:line="360" w:lineRule="auto"/>
        <w:rPr>
          <w:rFonts w:hint="eastAsia" w:ascii="Times New Roman" w:hAnsi="Times New Roman" w:eastAsia="宋体" w:cs="宋体"/>
          <w:sz w:val="28"/>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_Toc24547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shd w:val="clear" w:color="auto" w:fill="FFFFFF"/>
        </w:rPr>
        <w:t>（二）</w:t>
      </w:r>
      <w:r>
        <w:rPr>
          <w:rFonts w:hint="eastAsia" w:ascii="Times New Roman" w:hAnsi="Times New Roman" w:eastAsia="宋体" w:cs="宋体"/>
          <w:sz w:val="24"/>
          <w:szCs w:val="24"/>
          <w:shd w:val="clear" w:color="auto" w:fill="FFFFFF"/>
          <w:lang w:val="en-US" w:eastAsia="zh-CN"/>
        </w:rPr>
        <w:t>研究目的与意义</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_Toc24547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3"/>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_Toc13167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bCs/>
          <w:sz w:val="24"/>
          <w:szCs w:val="24"/>
          <w:shd w:val="clear" w:color="auto" w:fill="FFFFFF"/>
        </w:rPr>
        <w:t>1.</w:t>
      </w:r>
      <w:r>
        <w:rPr>
          <w:rFonts w:hint="eastAsia" w:ascii="Times New Roman" w:hAnsi="Times New Roman" w:eastAsia="宋体" w:cs="宋体"/>
          <w:bCs/>
          <w:sz w:val="24"/>
          <w:szCs w:val="24"/>
          <w:shd w:val="clear" w:color="auto" w:fill="FFFFFF"/>
          <w:lang w:val="en-US" w:eastAsia="zh-CN"/>
        </w:rPr>
        <w:t>研究目的</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_Toc13167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3"/>
        <w:tabs>
          <w:tab w:val="right" w:leader="dot" w:pos="8306"/>
        </w:tabs>
        <w:spacing w:line="360" w:lineRule="auto"/>
        <w:rPr>
          <w:rFonts w:hint="eastAsia" w:ascii="Times New Roman" w:hAnsi="Times New Roman" w:eastAsia="宋体" w:cs="宋体"/>
          <w:sz w:val="28"/>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_Toc26055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bCs/>
          <w:sz w:val="24"/>
          <w:szCs w:val="24"/>
          <w:shd w:val="clear" w:color="auto" w:fill="FFFFFF"/>
          <w:lang w:val="en-US" w:eastAsia="zh-CN"/>
        </w:rPr>
        <w:t>2</w:t>
      </w:r>
      <w:r>
        <w:rPr>
          <w:rFonts w:hint="eastAsia" w:ascii="Times New Roman" w:hAnsi="Times New Roman" w:eastAsia="宋体" w:cs="宋体"/>
          <w:bCs/>
          <w:sz w:val="24"/>
          <w:szCs w:val="24"/>
          <w:shd w:val="clear" w:color="auto" w:fill="FFFFFF"/>
        </w:rPr>
        <w:t>.</w:t>
      </w:r>
      <w:r>
        <w:rPr>
          <w:rFonts w:hint="eastAsia" w:ascii="Times New Roman" w:hAnsi="Times New Roman" w:eastAsia="宋体" w:cs="宋体"/>
          <w:bCs/>
          <w:sz w:val="24"/>
          <w:szCs w:val="24"/>
          <w:shd w:val="clear" w:color="auto" w:fill="FFFFFF"/>
          <w:lang w:val="en-US" w:eastAsia="zh-CN"/>
        </w:rPr>
        <w:t>研究意义</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_Toc26055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2</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8"/>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_Toc2235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shd w:val="clear" w:color="auto" w:fill="FFFFFF"/>
        </w:rPr>
        <w:t>（三）文献综述</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_Toc2235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2</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3"/>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_Toc28438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bCs/>
          <w:sz w:val="24"/>
          <w:szCs w:val="24"/>
          <w:shd w:val="clear" w:color="auto" w:fill="FFFFFF"/>
          <w:lang w:val="en-US" w:eastAsia="zh-CN"/>
        </w:rPr>
        <w:t>1</w:t>
      </w:r>
      <w:r>
        <w:rPr>
          <w:rFonts w:hint="eastAsia" w:ascii="Times New Roman" w:hAnsi="Times New Roman" w:eastAsia="宋体" w:cs="宋体"/>
          <w:bCs/>
          <w:sz w:val="24"/>
          <w:szCs w:val="24"/>
          <w:shd w:val="clear" w:color="auto" w:fill="FFFFFF"/>
        </w:rPr>
        <w:t>.</w:t>
      </w:r>
      <w:r>
        <w:rPr>
          <w:rFonts w:hint="eastAsia" w:ascii="Times New Roman" w:hAnsi="Times New Roman" w:eastAsia="宋体" w:cs="宋体"/>
          <w:bCs/>
          <w:sz w:val="24"/>
          <w:szCs w:val="24"/>
          <w:shd w:val="clear" w:color="auto" w:fill="FFFFFF"/>
          <w:lang w:val="en-US" w:eastAsia="zh-CN"/>
        </w:rPr>
        <w:t>国内研究综述</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_Toc28438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2</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3"/>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_Toc5840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bCs/>
          <w:sz w:val="24"/>
          <w:szCs w:val="24"/>
          <w:shd w:val="clear" w:color="auto" w:fill="FFFFFF"/>
          <w:lang w:val="en-US" w:eastAsia="zh-CN"/>
        </w:rPr>
        <w:t>2</w:t>
      </w:r>
      <w:r>
        <w:rPr>
          <w:rFonts w:hint="eastAsia" w:ascii="Times New Roman" w:hAnsi="Times New Roman" w:eastAsia="宋体" w:cs="宋体"/>
          <w:bCs/>
          <w:sz w:val="24"/>
          <w:szCs w:val="24"/>
          <w:shd w:val="clear" w:color="auto" w:fill="FFFFFF"/>
        </w:rPr>
        <w:t>.</w:t>
      </w:r>
      <w:r>
        <w:rPr>
          <w:rFonts w:hint="eastAsia" w:ascii="Times New Roman" w:hAnsi="Times New Roman" w:eastAsia="宋体" w:cs="宋体"/>
          <w:bCs/>
          <w:sz w:val="24"/>
          <w:szCs w:val="24"/>
          <w:shd w:val="clear" w:color="auto" w:fill="FFFFFF"/>
          <w:lang w:val="en-US" w:eastAsia="zh-CN"/>
        </w:rPr>
        <w:t>国外研究综述</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_Toc5840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5</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8"/>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_Toc30195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shd w:val="clear" w:color="auto" w:fill="FFFFFF"/>
        </w:rPr>
        <w:t>（</w:t>
      </w:r>
      <w:r>
        <w:rPr>
          <w:rFonts w:hint="eastAsia" w:ascii="Times New Roman" w:hAnsi="Times New Roman" w:eastAsia="宋体" w:cs="宋体"/>
          <w:sz w:val="24"/>
          <w:szCs w:val="24"/>
          <w:shd w:val="clear" w:color="auto" w:fill="FFFFFF"/>
          <w:lang w:val="en-US" w:eastAsia="zh-CN"/>
        </w:rPr>
        <w:t>四</w:t>
      </w:r>
      <w:r>
        <w:rPr>
          <w:rFonts w:hint="eastAsia" w:ascii="Times New Roman" w:hAnsi="Times New Roman" w:eastAsia="宋体" w:cs="宋体"/>
          <w:sz w:val="24"/>
          <w:szCs w:val="24"/>
          <w:shd w:val="clear" w:color="auto" w:fill="FFFFFF"/>
        </w:rPr>
        <w:t>）</w:t>
      </w:r>
      <w:r>
        <w:rPr>
          <w:rFonts w:hint="eastAsia" w:ascii="Times New Roman" w:hAnsi="Times New Roman" w:eastAsia="宋体" w:cs="宋体"/>
          <w:sz w:val="24"/>
          <w:szCs w:val="24"/>
          <w:shd w:val="clear" w:color="auto" w:fill="FFFFFF"/>
          <w:lang w:val="en-US" w:eastAsia="zh-CN"/>
        </w:rPr>
        <w:t>研究方法</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_Toc30195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6</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6"/>
        <w:tabs>
          <w:tab w:val="right" w:leader="dot" w:pos="8306"/>
        </w:tabs>
        <w:spacing w:line="360" w:lineRule="auto"/>
        <w:rPr>
          <w:rFonts w:hint="eastAsia" w:ascii="Times New Roman" w:hAnsi="Times New Roman" w:eastAsia="宋体" w:cs="宋体"/>
          <w:sz w:val="28"/>
        </w:rPr>
      </w:pPr>
      <w:r>
        <w:rPr>
          <w:rFonts w:hint="eastAsia" w:ascii="Times New Roman" w:hAnsi="Times New Roman" w:eastAsia="宋体" w:cs="宋体"/>
          <w:sz w:val="28"/>
          <w:szCs w:val="28"/>
          <w:lang w:eastAsia="zh-CN"/>
        </w:rPr>
        <w:fldChar w:fldCharType="begin"/>
      </w:r>
      <w:r>
        <w:rPr>
          <w:rFonts w:hint="eastAsia" w:ascii="Times New Roman" w:hAnsi="Times New Roman" w:eastAsia="宋体" w:cs="宋体"/>
          <w:sz w:val="28"/>
          <w:szCs w:val="28"/>
          <w:lang w:eastAsia="zh-CN"/>
        </w:rPr>
        <w:instrText xml:space="preserve"> HYPERLINK \l _Toc24965 </w:instrText>
      </w:r>
      <w:r>
        <w:rPr>
          <w:rFonts w:hint="eastAsia" w:ascii="Times New Roman" w:hAnsi="Times New Roman" w:eastAsia="宋体" w:cs="宋体"/>
          <w:sz w:val="28"/>
          <w:szCs w:val="28"/>
          <w:lang w:eastAsia="zh-CN"/>
        </w:rPr>
        <w:fldChar w:fldCharType="separate"/>
      </w:r>
      <w:r>
        <w:rPr>
          <w:rFonts w:hint="eastAsia" w:ascii="Times New Roman" w:hAnsi="Times New Roman" w:eastAsia="宋体" w:cs="宋体"/>
          <w:bCs/>
          <w:sz w:val="28"/>
          <w:szCs w:val="32"/>
          <w:shd w:val="clear" w:color="auto" w:fill="FFFFFF"/>
        </w:rPr>
        <w:t>二、</w:t>
      </w:r>
      <w:r>
        <w:rPr>
          <w:rFonts w:hint="eastAsia" w:ascii="Times New Roman" w:hAnsi="Times New Roman" w:eastAsia="宋体" w:cs="宋体"/>
          <w:bCs/>
          <w:sz w:val="28"/>
          <w:szCs w:val="32"/>
          <w:shd w:val="clear" w:color="auto" w:fill="FFFFFF"/>
          <w:lang w:val="en-US" w:eastAsia="zh-CN"/>
        </w:rPr>
        <w:t>彩礼返还基础制度与现行裁判规则梳理</w:t>
      </w:r>
      <w:r>
        <w:rPr>
          <w:rFonts w:hint="eastAsia" w:ascii="Times New Roman" w:hAnsi="Times New Roman" w:eastAsia="宋体" w:cs="宋体"/>
          <w:sz w:val="28"/>
        </w:rPr>
        <w:tab/>
      </w:r>
      <w:r>
        <w:rPr>
          <w:rFonts w:hint="eastAsia" w:ascii="Times New Roman" w:hAnsi="Times New Roman" w:eastAsia="宋体" w:cs="宋体"/>
          <w:sz w:val="28"/>
        </w:rPr>
        <w:fldChar w:fldCharType="begin"/>
      </w:r>
      <w:r>
        <w:rPr>
          <w:rFonts w:hint="eastAsia" w:ascii="Times New Roman" w:hAnsi="Times New Roman" w:eastAsia="宋体" w:cs="宋体"/>
          <w:sz w:val="28"/>
        </w:rPr>
        <w:instrText xml:space="preserve"> PAGEREF _Toc24965 \h </w:instrText>
      </w:r>
      <w:r>
        <w:rPr>
          <w:rFonts w:hint="eastAsia" w:ascii="Times New Roman" w:hAnsi="Times New Roman" w:eastAsia="宋体" w:cs="宋体"/>
          <w:sz w:val="28"/>
        </w:rPr>
        <w:fldChar w:fldCharType="separate"/>
      </w:r>
      <w:r>
        <w:rPr>
          <w:rFonts w:hint="eastAsia" w:ascii="Times New Roman" w:hAnsi="Times New Roman" w:eastAsia="宋体" w:cs="宋体"/>
          <w:sz w:val="28"/>
        </w:rPr>
        <w:t>8</w:t>
      </w:r>
      <w:r>
        <w:rPr>
          <w:rFonts w:hint="eastAsia" w:ascii="Times New Roman" w:hAnsi="Times New Roman" w:eastAsia="宋体" w:cs="宋体"/>
          <w:sz w:val="28"/>
        </w:rPr>
        <w:fldChar w:fldCharType="end"/>
      </w:r>
      <w:r>
        <w:rPr>
          <w:rFonts w:hint="eastAsia" w:ascii="Times New Roman" w:hAnsi="Times New Roman" w:eastAsia="宋体" w:cs="宋体"/>
          <w:sz w:val="28"/>
          <w:szCs w:val="28"/>
          <w:lang w:eastAsia="zh-CN"/>
        </w:rPr>
        <w:fldChar w:fldCharType="end"/>
      </w:r>
    </w:p>
    <w:p>
      <w:pPr>
        <w:pStyle w:val="18"/>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_Toc8211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kern w:val="2"/>
          <w:sz w:val="24"/>
          <w:szCs w:val="24"/>
          <w:shd w:val="clear" w:color="auto" w:fill="FFFFFF"/>
          <w:lang w:val="en-US" w:eastAsia="zh-CN" w:bidi="ar-SA"/>
        </w:rPr>
        <w:t>（一）</w:t>
      </w:r>
      <w:r>
        <w:rPr>
          <w:rFonts w:hint="eastAsia" w:ascii="Times New Roman" w:hAnsi="Times New Roman" w:eastAsia="宋体" w:cs="宋体"/>
          <w:sz w:val="24"/>
          <w:szCs w:val="24"/>
          <w:shd w:val="clear" w:color="auto" w:fill="FFFFFF"/>
          <w:lang w:val="en-US" w:eastAsia="zh-CN"/>
        </w:rPr>
        <w:t>彩礼的概念</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_Toc8211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8</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8"/>
        <w:tabs>
          <w:tab w:val="right" w:leader="dot" w:pos="8306"/>
        </w:tabs>
        <w:spacing w:line="360" w:lineRule="auto"/>
        <w:rPr>
          <w:rFonts w:hint="eastAsia" w:ascii="Times New Roman" w:hAnsi="Times New Roman" w:eastAsia="宋体" w:cs="宋体"/>
          <w:sz w:val="28"/>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_Toc19468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shd w:val="clear" w:color="auto" w:fill="FFFFFF"/>
        </w:rPr>
        <w:t>（</w:t>
      </w:r>
      <w:r>
        <w:rPr>
          <w:rFonts w:hint="eastAsia" w:ascii="Times New Roman" w:hAnsi="Times New Roman" w:eastAsia="宋体" w:cs="宋体"/>
          <w:sz w:val="24"/>
          <w:szCs w:val="24"/>
          <w:shd w:val="clear" w:color="auto" w:fill="FFFFFF"/>
          <w:lang w:val="en-US" w:eastAsia="zh-CN"/>
        </w:rPr>
        <w:t>二</w:t>
      </w:r>
      <w:r>
        <w:rPr>
          <w:rFonts w:hint="eastAsia" w:ascii="Times New Roman" w:hAnsi="Times New Roman" w:eastAsia="宋体" w:cs="宋体"/>
          <w:sz w:val="24"/>
          <w:szCs w:val="24"/>
          <w:shd w:val="clear" w:color="auto" w:fill="FFFFFF"/>
        </w:rPr>
        <w:t>）彩礼返还现行裁判规则</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_Toc19468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9</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6"/>
        <w:tabs>
          <w:tab w:val="right" w:leader="dot" w:pos="8306"/>
        </w:tabs>
        <w:spacing w:line="360" w:lineRule="auto"/>
        <w:rPr>
          <w:rFonts w:hint="eastAsia" w:ascii="Times New Roman" w:hAnsi="Times New Roman" w:eastAsia="宋体" w:cs="宋体"/>
          <w:sz w:val="28"/>
        </w:rPr>
      </w:pPr>
      <w:r>
        <w:rPr>
          <w:rFonts w:hint="eastAsia" w:ascii="Times New Roman" w:hAnsi="Times New Roman" w:eastAsia="宋体" w:cs="宋体"/>
          <w:sz w:val="28"/>
          <w:szCs w:val="28"/>
          <w:lang w:eastAsia="zh-CN"/>
        </w:rPr>
        <w:fldChar w:fldCharType="begin"/>
      </w:r>
      <w:r>
        <w:rPr>
          <w:rFonts w:hint="eastAsia" w:ascii="Times New Roman" w:hAnsi="Times New Roman" w:eastAsia="宋体" w:cs="宋体"/>
          <w:sz w:val="28"/>
          <w:szCs w:val="28"/>
          <w:lang w:eastAsia="zh-CN"/>
        </w:rPr>
        <w:instrText xml:space="preserve"> HYPERLINK \l _Toc3815 </w:instrText>
      </w:r>
      <w:r>
        <w:rPr>
          <w:rFonts w:hint="eastAsia" w:ascii="Times New Roman" w:hAnsi="Times New Roman" w:eastAsia="宋体" w:cs="宋体"/>
          <w:sz w:val="28"/>
          <w:szCs w:val="28"/>
          <w:lang w:eastAsia="zh-CN"/>
        </w:rPr>
        <w:fldChar w:fldCharType="separate"/>
      </w:r>
      <w:r>
        <w:rPr>
          <w:rFonts w:hint="eastAsia" w:ascii="Times New Roman" w:hAnsi="Times New Roman" w:eastAsia="宋体" w:cs="宋体"/>
          <w:bCs/>
          <w:sz w:val="28"/>
          <w:szCs w:val="32"/>
          <w:shd w:val="clear" w:color="auto" w:fill="FFFFFF"/>
          <w:lang w:val="en-US" w:eastAsia="zh-CN"/>
        </w:rPr>
        <w:t>三、</w:t>
      </w:r>
      <w:r>
        <w:rPr>
          <w:rFonts w:hint="eastAsia" w:ascii="Times New Roman" w:hAnsi="Times New Roman" w:eastAsia="宋体" w:cs="宋体"/>
          <w:bCs/>
          <w:sz w:val="28"/>
          <w:szCs w:val="32"/>
          <w:shd w:val="clear" w:color="auto" w:fill="FFFFFF"/>
        </w:rPr>
        <w:t>湖南省中彩礼返还纠纷实证分析</w:t>
      </w:r>
      <w:r>
        <w:rPr>
          <w:rFonts w:hint="eastAsia" w:ascii="Times New Roman" w:hAnsi="Times New Roman" w:eastAsia="宋体" w:cs="宋体"/>
          <w:sz w:val="28"/>
        </w:rPr>
        <w:tab/>
      </w:r>
      <w:r>
        <w:rPr>
          <w:rFonts w:hint="eastAsia" w:ascii="Times New Roman" w:hAnsi="Times New Roman" w:eastAsia="宋体" w:cs="宋体"/>
          <w:sz w:val="28"/>
        </w:rPr>
        <w:fldChar w:fldCharType="begin"/>
      </w:r>
      <w:r>
        <w:rPr>
          <w:rFonts w:hint="eastAsia" w:ascii="Times New Roman" w:hAnsi="Times New Roman" w:eastAsia="宋体" w:cs="宋体"/>
          <w:sz w:val="28"/>
        </w:rPr>
        <w:instrText xml:space="preserve"> PAGEREF _Toc3815 \h </w:instrText>
      </w:r>
      <w:r>
        <w:rPr>
          <w:rFonts w:hint="eastAsia" w:ascii="Times New Roman" w:hAnsi="Times New Roman" w:eastAsia="宋体" w:cs="宋体"/>
          <w:sz w:val="28"/>
        </w:rPr>
        <w:fldChar w:fldCharType="separate"/>
      </w:r>
      <w:r>
        <w:rPr>
          <w:rFonts w:hint="eastAsia" w:ascii="Times New Roman" w:hAnsi="Times New Roman" w:eastAsia="宋体" w:cs="宋体"/>
          <w:sz w:val="28"/>
        </w:rPr>
        <w:t>11</w:t>
      </w:r>
      <w:r>
        <w:rPr>
          <w:rFonts w:hint="eastAsia" w:ascii="Times New Roman" w:hAnsi="Times New Roman" w:eastAsia="宋体" w:cs="宋体"/>
          <w:sz w:val="28"/>
        </w:rPr>
        <w:fldChar w:fldCharType="end"/>
      </w:r>
      <w:r>
        <w:rPr>
          <w:rFonts w:hint="eastAsia" w:ascii="Times New Roman" w:hAnsi="Times New Roman" w:eastAsia="宋体" w:cs="宋体"/>
          <w:sz w:val="28"/>
          <w:szCs w:val="28"/>
          <w:lang w:eastAsia="zh-CN"/>
        </w:rPr>
        <w:fldChar w:fldCharType="end"/>
      </w:r>
    </w:p>
    <w:p>
      <w:pPr>
        <w:pStyle w:val="18"/>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_Toc14582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shd w:val="clear" w:color="auto" w:fill="FFFFFF"/>
        </w:rPr>
        <w:t>（一）案例样本来源</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_Toc14582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11</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8"/>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_Toc19989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shd w:val="clear" w:color="auto" w:fill="FFFFFF"/>
        </w:rPr>
        <w:t>（</w:t>
      </w:r>
      <w:r>
        <w:rPr>
          <w:rFonts w:hint="eastAsia" w:ascii="Times New Roman" w:hAnsi="Times New Roman" w:eastAsia="宋体" w:cs="宋体"/>
          <w:sz w:val="24"/>
          <w:szCs w:val="24"/>
          <w:shd w:val="clear" w:color="auto" w:fill="FFFFFF"/>
          <w:lang w:val="en-US" w:eastAsia="zh-CN"/>
        </w:rPr>
        <w:t>二</w:t>
      </w:r>
      <w:r>
        <w:rPr>
          <w:rFonts w:hint="eastAsia" w:ascii="Times New Roman" w:hAnsi="Times New Roman" w:eastAsia="宋体" w:cs="宋体"/>
          <w:sz w:val="24"/>
          <w:szCs w:val="24"/>
          <w:shd w:val="clear" w:color="auto" w:fill="FFFFFF"/>
        </w:rPr>
        <w:t>）原被告诉讼主体类型</w:t>
      </w:r>
      <w:r>
        <w:rPr>
          <w:rFonts w:hint="eastAsia" w:ascii="Times New Roman" w:hAnsi="Times New Roman" w:eastAsia="宋体" w:cs="宋体"/>
          <w:sz w:val="24"/>
          <w:szCs w:val="24"/>
          <w:shd w:val="clear" w:color="auto" w:fill="FFFFFF"/>
          <w:lang w:eastAsia="zh-CN"/>
        </w:rPr>
        <w:t>的</w:t>
      </w:r>
      <w:r>
        <w:rPr>
          <w:rFonts w:hint="eastAsia" w:ascii="Times New Roman" w:hAnsi="Times New Roman" w:eastAsia="宋体" w:cs="宋体"/>
          <w:sz w:val="24"/>
          <w:szCs w:val="24"/>
          <w:shd w:val="clear" w:color="auto" w:fill="FFFFFF"/>
          <w:lang w:val="en-US" w:eastAsia="zh-CN"/>
        </w:rPr>
        <w:t>多样化</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_Toc19989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11</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8"/>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_Toc21314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shd w:val="clear" w:color="auto" w:fill="FFFFFF"/>
        </w:rPr>
        <w:t>（</w:t>
      </w:r>
      <w:r>
        <w:rPr>
          <w:rFonts w:hint="eastAsia" w:ascii="Times New Roman" w:hAnsi="Times New Roman" w:eastAsia="宋体" w:cs="宋体"/>
          <w:sz w:val="24"/>
          <w:szCs w:val="24"/>
          <w:shd w:val="clear" w:color="auto" w:fill="FFFFFF"/>
          <w:lang w:val="en-US" w:eastAsia="zh-CN"/>
        </w:rPr>
        <w:t>三</w:t>
      </w:r>
      <w:r>
        <w:rPr>
          <w:rFonts w:hint="eastAsia" w:ascii="Times New Roman" w:hAnsi="Times New Roman" w:eastAsia="宋体" w:cs="宋体"/>
          <w:sz w:val="24"/>
          <w:szCs w:val="24"/>
          <w:shd w:val="clear" w:color="auto" w:fill="FFFFFF"/>
        </w:rPr>
        <w:t>）彩礼认定范围</w:t>
      </w:r>
      <w:r>
        <w:rPr>
          <w:rFonts w:hint="eastAsia" w:ascii="Times New Roman" w:hAnsi="Times New Roman" w:eastAsia="宋体" w:cs="宋体"/>
          <w:sz w:val="24"/>
          <w:szCs w:val="24"/>
          <w:shd w:val="clear" w:color="auto" w:fill="FFFFFF"/>
          <w:lang w:eastAsia="zh-CN"/>
        </w:rPr>
        <w:t>的</w:t>
      </w:r>
      <w:r>
        <w:rPr>
          <w:rFonts w:hint="eastAsia" w:ascii="Times New Roman" w:hAnsi="Times New Roman" w:eastAsia="宋体" w:cs="宋体"/>
          <w:sz w:val="24"/>
          <w:szCs w:val="24"/>
          <w:shd w:val="clear" w:color="auto" w:fill="FFFFFF"/>
        </w:rPr>
        <w:t>差异</w:t>
      </w:r>
      <w:r>
        <w:rPr>
          <w:rFonts w:hint="eastAsia" w:ascii="Times New Roman" w:hAnsi="Times New Roman" w:eastAsia="宋体" w:cs="宋体"/>
          <w:sz w:val="24"/>
          <w:szCs w:val="24"/>
          <w:shd w:val="clear" w:color="auto" w:fill="FFFFFF"/>
          <w:lang w:val="en-US" w:eastAsia="zh-CN"/>
        </w:rPr>
        <w:t>性</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_Toc21314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11</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8"/>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_Toc15055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shd w:val="clear" w:color="auto" w:fill="FFFFFF"/>
        </w:rPr>
        <w:t>（</w:t>
      </w:r>
      <w:r>
        <w:rPr>
          <w:rFonts w:hint="eastAsia" w:ascii="Times New Roman" w:hAnsi="Times New Roman" w:eastAsia="宋体" w:cs="宋体"/>
          <w:sz w:val="24"/>
          <w:szCs w:val="24"/>
          <w:shd w:val="clear" w:color="auto" w:fill="FFFFFF"/>
          <w:lang w:val="en-US" w:eastAsia="zh-CN"/>
        </w:rPr>
        <w:t>四</w:t>
      </w:r>
      <w:r>
        <w:rPr>
          <w:rFonts w:hint="eastAsia" w:ascii="Times New Roman" w:hAnsi="Times New Roman" w:eastAsia="宋体" w:cs="宋体"/>
          <w:sz w:val="24"/>
          <w:szCs w:val="24"/>
          <w:shd w:val="clear" w:color="auto" w:fill="FFFFFF"/>
        </w:rPr>
        <w:t>）</w:t>
      </w:r>
      <w:r>
        <w:rPr>
          <w:rFonts w:hint="eastAsia" w:ascii="Times New Roman" w:hAnsi="Times New Roman" w:eastAsia="宋体" w:cs="宋体"/>
          <w:sz w:val="24"/>
          <w:szCs w:val="24"/>
          <w:shd w:val="clear" w:color="auto" w:fill="FFFFFF"/>
          <w:lang w:val="en-US" w:eastAsia="zh-CN"/>
        </w:rPr>
        <w:t>返还比例参考因素适用的复杂性</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_Toc15055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12</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6"/>
        <w:tabs>
          <w:tab w:val="right" w:leader="dot" w:pos="8306"/>
        </w:tabs>
        <w:spacing w:line="360" w:lineRule="auto"/>
        <w:rPr>
          <w:rFonts w:hint="eastAsia" w:ascii="Times New Roman" w:hAnsi="Times New Roman" w:eastAsia="宋体" w:cs="宋体"/>
          <w:sz w:val="28"/>
        </w:rPr>
      </w:pPr>
      <w:r>
        <w:rPr>
          <w:rFonts w:hint="eastAsia" w:ascii="Times New Roman" w:hAnsi="Times New Roman" w:eastAsia="宋体" w:cs="宋体"/>
          <w:sz w:val="28"/>
          <w:szCs w:val="28"/>
          <w:lang w:eastAsia="zh-CN"/>
        </w:rPr>
        <w:fldChar w:fldCharType="begin"/>
      </w:r>
      <w:r>
        <w:rPr>
          <w:rFonts w:hint="eastAsia" w:ascii="Times New Roman" w:hAnsi="Times New Roman" w:eastAsia="宋体" w:cs="宋体"/>
          <w:sz w:val="28"/>
          <w:szCs w:val="28"/>
          <w:lang w:eastAsia="zh-CN"/>
        </w:rPr>
        <w:instrText xml:space="preserve"> HYPERLINK \l _Toc4316 </w:instrText>
      </w:r>
      <w:r>
        <w:rPr>
          <w:rFonts w:hint="eastAsia" w:ascii="Times New Roman" w:hAnsi="Times New Roman" w:eastAsia="宋体" w:cs="宋体"/>
          <w:sz w:val="28"/>
          <w:szCs w:val="28"/>
          <w:lang w:eastAsia="zh-CN"/>
        </w:rPr>
        <w:fldChar w:fldCharType="separate"/>
      </w:r>
      <w:r>
        <w:rPr>
          <w:rFonts w:hint="eastAsia" w:ascii="Times New Roman" w:hAnsi="Times New Roman" w:eastAsia="宋体" w:cs="宋体"/>
          <w:bCs/>
          <w:sz w:val="28"/>
          <w:szCs w:val="32"/>
          <w:shd w:val="clear" w:color="auto" w:fill="FFFFFF"/>
          <w:lang w:val="en-US" w:eastAsia="zh-CN"/>
        </w:rPr>
        <w:t>四</w:t>
      </w:r>
      <w:r>
        <w:rPr>
          <w:rFonts w:hint="eastAsia" w:ascii="Times New Roman" w:hAnsi="Times New Roman" w:eastAsia="宋体" w:cs="宋体"/>
          <w:bCs/>
          <w:sz w:val="28"/>
          <w:szCs w:val="32"/>
          <w:shd w:val="clear" w:color="auto" w:fill="FFFFFF"/>
        </w:rPr>
        <w:t>、彩礼返还纠纷</w:t>
      </w:r>
      <w:r>
        <w:rPr>
          <w:rFonts w:hint="eastAsia" w:ascii="Times New Roman" w:hAnsi="Times New Roman" w:eastAsia="宋体" w:cs="宋体"/>
          <w:bCs/>
          <w:sz w:val="28"/>
          <w:szCs w:val="32"/>
          <w:shd w:val="clear" w:color="auto" w:fill="FFFFFF"/>
          <w:lang w:val="en-US" w:eastAsia="zh-CN"/>
        </w:rPr>
        <w:t>现存困境</w:t>
      </w:r>
      <w:r>
        <w:rPr>
          <w:rFonts w:hint="eastAsia" w:ascii="Times New Roman" w:hAnsi="Times New Roman" w:eastAsia="宋体" w:cs="宋体"/>
          <w:sz w:val="28"/>
        </w:rPr>
        <w:tab/>
      </w:r>
      <w:r>
        <w:rPr>
          <w:rFonts w:hint="eastAsia" w:ascii="Times New Roman" w:hAnsi="Times New Roman" w:eastAsia="宋体" w:cs="宋体"/>
          <w:sz w:val="28"/>
        </w:rPr>
        <w:fldChar w:fldCharType="begin"/>
      </w:r>
      <w:r>
        <w:rPr>
          <w:rFonts w:hint="eastAsia" w:ascii="Times New Roman" w:hAnsi="Times New Roman" w:eastAsia="宋体" w:cs="宋体"/>
          <w:sz w:val="28"/>
        </w:rPr>
        <w:instrText xml:space="preserve"> PAGEREF _Toc4316 \h </w:instrText>
      </w:r>
      <w:r>
        <w:rPr>
          <w:rFonts w:hint="eastAsia" w:ascii="Times New Roman" w:hAnsi="Times New Roman" w:eastAsia="宋体" w:cs="宋体"/>
          <w:sz w:val="28"/>
        </w:rPr>
        <w:fldChar w:fldCharType="separate"/>
      </w:r>
      <w:r>
        <w:rPr>
          <w:rFonts w:hint="eastAsia" w:ascii="Times New Roman" w:hAnsi="Times New Roman" w:eastAsia="宋体" w:cs="宋体"/>
          <w:sz w:val="28"/>
        </w:rPr>
        <w:t>15</w:t>
      </w:r>
      <w:r>
        <w:rPr>
          <w:rFonts w:hint="eastAsia" w:ascii="Times New Roman" w:hAnsi="Times New Roman" w:eastAsia="宋体" w:cs="宋体"/>
          <w:sz w:val="28"/>
        </w:rPr>
        <w:fldChar w:fldCharType="end"/>
      </w:r>
      <w:r>
        <w:rPr>
          <w:rFonts w:hint="eastAsia" w:ascii="Times New Roman" w:hAnsi="Times New Roman" w:eastAsia="宋体" w:cs="宋体"/>
          <w:sz w:val="28"/>
          <w:szCs w:val="28"/>
          <w:lang w:eastAsia="zh-CN"/>
        </w:rPr>
        <w:fldChar w:fldCharType="end"/>
      </w:r>
    </w:p>
    <w:p>
      <w:pPr>
        <w:pStyle w:val="18"/>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_Toc21190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shd w:val="clear" w:color="auto" w:fill="FFFFFF"/>
        </w:rPr>
        <w:t>（一）彩礼返还诉讼主体范围</w:t>
      </w:r>
      <w:r>
        <w:rPr>
          <w:rFonts w:hint="eastAsia" w:ascii="Times New Roman" w:hAnsi="Times New Roman" w:eastAsia="宋体" w:cs="宋体"/>
          <w:sz w:val="24"/>
          <w:szCs w:val="24"/>
          <w:shd w:val="clear" w:color="auto" w:fill="FFFFFF"/>
          <w:lang w:val="en-US" w:eastAsia="zh-CN"/>
        </w:rPr>
        <w:t>偏小</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_Toc21190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15</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8"/>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_Toc16964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shd w:val="clear" w:fill="FFFFFF"/>
          <w:lang w:val="en-US" w:eastAsia="zh-CN"/>
        </w:rPr>
        <w:t xml:space="preserve">（二） </w:t>
      </w:r>
      <w:r>
        <w:rPr>
          <w:rFonts w:hint="eastAsia" w:ascii="Times New Roman" w:hAnsi="Times New Roman" w:eastAsia="宋体" w:cs="宋体"/>
          <w:sz w:val="24"/>
          <w:szCs w:val="24"/>
          <w:shd w:val="clear" w:color="auto" w:fill="FFFFFF"/>
          <w:lang w:val="en-US" w:eastAsia="zh-CN"/>
        </w:rPr>
        <w:t>彩礼的认定混乱</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_Toc16964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16</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8"/>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_Toc4041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shd w:val="clear" w:color="auto" w:fill="FFFFFF"/>
        </w:rPr>
        <w:t>（三）彩礼返还比例的认定</w:t>
      </w:r>
      <w:r>
        <w:rPr>
          <w:rFonts w:hint="eastAsia" w:ascii="Times New Roman" w:hAnsi="Times New Roman" w:eastAsia="宋体" w:cs="宋体"/>
          <w:sz w:val="24"/>
          <w:szCs w:val="24"/>
          <w:shd w:val="clear" w:color="auto" w:fill="FFFFFF"/>
          <w:lang w:val="en-US" w:eastAsia="zh-CN"/>
        </w:rPr>
        <w:t>标准模糊</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_Toc4041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17</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3"/>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_Toc24621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bCs/>
          <w:sz w:val="24"/>
          <w:szCs w:val="24"/>
          <w:shd w:val="clear" w:color="auto" w:fill="FFFFFF"/>
          <w:lang w:val="en-US" w:eastAsia="zh-CN"/>
        </w:rPr>
        <w:t>1</w:t>
      </w:r>
      <w:r>
        <w:rPr>
          <w:rFonts w:hint="eastAsia" w:ascii="Times New Roman" w:hAnsi="Times New Roman" w:eastAsia="宋体" w:cs="宋体"/>
          <w:bCs/>
          <w:sz w:val="24"/>
          <w:szCs w:val="24"/>
          <w:shd w:val="clear" w:color="auto" w:fill="FFFFFF"/>
        </w:rPr>
        <w:t>.</w:t>
      </w:r>
      <w:r>
        <w:rPr>
          <w:rFonts w:hint="eastAsia" w:ascii="Times New Roman" w:hAnsi="Times New Roman" w:eastAsia="宋体" w:cs="宋体"/>
          <w:bCs/>
          <w:sz w:val="24"/>
          <w:szCs w:val="24"/>
          <w:shd w:val="clear" w:color="auto" w:fill="FFFFFF"/>
          <w:lang w:val="en-US" w:eastAsia="zh-CN"/>
        </w:rPr>
        <w:t>结婚登记对返还比例影响不明确</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_Toc24621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17</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3"/>
        <w:tabs>
          <w:tab w:val="right" w:leader="dot" w:pos="8306"/>
        </w:tabs>
        <w:spacing w:line="360" w:lineRule="auto"/>
        <w:rPr>
          <w:rFonts w:hint="eastAsia" w:ascii="Times New Roman" w:hAnsi="Times New Roman" w:eastAsia="宋体" w:cs="宋体"/>
          <w:sz w:val="28"/>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_Toc23893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bCs/>
          <w:sz w:val="24"/>
          <w:szCs w:val="24"/>
          <w:shd w:val="clear" w:color="auto" w:fill="FFFFFF"/>
          <w:lang w:val="en-US" w:eastAsia="zh-CN"/>
        </w:rPr>
        <w:t>2</w:t>
      </w:r>
      <w:r>
        <w:rPr>
          <w:rFonts w:hint="eastAsia" w:ascii="Times New Roman" w:hAnsi="Times New Roman" w:eastAsia="宋体" w:cs="宋体"/>
          <w:bCs/>
          <w:sz w:val="24"/>
          <w:szCs w:val="24"/>
          <w:shd w:val="clear" w:color="auto" w:fill="FFFFFF"/>
        </w:rPr>
        <w:t>.要素权重不</w:t>
      </w:r>
      <w:r>
        <w:rPr>
          <w:rFonts w:hint="eastAsia" w:ascii="Times New Roman" w:hAnsi="Times New Roman" w:eastAsia="宋体" w:cs="宋体"/>
          <w:bCs/>
          <w:sz w:val="24"/>
          <w:szCs w:val="24"/>
          <w:shd w:val="clear" w:color="auto" w:fill="FFFFFF"/>
          <w:lang w:val="en-US" w:eastAsia="zh-CN"/>
        </w:rPr>
        <w:t>清晰</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_Toc23893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18</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6"/>
        <w:tabs>
          <w:tab w:val="right" w:leader="dot" w:pos="8306"/>
        </w:tabs>
        <w:spacing w:line="360" w:lineRule="auto"/>
        <w:rPr>
          <w:rFonts w:hint="eastAsia" w:ascii="Times New Roman" w:hAnsi="Times New Roman" w:eastAsia="宋体" w:cs="宋体"/>
          <w:sz w:val="28"/>
        </w:rPr>
      </w:pPr>
      <w:r>
        <w:rPr>
          <w:rFonts w:hint="eastAsia" w:ascii="Times New Roman" w:hAnsi="Times New Roman" w:eastAsia="宋体" w:cs="宋体"/>
          <w:sz w:val="28"/>
          <w:szCs w:val="28"/>
          <w:lang w:eastAsia="zh-CN"/>
        </w:rPr>
        <w:fldChar w:fldCharType="begin"/>
      </w:r>
      <w:r>
        <w:rPr>
          <w:rFonts w:hint="eastAsia" w:ascii="Times New Roman" w:hAnsi="Times New Roman" w:eastAsia="宋体" w:cs="宋体"/>
          <w:sz w:val="28"/>
          <w:szCs w:val="28"/>
          <w:lang w:eastAsia="zh-CN"/>
        </w:rPr>
        <w:instrText xml:space="preserve"> HYPERLINK \l _Toc3925 </w:instrText>
      </w:r>
      <w:r>
        <w:rPr>
          <w:rFonts w:hint="eastAsia" w:ascii="Times New Roman" w:hAnsi="Times New Roman" w:eastAsia="宋体" w:cs="宋体"/>
          <w:sz w:val="28"/>
          <w:szCs w:val="28"/>
          <w:lang w:eastAsia="zh-CN"/>
        </w:rPr>
        <w:fldChar w:fldCharType="separate"/>
      </w:r>
      <w:r>
        <w:rPr>
          <w:rFonts w:hint="eastAsia" w:ascii="Times New Roman" w:hAnsi="Times New Roman" w:eastAsia="宋体" w:cs="宋体"/>
          <w:bCs/>
          <w:sz w:val="28"/>
          <w:szCs w:val="32"/>
          <w:lang w:val="en-US" w:eastAsia="zh-CN"/>
        </w:rPr>
        <w:t>五、</w:t>
      </w:r>
      <w:r>
        <w:rPr>
          <w:rFonts w:hint="eastAsia" w:ascii="Times New Roman" w:hAnsi="Times New Roman" w:eastAsia="宋体" w:cs="宋体"/>
          <w:bCs/>
          <w:sz w:val="28"/>
          <w:szCs w:val="32"/>
          <w:shd w:val="clear" w:color="auto" w:fill="FFFFFF"/>
        </w:rPr>
        <w:t>彩礼返还规则完善建议</w:t>
      </w:r>
      <w:r>
        <w:rPr>
          <w:rFonts w:hint="eastAsia" w:ascii="Times New Roman" w:hAnsi="Times New Roman" w:eastAsia="宋体" w:cs="宋体"/>
          <w:sz w:val="28"/>
        </w:rPr>
        <w:tab/>
      </w:r>
      <w:r>
        <w:rPr>
          <w:rFonts w:hint="eastAsia" w:ascii="Times New Roman" w:hAnsi="Times New Roman" w:eastAsia="宋体" w:cs="宋体"/>
          <w:sz w:val="28"/>
        </w:rPr>
        <w:fldChar w:fldCharType="begin"/>
      </w:r>
      <w:r>
        <w:rPr>
          <w:rFonts w:hint="eastAsia" w:ascii="Times New Roman" w:hAnsi="Times New Roman" w:eastAsia="宋体" w:cs="宋体"/>
          <w:sz w:val="28"/>
        </w:rPr>
        <w:instrText xml:space="preserve"> PAGEREF _Toc3925 \h </w:instrText>
      </w:r>
      <w:r>
        <w:rPr>
          <w:rFonts w:hint="eastAsia" w:ascii="Times New Roman" w:hAnsi="Times New Roman" w:eastAsia="宋体" w:cs="宋体"/>
          <w:sz w:val="28"/>
        </w:rPr>
        <w:fldChar w:fldCharType="separate"/>
      </w:r>
      <w:r>
        <w:rPr>
          <w:rFonts w:hint="eastAsia" w:ascii="Times New Roman" w:hAnsi="Times New Roman" w:eastAsia="宋体" w:cs="宋体"/>
          <w:sz w:val="28"/>
        </w:rPr>
        <w:t>20</w:t>
      </w:r>
      <w:r>
        <w:rPr>
          <w:rFonts w:hint="eastAsia" w:ascii="Times New Roman" w:hAnsi="Times New Roman" w:eastAsia="宋体" w:cs="宋体"/>
          <w:sz w:val="28"/>
        </w:rPr>
        <w:fldChar w:fldCharType="end"/>
      </w:r>
      <w:r>
        <w:rPr>
          <w:rFonts w:hint="eastAsia" w:ascii="Times New Roman" w:hAnsi="Times New Roman" w:eastAsia="宋体" w:cs="宋体"/>
          <w:sz w:val="28"/>
          <w:szCs w:val="28"/>
          <w:lang w:eastAsia="zh-CN"/>
        </w:rPr>
        <w:fldChar w:fldCharType="end"/>
      </w:r>
    </w:p>
    <w:p>
      <w:pPr>
        <w:pStyle w:val="18"/>
        <w:tabs>
          <w:tab w:val="right" w:leader="dot" w:pos="8306"/>
        </w:tabs>
        <w:spacing w:line="360" w:lineRule="auto"/>
        <w:rPr>
          <w:rFonts w:hint="eastAsia" w:ascii="Times New Roman" w:hAnsi="Times New Roman" w:eastAsia="宋体" w:cs="宋体"/>
          <w:sz w:val="24"/>
          <w:szCs w:val="24"/>
        </w:rPr>
      </w:pPr>
      <w:bookmarkStart w:id="172" w:name="_GoBack"/>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_Toc24474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shd w:val="clear" w:color="auto" w:fill="FFFFFF"/>
        </w:rPr>
        <w:t>（一）扩大诉讼主体范围</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_Toc24474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20</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8"/>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_Toc21483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kern w:val="2"/>
          <w:sz w:val="24"/>
          <w:szCs w:val="24"/>
          <w:shd w:val="clear" w:color="auto" w:fill="FFFFFF"/>
          <w:lang w:val="en-US" w:eastAsia="zh-CN" w:bidi="ar-SA"/>
        </w:rPr>
        <w:t>（二）</w:t>
      </w:r>
      <w:r>
        <w:rPr>
          <w:rFonts w:hint="eastAsia" w:ascii="Times New Roman" w:hAnsi="Times New Roman" w:eastAsia="宋体" w:cs="宋体"/>
          <w:sz w:val="24"/>
          <w:szCs w:val="24"/>
          <w:shd w:val="clear" w:color="auto" w:fill="FFFFFF"/>
        </w:rPr>
        <w:t>彩礼及返还范围的界定</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_Toc21483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21</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p>
      <w:pPr>
        <w:pStyle w:val="18"/>
        <w:tabs>
          <w:tab w:val="right" w:leader="dot" w:pos="8306"/>
        </w:tabs>
        <w:spacing w:line="360" w:lineRule="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HYPERLINK \l _Toc16329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shd w:val="clear" w:fill="FFFFFF"/>
          <w:lang w:val="en-US" w:eastAsia="zh-CN"/>
        </w:rPr>
        <w:t xml:space="preserve">（三） </w:t>
      </w:r>
      <w:r>
        <w:rPr>
          <w:rFonts w:hint="eastAsia" w:ascii="Times New Roman" w:hAnsi="Times New Roman" w:eastAsia="宋体" w:cs="宋体"/>
          <w:sz w:val="24"/>
          <w:szCs w:val="24"/>
          <w:shd w:val="clear" w:color="auto" w:fill="FFFFFF"/>
          <w:lang w:val="en-US" w:eastAsia="zh-CN"/>
        </w:rPr>
        <w:t>彩礼返还的动态体系构建</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_Toc16329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22</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eastAsia="zh-CN"/>
        </w:rPr>
        <w:fldChar w:fldCharType="end"/>
      </w:r>
    </w:p>
    <w:bookmarkEnd w:id="172"/>
    <w:p>
      <w:pPr>
        <w:pStyle w:val="16"/>
        <w:tabs>
          <w:tab w:val="right" w:leader="dot" w:pos="8306"/>
        </w:tabs>
        <w:spacing w:line="360" w:lineRule="auto"/>
        <w:rPr>
          <w:rFonts w:hint="eastAsia" w:ascii="Times New Roman" w:hAnsi="Times New Roman" w:eastAsia="宋体" w:cs="宋体"/>
          <w:sz w:val="28"/>
        </w:rPr>
      </w:pPr>
      <w:r>
        <w:rPr>
          <w:rFonts w:hint="eastAsia" w:ascii="Times New Roman" w:hAnsi="Times New Roman" w:eastAsia="宋体" w:cs="宋体"/>
          <w:sz w:val="28"/>
          <w:szCs w:val="28"/>
          <w:lang w:eastAsia="zh-CN"/>
        </w:rPr>
        <w:fldChar w:fldCharType="begin"/>
      </w:r>
      <w:r>
        <w:rPr>
          <w:rFonts w:hint="eastAsia" w:ascii="Times New Roman" w:hAnsi="Times New Roman" w:eastAsia="宋体" w:cs="宋体"/>
          <w:sz w:val="28"/>
          <w:szCs w:val="28"/>
          <w:lang w:eastAsia="zh-CN"/>
        </w:rPr>
        <w:instrText xml:space="preserve"> HYPERLINK \l _Toc31025 </w:instrText>
      </w:r>
      <w:r>
        <w:rPr>
          <w:rFonts w:hint="eastAsia" w:ascii="Times New Roman" w:hAnsi="Times New Roman" w:eastAsia="宋体" w:cs="宋体"/>
          <w:sz w:val="28"/>
          <w:szCs w:val="28"/>
          <w:lang w:eastAsia="zh-CN"/>
        </w:rPr>
        <w:fldChar w:fldCharType="separate"/>
      </w:r>
      <w:r>
        <w:rPr>
          <w:rFonts w:hint="eastAsia" w:ascii="Times New Roman" w:hAnsi="Times New Roman" w:eastAsia="宋体" w:cs="宋体"/>
          <w:bCs/>
          <w:kern w:val="2"/>
          <w:sz w:val="28"/>
          <w:szCs w:val="32"/>
          <w:lang w:val="en-US" w:eastAsia="zh-CN" w:bidi="ar-SA"/>
        </w:rPr>
        <w:t>六、</w:t>
      </w:r>
      <w:r>
        <w:rPr>
          <w:rFonts w:hint="eastAsia" w:ascii="Times New Roman" w:hAnsi="Times New Roman" w:eastAsia="宋体" w:cs="宋体"/>
          <w:bCs/>
          <w:sz w:val="28"/>
          <w:szCs w:val="32"/>
          <w:lang w:val="en-US" w:eastAsia="zh-CN"/>
        </w:rPr>
        <w:t>结论</w:t>
      </w:r>
      <w:r>
        <w:rPr>
          <w:rFonts w:hint="eastAsia" w:ascii="Times New Roman" w:hAnsi="Times New Roman" w:eastAsia="宋体" w:cs="宋体"/>
          <w:sz w:val="28"/>
        </w:rPr>
        <w:tab/>
      </w:r>
      <w:r>
        <w:rPr>
          <w:rFonts w:hint="eastAsia" w:ascii="Times New Roman" w:hAnsi="Times New Roman" w:eastAsia="宋体" w:cs="宋体"/>
          <w:sz w:val="28"/>
        </w:rPr>
        <w:fldChar w:fldCharType="begin"/>
      </w:r>
      <w:r>
        <w:rPr>
          <w:rFonts w:hint="eastAsia" w:ascii="Times New Roman" w:hAnsi="Times New Roman" w:eastAsia="宋体" w:cs="宋体"/>
          <w:sz w:val="28"/>
        </w:rPr>
        <w:instrText xml:space="preserve"> PAGEREF _Toc31025 \h </w:instrText>
      </w:r>
      <w:r>
        <w:rPr>
          <w:rFonts w:hint="eastAsia" w:ascii="Times New Roman" w:hAnsi="Times New Roman" w:eastAsia="宋体" w:cs="宋体"/>
          <w:sz w:val="28"/>
        </w:rPr>
        <w:fldChar w:fldCharType="separate"/>
      </w:r>
      <w:r>
        <w:rPr>
          <w:rFonts w:hint="eastAsia" w:ascii="Times New Roman" w:hAnsi="Times New Roman" w:eastAsia="宋体" w:cs="宋体"/>
          <w:sz w:val="28"/>
        </w:rPr>
        <w:t>24</w:t>
      </w:r>
      <w:r>
        <w:rPr>
          <w:rFonts w:hint="eastAsia" w:ascii="Times New Roman" w:hAnsi="Times New Roman" w:eastAsia="宋体" w:cs="宋体"/>
          <w:sz w:val="28"/>
        </w:rPr>
        <w:fldChar w:fldCharType="end"/>
      </w:r>
      <w:r>
        <w:rPr>
          <w:rFonts w:hint="eastAsia" w:ascii="Times New Roman" w:hAnsi="Times New Roman" w:eastAsia="宋体" w:cs="宋体"/>
          <w:sz w:val="28"/>
          <w:szCs w:val="28"/>
          <w:lang w:eastAsia="zh-CN"/>
        </w:rPr>
        <w:fldChar w:fldCharType="end"/>
      </w:r>
    </w:p>
    <w:p>
      <w:pPr>
        <w:pStyle w:val="16"/>
        <w:tabs>
          <w:tab w:val="right" w:leader="dot" w:pos="8306"/>
        </w:tabs>
        <w:spacing w:line="360" w:lineRule="auto"/>
      </w:pPr>
      <w:r>
        <w:rPr>
          <w:rFonts w:hint="eastAsia" w:ascii="Times New Roman" w:hAnsi="Times New Roman" w:eastAsia="宋体" w:cs="宋体"/>
          <w:sz w:val="28"/>
          <w:szCs w:val="28"/>
          <w:lang w:eastAsia="zh-CN"/>
        </w:rPr>
        <w:fldChar w:fldCharType="begin"/>
      </w:r>
      <w:r>
        <w:rPr>
          <w:rFonts w:hint="eastAsia" w:ascii="Times New Roman" w:hAnsi="Times New Roman" w:eastAsia="宋体" w:cs="宋体"/>
          <w:sz w:val="28"/>
          <w:szCs w:val="28"/>
          <w:lang w:eastAsia="zh-CN"/>
        </w:rPr>
        <w:instrText xml:space="preserve"> HYPERLINK \l _Toc4001 </w:instrText>
      </w:r>
      <w:r>
        <w:rPr>
          <w:rFonts w:hint="eastAsia" w:ascii="Times New Roman" w:hAnsi="Times New Roman" w:eastAsia="宋体" w:cs="宋体"/>
          <w:sz w:val="28"/>
          <w:szCs w:val="28"/>
          <w:lang w:eastAsia="zh-CN"/>
        </w:rPr>
        <w:fldChar w:fldCharType="separate"/>
      </w:r>
      <w:r>
        <w:rPr>
          <w:rFonts w:hint="eastAsia" w:ascii="Times New Roman" w:hAnsi="Times New Roman" w:eastAsia="宋体" w:cs="宋体"/>
          <w:bCs/>
          <w:sz w:val="28"/>
          <w:szCs w:val="32"/>
          <w:lang w:val="en-US" w:eastAsia="zh-CN"/>
        </w:rPr>
        <w:t>参考文献</w:t>
      </w:r>
      <w:r>
        <w:rPr>
          <w:rFonts w:hint="eastAsia" w:ascii="Times New Roman" w:hAnsi="Times New Roman" w:eastAsia="宋体" w:cs="宋体"/>
          <w:sz w:val="28"/>
        </w:rPr>
        <w:tab/>
      </w:r>
      <w:r>
        <w:rPr>
          <w:rFonts w:hint="eastAsia" w:ascii="Times New Roman" w:hAnsi="Times New Roman" w:eastAsia="宋体" w:cs="宋体"/>
          <w:sz w:val="28"/>
        </w:rPr>
        <w:fldChar w:fldCharType="begin"/>
      </w:r>
      <w:r>
        <w:rPr>
          <w:rFonts w:hint="eastAsia" w:ascii="Times New Roman" w:hAnsi="Times New Roman" w:eastAsia="宋体" w:cs="宋体"/>
          <w:sz w:val="28"/>
        </w:rPr>
        <w:instrText xml:space="preserve"> PAGEREF _Toc4001 \h </w:instrText>
      </w:r>
      <w:r>
        <w:rPr>
          <w:rFonts w:hint="eastAsia" w:ascii="Times New Roman" w:hAnsi="Times New Roman" w:eastAsia="宋体" w:cs="宋体"/>
          <w:sz w:val="28"/>
        </w:rPr>
        <w:fldChar w:fldCharType="separate"/>
      </w:r>
      <w:r>
        <w:rPr>
          <w:rFonts w:hint="eastAsia" w:ascii="Times New Roman" w:hAnsi="Times New Roman" w:eastAsia="宋体" w:cs="宋体"/>
          <w:sz w:val="28"/>
        </w:rPr>
        <w:t>25</w:t>
      </w:r>
      <w:r>
        <w:rPr>
          <w:rFonts w:hint="eastAsia" w:ascii="Times New Roman" w:hAnsi="Times New Roman" w:eastAsia="宋体" w:cs="宋体"/>
          <w:sz w:val="28"/>
        </w:rPr>
        <w:fldChar w:fldCharType="end"/>
      </w:r>
      <w:r>
        <w:rPr>
          <w:rFonts w:hint="eastAsia" w:ascii="Times New Roman" w:hAnsi="Times New Roman" w:eastAsia="宋体" w:cs="宋体"/>
          <w:sz w:val="28"/>
          <w:szCs w:val="28"/>
          <w:lang w:eastAsia="zh-CN"/>
        </w:rPr>
        <w:fldChar w:fldCharType="end"/>
      </w:r>
    </w:p>
    <w:p>
      <w:pPr>
        <w:spacing w:line="360" w:lineRule="auto"/>
        <w:rPr>
          <w:rFonts w:hint="default" w:ascii="Times New Roman" w:hAnsi="Times New Roman"/>
          <w:sz w:val="28"/>
          <w:lang w:eastAsia="zh-CN"/>
        </w:rPr>
        <w:sectPr>
          <w:footnotePr>
            <w:numFmt w:val="decimalEnclosedCircleChinese"/>
            <w:numRestart w:val="eachPage"/>
          </w:footnotePr>
          <w:pgSz w:w="11906" w:h="16838"/>
          <w:pgMar w:top="1440" w:right="1800" w:bottom="1440" w:left="1800" w:header="851" w:footer="992" w:gutter="0"/>
          <w:pgNumType w:fmt="upperRoman"/>
          <w:cols w:space="720" w:num="1"/>
          <w:docGrid w:type="lines" w:linePitch="312" w:charSpace="0"/>
        </w:sectPr>
      </w:pPr>
      <w:r>
        <w:rPr>
          <w:rFonts w:hint="eastAsia" w:ascii="Times New Roman" w:hAnsi="Times New Roman" w:eastAsia="宋体" w:cs="宋体"/>
          <w:szCs w:val="28"/>
          <w:lang w:eastAsia="zh-CN"/>
        </w:rPr>
        <w:fldChar w:fldCharType="end"/>
      </w:r>
    </w:p>
    <w:p>
      <w:pPr>
        <w:widowControl w:val="0"/>
        <w:tabs>
          <w:tab w:val="right" w:leader="dot" w:pos="9071"/>
        </w:tabs>
        <w:spacing w:before="480" w:after="360" w:line="400" w:lineRule="exact"/>
        <w:ind w:firstLine="643" w:firstLineChars="200"/>
        <w:jc w:val="both"/>
        <w:outlineLvl w:val="0"/>
        <w:rPr>
          <w:rFonts w:ascii="Times New Roman" w:hAnsi="Times New Roman" w:eastAsia="宋体" w:cs="Times New Roman"/>
          <w:b/>
          <w:kern w:val="2"/>
          <w:sz w:val="32"/>
          <w:szCs w:val="24"/>
          <w:lang w:val="en-US" w:eastAsia="zh-CN" w:bidi="ar-SA"/>
        </w:rPr>
      </w:pPr>
      <w:bookmarkStart w:id="11" w:name="_Toc9373"/>
      <w:bookmarkStart w:id="12" w:name="_Toc8904"/>
      <w:bookmarkStart w:id="13" w:name="_Toc26024"/>
      <w:bookmarkStart w:id="14" w:name="_Toc21956"/>
      <w:bookmarkStart w:id="15" w:name="_Toc21976"/>
      <w:bookmarkStart w:id="16" w:name="_Toc15739"/>
      <w:bookmarkStart w:id="17" w:name="_Toc1206"/>
      <w:bookmarkStart w:id="18" w:name="OLE_LINK8"/>
      <w:r>
        <w:rPr>
          <w:rFonts w:hint="eastAsia" w:ascii="Times New Roman" w:hAnsi="Times New Roman" w:eastAsia="宋体" w:cs="Times New Roman"/>
          <w:b/>
          <w:bCs/>
          <w:color w:val="000000"/>
          <w:kern w:val="2"/>
          <w:sz w:val="32"/>
          <w:szCs w:val="32"/>
          <w:shd w:val="clear" w:color="auto" w:fill="FFFFFF"/>
          <w:lang w:val="en-US" w:eastAsia="zh-CN" w:bidi="ar-SA"/>
        </w:rPr>
        <w:t>一、绪论</w:t>
      </w:r>
      <w:bookmarkEnd w:id="11"/>
      <w:bookmarkEnd w:id="12"/>
      <w:bookmarkEnd w:id="13"/>
      <w:bookmarkEnd w:id="14"/>
      <w:bookmarkEnd w:id="15"/>
      <w:bookmarkEnd w:id="16"/>
      <w:bookmarkEnd w:id="17"/>
    </w:p>
    <w:bookmarkEnd w:id="18"/>
    <w:p>
      <w:pPr>
        <w:keepNext w:val="0"/>
        <w:keepLines w:val="0"/>
        <w:pageBreakBefore w:val="0"/>
        <w:widowControl w:val="0"/>
        <w:kinsoku/>
        <w:wordWrap/>
        <w:overflowPunct/>
        <w:topLinePunct w:val="0"/>
        <w:autoSpaceDE/>
        <w:autoSpaceDN/>
        <w:bidi w:val="0"/>
        <w:adjustRightInd/>
        <w:snapToGrid/>
        <w:spacing w:before="480" w:after="120" w:line="400" w:lineRule="exact"/>
        <w:ind w:firstLine="562" w:firstLineChars="200"/>
        <w:textAlignment w:val="auto"/>
        <w:outlineLvl w:val="1"/>
        <w:rPr>
          <w:rFonts w:ascii="Times New Roman" w:hAnsi="Times New Roman"/>
          <w:b/>
          <w:sz w:val="28"/>
          <w:szCs w:val="30"/>
          <w:shd w:val="clear" w:color="auto" w:fill="FFFFFF"/>
        </w:rPr>
      </w:pPr>
      <w:bookmarkStart w:id="19" w:name="_Toc20624"/>
      <w:bookmarkStart w:id="20" w:name="_Toc11626"/>
      <w:bookmarkStart w:id="21" w:name="_Toc20354"/>
      <w:bookmarkStart w:id="22" w:name="_Toc28684"/>
      <w:bookmarkStart w:id="23" w:name="_Toc21040"/>
      <w:bookmarkStart w:id="24" w:name="_Toc11345"/>
      <w:bookmarkStart w:id="25" w:name="_Toc10572"/>
      <w:bookmarkStart w:id="26" w:name="_Toc25683"/>
      <w:r>
        <w:rPr>
          <w:rFonts w:hint="eastAsia" w:ascii="Times New Roman" w:hAnsi="Times New Roman"/>
          <w:b/>
          <w:sz w:val="28"/>
          <w:szCs w:val="30"/>
          <w:shd w:val="clear" w:color="auto" w:fill="FFFFFF"/>
        </w:rPr>
        <w:t>（一）</w:t>
      </w:r>
      <w:bookmarkEnd w:id="19"/>
      <w:bookmarkEnd w:id="20"/>
      <w:bookmarkEnd w:id="21"/>
      <w:bookmarkEnd w:id="22"/>
      <w:bookmarkEnd w:id="23"/>
      <w:bookmarkEnd w:id="24"/>
      <w:r>
        <w:rPr>
          <w:rFonts w:hint="eastAsia" w:ascii="Times New Roman" w:hAnsi="Times New Roman"/>
          <w:b/>
          <w:sz w:val="28"/>
          <w:szCs w:val="30"/>
          <w:shd w:val="clear" w:color="auto" w:fill="FFFFFF"/>
          <w:lang w:val="en-US" w:eastAsia="zh-CN"/>
        </w:rPr>
        <w:t>研究背景</w:t>
      </w:r>
      <w:bookmarkEnd w:id="25"/>
      <w:bookmarkEnd w:id="26"/>
    </w:p>
    <w:p>
      <w:pPr>
        <w:spacing w:line="400" w:lineRule="exact"/>
        <w:ind w:firstLine="480" w:firstLineChars="200"/>
        <w:rPr>
          <w:rFonts w:hint="eastAsia" w:ascii="宋体" w:hAnsi="宋体" w:eastAsia="宋体" w:cs="宋体"/>
          <w:sz w:val="24"/>
        </w:rPr>
      </w:pPr>
      <w:r>
        <w:rPr>
          <w:rFonts w:hint="eastAsia" w:ascii="宋体" w:hAnsi="宋体" w:eastAsia="宋体" w:cs="宋体"/>
          <w:sz w:val="24"/>
        </w:rPr>
        <w:t>彩礼是中国传统文化中婚礼仪式的组成部分之一，在西周时期叫六礼婚制。现代社会特别是双方感情基础比较牢固的情况下，该习俗仍然有十分重要的社会价值，并且伴随着一定的文化传承和实践规范得以延续。在一定的文化背景之下，彩礼一般指男方家庭为了缔结婚姻关系而给女方家庭或者个人带来的物质财产和礼物。当婚姻关系破裂要解除的时候，关于“彩礼返还”争议就成为了急需解决的重要问题之一。</w:t>
      </w:r>
    </w:p>
    <w:p>
      <w:pPr>
        <w:spacing w:line="400" w:lineRule="exact"/>
        <w:ind w:firstLine="480" w:firstLineChars="200"/>
        <w:rPr>
          <w:rFonts w:hint="eastAsia" w:ascii="宋体" w:hAnsi="宋体" w:eastAsia="宋体" w:cs="宋体"/>
          <w:sz w:val="24"/>
        </w:rPr>
      </w:pPr>
      <w:r>
        <w:rPr>
          <w:rFonts w:hint="eastAsia" w:ascii="宋体" w:hAnsi="宋体" w:eastAsia="宋体" w:cs="宋体"/>
          <w:sz w:val="24"/>
        </w:rPr>
        <w:t>虽然最高人民法院《关于审理涉及彩礼纠纷案件适用法律若干问题的解释》（以下简称“彩礼适用规定”）在一定程度上实现了司法实践中彩礼返还类案件的裁判尺度标准化，但是仍然存在着很多亟待解决的问题。彩礼返还纠纷在司法实践中由于地区的风俗习惯、经济发展水平的不同，全国各地的法院所采取的裁判规则是不一样的。为此有必要创建起全国范围内的跨区域合作机制来实现统一协调。</w:t>
      </w:r>
    </w:p>
    <w:p>
      <w:pPr>
        <w:spacing w:line="400" w:lineRule="exact"/>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在中国裁判文书网以“案由：婚约财产纠纷”“法院省份：湖南省”“裁判年份：2025”“文书类型：判决书”“返还”“彩礼”检索，共获得78份裁判文书。湖南省彩礼习俗属于承载着深厚礼俗文化的地方，同时也有着重大的社会文化意义和经济价值。在2022年启动高价彩礼专项治理，因为高额彩礼而引发的纠纷案件数量大幅上升，而且存在一些典型的特征。选取湖南省作为研究样本，既可以对地方性彩礼争议解决途径进行探究，又可以给其他地区的同类问题提供法治化的治理经验以及理论依据。</w:t>
      </w:r>
    </w:p>
    <w:p>
      <w:pPr>
        <w:keepNext w:val="0"/>
        <w:keepLines w:val="0"/>
        <w:pageBreakBefore w:val="0"/>
        <w:widowControl w:val="0"/>
        <w:kinsoku/>
        <w:wordWrap/>
        <w:overflowPunct/>
        <w:topLinePunct w:val="0"/>
        <w:autoSpaceDE/>
        <w:autoSpaceDN/>
        <w:bidi w:val="0"/>
        <w:adjustRightInd/>
        <w:snapToGrid/>
        <w:spacing w:before="480" w:after="120" w:line="400" w:lineRule="exact"/>
        <w:ind w:firstLine="562" w:firstLineChars="200"/>
        <w:textAlignment w:val="auto"/>
        <w:outlineLvl w:val="1"/>
        <w:rPr>
          <w:rFonts w:hint="eastAsia" w:ascii="Times New Roman" w:hAnsi="Times New Roman" w:eastAsia="宋体"/>
          <w:b/>
          <w:sz w:val="28"/>
          <w:szCs w:val="30"/>
          <w:shd w:val="clear" w:color="auto" w:fill="FFFFFF"/>
          <w:lang w:val="en-US" w:eastAsia="zh-CN"/>
        </w:rPr>
      </w:pPr>
      <w:bookmarkStart w:id="27" w:name="_Toc22486"/>
      <w:bookmarkStart w:id="28" w:name="_Toc14474"/>
      <w:bookmarkStart w:id="29" w:name="_Toc15200"/>
      <w:bookmarkStart w:id="30" w:name="_Toc25773"/>
      <w:bookmarkStart w:id="31" w:name="_Toc15540"/>
      <w:bookmarkStart w:id="32" w:name="_Toc13801"/>
      <w:bookmarkStart w:id="33" w:name="_Toc19000"/>
      <w:bookmarkStart w:id="34" w:name="_Toc29914"/>
      <w:bookmarkStart w:id="35" w:name="_Toc24547"/>
      <w:r>
        <w:rPr>
          <w:rFonts w:hint="eastAsia" w:ascii="Times New Roman" w:hAnsi="Times New Roman"/>
          <w:b/>
          <w:sz w:val="28"/>
          <w:szCs w:val="30"/>
          <w:shd w:val="clear" w:color="auto" w:fill="FFFFFF"/>
        </w:rPr>
        <w:t>（二）</w:t>
      </w:r>
      <w:bookmarkEnd w:id="27"/>
      <w:bookmarkEnd w:id="28"/>
      <w:bookmarkEnd w:id="29"/>
      <w:bookmarkEnd w:id="30"/>
      <w:bookmarkEnd w:id="31"/>
      <w:bookmarkEnd w:id="32"/>
      <w:bookmarkEnd w:id="33"/>
      <w:r>
        <w:rPr>
          <w:rFonts w:hint="eastAsia" w:ascii="Times New Roman" w:hAnsi="Times New Roman"/>
          <w:b/>
          <w:sz w:val="28"/>
          <w:szCs w:val="30"/>
          <w:shd w:val="clear" w:color="auto" w:fill="FFFFFF"/>
          <w:lang w:val="en-US" w:eastAsia="zh-CN"/>
        </w:rPr>
        <w:t>研究目的与意义</w:t>
      </w:r>
      <w:bookmarkEnd w:id="34"/>
      <w:bookmarkEnd w:id="35"/>
    </w:p>
    <w:p>
      <w:pPr>
        <w:spacing w:before="240" w:after="120" w:line="400" w:lineRule="exact"/>
        <w:ind w:firstLine="482" w:firstLineChars="200"/>
        <w:outlineLvl w:val="2"/>
        <w:rPr>
          <w:rFonts w:hint="default" w:ascii="Times New Roman" w:hAnsi="Times New Roman" w:eastAsia="宋体" w:cs="Times New Roman"/>
          <w:b/>
          <w:bCs/>
          <w:sz w:val="24"/>
          <w:szCs w:val="28"/>
          <w:shd w:val="clear" w:color="auto" w:fill="FFFFFF"/>
          <w:lang w:val="en-US" w:eastAsia="zh-CN"/>
        </w:rPr>
      </w:pPr>
      <w:bookmarkStart w:id="36" w:name="_Toc26768"/>
      <w:bookmarkStart w:id="37" w:name="_Toc9786"/>
      <w:bookmarkStart w:id="38" w:name="_Toc11059_WPSOffice_Level3"/>
      <w:bookmarkStart w:id="39" w:name="_Toc18786"/>
      <w:bookmarkStart w:id="40" w:name="_Toc4507"/>
      <w:bookmarkStart w:id="41" w:name="_Toc21523"/>
      <w:bookmarkStart w:id="42" w:name="_Toc23785"/>
      <w:bookmarkStart w:id="43" w:name="_Toc8675"/>
      <w:bookmarkStart w:id="44" w:name="_Toc13167"/>
      <w:r>
        <w:rPr>
          <w:rFonts w:hint="eastAsia" w:ascii="Times New Roman" w:hAnsi="Times New Roman" w:eastAsia="宋体" w:cs="Times New Roman"/>
          <w:b/>
          <w:bCs/>
          <w:sz w:val="24"/>
          <w:szCs w:val="28"/>
          <w:shd w:val="clear" w:color="auto" w:fill="FFFFFF"/>
        </w:rPr>
        <w:t>1.</w:t>
      </w:r>
      <w:bookmarkEnd w:id="36"/>
      <w:bookmarkEnd w:id="37"/>
      <w:bookmarkEnd w:id="38"/>
      <w:bookmarkEnd w:id="39"/>
      <w:bookmarkEnd w:id="40"/>
      <w:bookmarkEnd w:id="41"/>
      <w:bookmarkEnd w:id="42"/>
      <w:r>
        <w:rPr>
          <w:rFonts w:hint="eastAsia" w:ascii="Times New Roman" w:hAnsi="Times New Roman" w:eastAsia="宋体" w:cs="Times New Roman"/>
          <w:b/>
          <w:bCs/>
          <w:sz w:val="24"/>
          <w:szCs w:val="28"/>
          <w:shd w:val="clear" w:color="auto" w:fill="FFFFFF"/>
          <w:lang w:val="en-US" w:eastAsia="zh-CN"/>
        </w:rPr>
        <w:t>研究目的</w:t>
      </w:r>
      <w:bookmarkEnd w:id="43"/>
      <w:bookmarkEnd w:id="44"/>
    </w:p>
    <w:p>
      <w:pPr>
        <w:spacing w:line="400" w:lineRule="exact"/>
        <w:ind w:firstLine="480" w:firstLineChars="200"/>
        <w:rPr>
          <w:rFonts w:hint="eastAsia" w:ascii="Times New Roman" w:hAnsi="Times New Roman" w:eastAsia="宋体"/>
          <w:sz w:val="24"/>
          <w:lang w:val="en-US" w:eastAsia="zh-CN"/>
        </w:rPr>
      </w:pPr>
      <w:r>
        <w:rPr>
          <w:rFonts w:hint="eastAsia" w:ascii="Times New Roman" w:hAnsi="Times New Roman" w:eastAsia="宋体"/>
          <w:sz w:val="24"/>
          <w:lang w:val="en-US" w:eastAsia="zh-CN"/>
        </w:rPr>
        <w:t>本研究以湖南省各级人民法院审结的78份彩礼返还案为实证研究对象，从司法实践角度出发，对彩礼返还制度的运行机理及现实困境进行全方位的研究。依照《最高人民法院关于适用〈中华人民共和国民法典〉婚姻家庭编的解释（一）》（以下简称《婚姻家庭编解释（一）》</w:t>
      </w:r>
      <w:r>
        <w:rPr>
          <w:rFonts w:hint="eastAsia" w:ascii="Times New Roman" w:hAnsi="Times New Roman"/>
          <w:sz w:val="24"/>
          <w:lang w:val="en-US" w:eastAsia="zh-CN"/>
        </w:rPr>
        <w:t>）</w:t>
      </w:r>
      <w:r>
        <w:rPr>
          <w:rFonts w:hint="eastAsia" w:ascii="Times New Roman" w:hAnsi="Times New Roman" w:eastAsia="宋体"/>
          <w:sz w:val="24"/>
          <w:lang w:val="en-US" w:eastAsia="zh-CN"/>
        </w:rPr>
        <w:t>第五条以及《彩礼适用规定》的规定来建立完整的法律规范体系，并且依据湖南地区法院审理该类案件时对于共同生活期间、过错认定、地方风俗习惯等要素的裁判标准来解析审判中遇到的核心问题及争议焦点。因此提出，在保证司法独立裁量权的同时，用法定规则的约束，建立一个符合法律规定的、统一的彩礼纠纷裁判标准，并且保证公平公正。</w:t>
      </w:r>
    </w:p>
    <w:p>
      <w:pPr>
        <w:spacing w:before="240" w:after="120" w:line="400" w:lineRule="exact"/>
        <w:ind w:firstLine="482" w:firstLineChars="200"/>
        <w:outlineLvl w:val="2"/>
        <w:rPr>
          <w:rFonts w:hint="default" w:ascii="Times New Roman" w:hAnsi="Times New Roman" w:eastAsia="宋体" w:cs="Times New Roman"/>
          <w:b/>
          <w:bCs/>
          <w:sz w:val="24"/>
          <w:szCs w:val="28"/>
          <w:shd w:val="clear" w:color="auto" w:fill="FFFFFF"/>
          <w:lang w:val="en-US" w:eastAsia="zh-CN"/>
        </w:rPr>
      </w:pPr>
      <w:bookmarkStart w:id="45" w:name="_Toc1887"/>
      <w:bookmarkStart w:id="46" w:name="_Toc26055"/>
      <w:r>
        <w:rPr>
          <w:rFonts w:hint="eastAsia" w:ascii="Times New Roman" w:hAnsi="Times New Roman" w:eastAsia="宋体" w:cs="Times New Roman"/>
          <w:b/>
          <w:bCs/>
          <w:sz w:val="24"/>
          <w:szCs w:val="28"/>
          <w:shd w:val="clear" w:color="auto" w:fill="FFFFFF"/>
          <w:lang w:val="en-US" w:eastAsia="zh-CN"/>
        </w:rPr>
        <w:t>2</w:t>
      </w:r>
      <w:r>
        <w:rPr>
          <w:rFonts w:hint="eastAsia" w:ascii="Times New Roman" w:hAnsi="Times New Roman" w:eastAsia="宋体" w:cs="Times New Roman"/>
          <w:b/>
          <w:bCs/>
          <w:sz w:val="24"/>
          <w:szCs w:val="28"/>
          <w:shd w:val="clear" w:color="auto" w:fill="FFFFFF"/>
        </w:rPr>
        <w:t>.</w:t>
      </w:r>
      <w:r>
        <w:rPr>
          <w:rFonts w:hint="eastAsia" w:ascii="Times New Roman" w:hAnsi="Times New Roman" w:eastAsia="宋体" w:cs="Times New Roman"/>
          <w:b/>
          <w:bCs/>
          <w:sz w:val="24"/>
          <w:szCs w:val="28"/>
          <w:shd w:val="clear" w:color="auto" w:fill="FFFFFF"/>
          <w:lang w:val="en-US" w:eastAsia="zh-CN"/>
        </w:rPr>
        <w:t>研究意义</w:t>
      </w:r>
      <w:bookmarkEnd w:id="45"/>
      <w:bookmarkEnd w:id="46"/>
    </w:p>
    <w:p>
      <w:pPr>
        <w:spacing w:line="400" w:lineRule="exact"/>
        <w:ind w:firstLine="480" w:firstLineChars="200"/>
        <w:rPr>
          <w:rFonts w:hint="eastAsia" w:ascii="Times New Roman" w:hAnsi="Times New Roman" w:eastAsia="宋体"/>
          <w:sz w:val="24"/>
          <w:lang w:val="en-US" w:eastAsia="zh-CN"/>
        </w:rPr>
      </w:pPr>
      <w:r>
        <w:rPr>
          <w:rFonts w:hint="eastAsia" w:ascii="Times New Roman" w:hAnsi="Times New Roman" w:eastAsia="宋体"/>
          <w:sz w:val="24"/>
          <w:lang w:val="en-US" w:eastAsia="zh-CN"/>
        </w:rPr>
        <w:t>从理论上讲，本研究有如下两点意义，第一，通过对于湖南省彩礼返还案件司法实践的剖析，结合附解除条件赠与、目的性赠与等重要学术问题展开论述，一方面可以加深对彩礼法律属性的认识，另一方面也可以使理论框架得到重构和细化，从而更好地适应现实诉讼需要；第二，根据对法官自由裁量权运用机制的实证研究，给动态系统分析方法在民事审判领域应用提供了一个实践范例，也为完善多元化纠纷解决体系提供了丰富的数据支撑和宝贵的经验积累。</w:t>
      </w:r>
    </w:p>
    <w:p>
      <w:pPr>
        <w:spacing w:line="400" w:lineRule="exact"/>
        <w:ind w:firstLine="480" w:firstLineChars="200"/>
        <w:rPr>
          <w:rFonts w:hint="eastAsia" w:ascii="Times New Roman" w:hAnsi="Times New Roman"/>
          <w:sz w:val="24"/>
          <w:lang w:val="en-US" w:eastAsia="zh-CN"/>
        </w:rPr>
      </w:pPr>
      <w:r>
        <w:rPr>
          <w:rFonts w:hint="eastAsia" w:ascii="Times New Roman" w:hAnsi="Times New Roman"/>
          <w:sz w:val="24"/>
          <w:lang w:val="en-US" w:eastAsia="zh-CN"/>
        </w:rPr>
        <w:t>该研究在实践中有着诸多重要的意义。根据对湖南省婚约财产纠纷典型案例和裁判规则经验总结，给司法实践提供了一套行之有效的指导方案，对法官审理此类案件有直接的参考作用，有利于提高司法判决的统一性、透明度，使法律适用更加规范、更具预见性。对“共同生活”、“经济困难”等重要概念核心内涵及边界条件进行剖析，削减由于认识上的差别而产生的个案裁决差异，促使彩礼返还制度得以完善和发展。依靠对核心要素以及它们之间的权重关系进行系统的分析，一方面可以促使社会公众产生理性的婚恋观念，另一方面也可以促使当事人及其家属对可能存在的风险有合理的预期，并且能够避免因这些风险而引发的纠纷，进而减少此类纠纷发生的频率，推动传统文化习俗向现代文明形态的有序转化，促进社会稳定秩序的建设和发展。</w:t>
      </w:r>
    </w:p>
    <w:p>
      <w:pPr>
        <w:spacing w:before="480" w:after="120" w:line="400" w:lineRule="exact"/>
        <w:ind w:firstLine="562" w:firstLineChars="200"/>
        <w:outlineLvl w:val="1"/>
        <w:rPr>
          <w:rFonts w:hint="eastAsia" w:ascii="Times New Roman" w:hAnsi="Times New Roman"/>
          <w:b/>
          <w:sz w:val="28"/>
          <w:szCs w:val="30"/>
          <w:shd w:val="clear" w:color="auto" w:fill="FFFFFF"/>
        </w:rPr>
      </w:pPr>
      <w:bookmarkStart w:id="47" w:name="_Toc14822"/>
      <w:bookmarkStart w:id="48" w:name="_Toc31616"/>
      <w:bookmarkStart w:id="49" w:name="_Toc21587"/>
      <w:bookmarkStart w:id="50" w:name="_Toc23733"/>
      <w:bookmarkStart w:id="51" w:name="_Toc5981"/>
      <w:bookmarkStart w:id="52" w:name="_Toc7083"/>
      <w:bookmarkStart w:id="53" w:name="_Toc18235"/>
      <w:bookmarkStart w:id="54" w:name="_Toc32279"/>
      <w:bookmarkStart w:id="55" w:name="_Toc2235"/>
      <w:r>
        <w:rPr>
          <w:rFonts w:hint="eastAsia" w:ascii="Times New Roman" w:hAnsi="Times New Roman"/>
          <w:b/>
          <w:sz w:val="28"/>
          <w:szCs w:val="30"/>
          <w:shd w:val="clear" w:color="auto" w:fill="FFFFFF"/>
        </w:rPr>
        <w:t>（三）</w:t>
      </w:r>
      <w:bookmarkEnd w:id="47"/>
      <w:bookmarkEnd w:id="48"/>
      <w:bookmarkEnd w:id="49"/>
      <w:bookmarkEnd w:id="50"/>
      <w:bookmarkEnd w:id="51"/>
      <w:bookmarkEnd w:id="52"/>
      <w:bookmarkEnd w:id="53"/>
      <w:r>
        <w:rPr>
          <w:rFonts w:hint="eastAsia" w:ascii="Times New Roman" w:hAnsi="Times New Roman"/>
          <w:b/>
          <w:sz w:val="28"/>
          <w:szCs w:val="30"/>
          <w:shd w:val="clear" w:color="auto" w:fill="FFFFFF"/>
        </w:rPr>
        <w:t>文献综述</w:t>
      </w:r>
      <w:bookmarkEnd w:id="54"/>
      <w:bookmarkEnd w:id="55"/>
    </w:p>
    <w:p>
      <w:pPr>
        <w:spacing w:line="400" w:lineRule="exact"/>
        <w:ind w:firstLine="480" w:firstLineChars="200"/>
        <w:rPr>
          <w:rFonts w:hint="eastAsia" w:ascii="Times New Roman" w:hAnsi="Times New Roman"/>
          <w:sz w:val="24"/>
          <w:lang w:val="en-US" w:eastAsia="zh-CN"/>
        </w:rPr>
      </w:pPr>
      <w:r>
        <w:rPr>
          <w:rFonts w:hint="eastAsia" w:ascii="Times New Roman" w:hAnsi="Times New Roman"/>
          <w:sz w:val="24"/>
          <w:lang w:val="en-US" w:eastAsia="zh-CN"/>
        </w:rPr>
        <w:t>目前学术界对于彩礼返还纠纷的研究已经形成了一套比较完整的理论体系，主要从三个方面展开论述，即彩礼的本质属性和界定标准、彩礼返还请求权的构成要件及法律后果、结合司法实践经验，系统整理并总结出彩礼返还案件中裁判规则和适用方法。</w:t>
      </w:r>
    </w:p>
    <w:p>
      <w:pPr>
        <w:spacing w:before="240" w:after="120" w:line="400" w:lineRule="exact"/>
        <w:ind w:firstLine="482" w:firstLineChars="200"/>
        <w:outlineLvl w:val="2"/>
        <w:rPr>
          <w:rFonts w:hint="eastAsia" w:ascii="Times New Roman" w:hAnsi="Times New Roman" w:eastAsia="宋体" w:cs="Times New Roman"/>
          <w:b/>
          <w:sz w:val="28"/>
          <w:szCs w:val="30"/>
          <w:shd w:val="clear" w:color="auto" w:fill="FFFFFF"/>
        </w:rPr>
      </w:pPr>
      <w:bookmarkStart w:id="56" w:name="_Toc7575"/>
      <w:bookmarkStart w:id="57" w:name="_Toc28438"/>
      <w:r>
        <w:rPr>
          <w:rFonts w:hint="eastAsia" w:ascii="Times New Roman" w:hAnsi="Times New Roman" w:eastAsia="宋体" w:cs="Times New Roman"/>
          <w:b/>
          <w:bCs/>
          <w:sz w:val="24"/>
          <w:szCs w:val="28"/>
          <w:shd w:val="clear" w:color="auto" w:fill="FFFFFF"/>
          <w:lang w:val="en-US" w:eastAsia="zh-CN"/>
        </w:rPr>
        <w:t>1</w:t>
      </w:r>
      <w:r>
        <w:rPr>
          <w:rFonts w:hint="eastAsia" w:ascii="Times New Roman" w:hAnsi="Times New Roman" w:eastAsia="宋体" w:cs="Times New Roman"/>
          <w:b/>
          <w:bCs/>
          <w:sz w:val="24"/>
          <w:szCs w:val="28"/>
          <w:shd w:val="clear" w:color="auto" w:fill="FFFFFF"/>
        </w:rPr>
        <w:t>.</w:t>
      </w:r>
      <w:r>
        <w:rPr>
          <w:rFonts w:hint="eastAsia" w:ascii="Times New Roman" w:hAnsi="Times New Roman" w:eastAsia="宋体" w:cs="Times New Roman"/>
          <w:b/>
          <w:bCs/>
          <w:sz w:val="24"/>
          <w:szCs w:val="28"/>
          <w:shd w:val="clear" w:color="auto" w:fill="FFFFFF"/>
          <w:lang w:val="en-US" w:eastAsia="zh-CN"/>
        </w:rPr>
        <w:t>国内研究综述</w:t>
      </w:r>
      <w:bookmarkEnd w:id="56"/>
      <w:bookmarkEnd w:id="57"/>
    </w:p>
    <w:p>
      <w:pPr>
        <w:keepNext w:val="0"/>
        <w:keepLines w:val="0"/>
        <w:pageBreakBefore w:val="0"/>
        <w:widowControl w:val="0"/>
        <w:kinsoku/>
        <w:wordWrap/>
        <w:overflowPunct/>
        <w:topLinePunct w:val="0"/>
        <w:autoSpaceDE/>
        <w:autoSpaceDN/>
        <w:bidi w:val="0"/>
        <w:adjustRightInd/>
        <w:snapToGrid/>
        <w:spacing w:before="120" w:after="120" w:line="400" w:lineRule="exact"/>
        <w:ind w:firstLine="480" w:firstLineChars="200"/>
        <w:textAlignment w:val="auto"/>
        <w:outlineLvl w:val="3"/>
        <w:rPr>
          <w:rFonts w:hint="default" w:ascii="Times New Roman" w:hAnsi="Times New Roman" w:eastAsia="宋体" w:cs="Times New Roman"/>
          <w:sz w:val="24"/>
          <w:lang w:val="en-US" w:eastAsia="zh-CN"/>
        </w:rPr>
      </w:pPr>
      <w:bookmarkStart w:id="58" w:name="_Toc16604"/>
      <w:bookmarkStart w:id="59" w:name="_Toc24458"/>
      <w:r>
        <w:rPr>
          <w:rFonts w:hint="default" w:ascii="Times New Roman" w:hAnsi="Times New Roman" w:cs="Times New Roman"/>
          <w:bCs/>
          <w:color w:val="auto"/>
          <w:sz w:val="24"/>
          <w:szCs w:val="28"/>
          <w:shd w:val="clear" w:color="auto" w:fill="FFFFFF"/>
          <w:lang w:val="en-US"/>
        </w:rPr>
        <w:t>(1)</w:t>
      </w:r>
      <w:bookmarkEnd w:id="58"/>
      <w:bookmarkEnd w:id="59"/>
      <w:r>
        <w:rPr>
          <w:rFonts w:hint="eastAsia" w:ascii="Times New Roman" w:hAnsi="Times New Roman" w:cs="Times New Roman"/>
          <w:bCs/>
          <w:color w:val="auto"/>
          <w:sz w:val="24"/>
          <w:szCs w:val="28"/>
          <w:shd w:val="clear" w:color="auto" w:fill="FFFFFF"/>
          <w:lang w:val="en-US" w:eastAsia="zh-CN"/>
        </w:rPr>
        <w:t>对</w:t>
      </w:r>
      <w:r>
        <w:rPr>
          <w:rFonts w:hint="eastAsia" w:ascii="Times New Roman" w:hAnsi="Times New Roman" w:eastAsia="宋体" w:cs="Times New Roman"/>
          <w:sz w:val="24"/>
          <w:lang w:val="en-US" w:eastAsia="zh-CN"/>
        </w:rPr>
        <w:t>彩礼性质的研究</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default" w:ascii="Times New Roman" w:hAnsi="Times New Roman" w:cs="Times New Roman"/>
          <w:bCs/>
          <w:sz w:val="24"/>
          <w:szCs w:val="28"/>
          <w:shd w:val="clear" w:color="auto" w:fill="FFFFFF"/>
          <w:lang w:val="en-US"/>
        </w:rPr>
      </w:pPr>
      <w:r>
        <w:rPr>
          <w:rFonts w:hint="default" w:ascii="Times New Roman" w:hAnsi="Times New Roman" w:cs="Times New Roman"/>
          <w:bCs/>
          <w:sz w:val="24"/>
          <w:szCs w:val="28"/>
          <w:shd w:val="clear" w:color="auto" w:fill="FFFFFF"/>
          <w:lang w:val="en-US"/>
        </w:rPr>
        <w:t>彩礼法律性质的学理研究当中，附解除条件赠与理论一直居于主导地位。按照该观点，彩礼给付行为可以被界定为一种带有特定解除条件的赠与行为，合法婚姻关系的成立是其中的重要生效要件。当双方没有办理结婚登记或者最终解除婚约的时候，上述解除条件就会生效，导致赠与合同无效，受赠人要承担返还彩礼的义务</w:t>
      </w:r>
      <w:r>
        <w:rPr>
          <w:rStyle w:val="24"/>
          <w:rFonts w:hint="default" w:ascii="Times New Roman" w:hAnsi="Times New Roman" w:cs="Times New Roman"/>
          <w:bCs/>
          <w:sz w:val="24"/>
          <w:szCs w:val="28"/>
          <w:shd w:val="clear" w:color="auto" w:fill="FFFFFF"/>
          <w:lang w:val="en-US"/>
        </w:rPr>
        <w:footnoteReference w:id="0"/>
      </w:r>
      <w:r>
        <w:rPr>
          <w:rFonts w:hint="default" w:ascii="Times New Roman" w:hAnsi="Times New Roman" w:cs="Times New Roman"/>
          <w:bCs/>
          <w:sz w:val="24"/>
          <w:szCs w:val="28"/>
          <w:shd w:val="clear" w:color="auto" w:fill="FFFFFF"/>
          <w:lang w:val="en-US"/>
        </w:rPr>
        <w:t>。该理论以严格的法学逻辑为依托展开分析，既可以支持未办理结婚手续就要求返还彩礼的司法裁判结果，也可以和以往的相关司法解释规定相吻合，具有较好的规范统一性和实践操作性。</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default" w:ascii="Times New Roman" w:hAnsi="Times New Roman" w:cs="Times New Roman"/>
          <w:bCs/>
          <w:sz w:val="24"/>
          <w:szCs w:val="28"/>
          <w:shd w:val="clear" w:color="auto" w:fill="FFFFFF"/>
          <w:lang w:val="en-US"/>
        </w:rPr>
      </w:pPr>
      <w:r>
        <w:rPr>
          <w:rFonts w:hint="default" w:ascii="Times New Roman" w:hAnsi="Times New Roman" w:cs="Times New Roman"/>
          <w:bCs/>
          <w:sz w:val="24"/>
          <w:szCs w:val="28"/>
          <w:shd w:val="clear" w:color="auto" w:fill="FFFFFF"/>
          <w:lang w:val="en-US"/>
        </w:rPr>
        <w:t>该理论架构内在的缺陷越来越明显。在阐释婚姻本质的时候，其核心概念“共同生活”只被形式化地定义为法定的结婚登记行为，而没有充分地表现出婚姻作为社会生活共同体的功能特点；所建立的法律判定标准更多的是立法者主观的价值取向，和实践中彩礼赠与行为背后各种心理因素存在差异，尤其是对受赠方基于长久夫妻关系稳定预期的实际考虑没有给予足够的重视。对于已经登记但是没有同居而产生返还争议的案件，现有的裁判规则不能形成一个具有很强说服力并且公平正义的解决办法</w:t>
      </w:r>
      <w:r>
        <w:rPr>
          <w:rStyle w:val="24"/>
          <w:rFonts w:hint="default" w:ascii="Times New Roman" w:hAnsi="Times New Roman" w:cs="Times New Roman"/>
          <w:bCs/>
          <w:sz w:val="24"/>
          <w:szCs w:val="28"/>
          <w:shd w:val="clear" w:color="auto" w:fill="FFFFFF"/>
          <w:lang w:val="en-US"/>
        </w:rPr>
        <w:footnoteReference w:id="1"/>
      </w:r>
      <w:r>
        <w:rPr>
          <w:rStyle w:val="24"/>
          <w:rFonts w:hint="default" w:ascii="Times New Roman" w:hAnsi="Times New Roman" w:cs="Times New Roman"/>
          <w:bCs/>
          <w:sz w:val="24"/>
          <w:szCs w:val="28"/>
          <w:shd w:val="clear" w:color="auto" w:fill="FFFFFF"/>
          <w:lang w:val="en-US"/>
        </w:rPr>
        <w:footnoteReference w:id="2"/>
      </w:r>
      <w:r>
        <w:rPr>
          <w:rFonts w:hint="default" w:ascii="Times New Roman" w:hAnsi="Times New Roman" w:cs="Times New Roman"/>
          <w:bCs/>
          <w:sz w:val="24"/>
          <w:szCs w:val="28"/>
          <w:shd w:val="clear" w:color="auto" w:fill="FFFFFF"/>
          <w:lang w:val="en-US"/>
        </w:rPr>
        <w:t>。</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default" w:ascii="Times New Roman" w:hAnsi="Times New Roman" w:cs="Times New Roman"/>
          <w:bCs/>
          <w:sz w:val="24"/>
          <w:szCs w:val="28"/>
          <w:shd w:val="clear" w:color="auto" w:fill="FFFFFF"/>
          <w:lang w:val="en-US"/>
        </w:rPr>
      </w:pPr>
      <w:r>
        <w:rPr>
          <w:rFonts w:hint="default" w:ascii="Times New Roman" w:hAnsi="Times New Roman" w:cs="Times New Roman"/>
          <w:bCs/>
          <w:sz w:val="24"/>
          <w:szCs w:val="28"/>
          <w:shd w:val="clear" w:color="auto" w:fill="FFFFFF"/>
          <w:lang w:val="en-US"/>
        </w:rPr>
        <w:t>近些年来，“目的性赠与说”得到了法学界普遍的认可</w:t>
      </w:r>
      <w:r>
        <w:rPr>
          <w:rFonts w:hint="eastAsia" w:ascii="Times New Roman" w:hAnsi="Times New Roman" w:cs="Times New Roman"/>
          <w:bCs/>
          <w:sz w:val="24"/>
          <w:szCs w:val="28"/>
          <w:shd w:val="clear" w:color="auto" w:fill="FFFFFF"/>
          <w:lang w:val="en-US" w:eastAsia="zh-CN"/>
        </w:rPr>
        <w:t>。</w:t>
      </w:r>
      <w:r>
        <w:rPr>
          <w:rFonts w:hint="default" w:ascii="Times New Roman" w:hAnsi="Times New Roman" w:cs="Times New Roman"/>
          <w:bCs/>
          <w:sz w:val="24"/>
          <w:szCs w:val="28"/>
          <w:shd w:val="clear" w:color="auto" w:fill="FFFFFF"/>
          <w:lang w:val="en-US"/>
        </w:rPr>
        <w:t>该理论冲破了传统观念对于彩礼给付行为的模糊认识，对它的内在本质特征和社会功能做了详细的剖析。研究发现彩礼实际交付存在很强的目标指向性，其主要目的就是达到缔结婚姻关系、维系家庭稳定、促进子女抚养教育等各个方面的社会价值追求，属于典型的预期型社会目标结构（姚明斌，2023）。当预设目标不能实现的时候，应当依照实际情况来考察是否应当返还相应的财产。尤其在只有登记没有同居事实的情况下，“共同生活”这一预期目标不能实现，从而可以成为部分返还的理由。该理论符合现实社会发展的趋势，也为司法裁判提供了一种具有逻辑严密性、操作可行性较高的判例标准，从考虑双方当事人主观意愿和行为表现等各方面出发，达到法律规范与道德规范的良性互动</w:t>
      </w:r>
      <w:r>
        <w:rPr>
          <w:rStyle w:val="24"/>
          <w:rFonts w:hint="default" w:ascii="Times New Roman" w:hAnsi="Times New Roman" w:cs="Times New Roman"/>
          <w:bCs/>
          <w:sz w:val="24"/>
          <w:szCs w:val="28"/>
          <w:shd w:val="clear" w:color="auto" w:fill="FFFFFF"/>
          <w:lang w:val="en-US"/>
        </w:rPr>
        <w:footnoteReference w:id="3"/>
      </w:r>
      <w:r>
        <w:rPr>
          <w:rStyle w:val="24"/>
          <w:rFonts w:hint="default" w:ascii="Times New Roman" w:hAnsi="Times New Roman" w:cs="Times New Roman"/>
          <w:bCs/>
          <w:sz w:val="24"/>
          <w:szCs w:val="28"/>
          <w:shd w:val="clear" w:color="auto" w:fill="FFFFFF"/>
          <w:lang w:val="en-US"/>
        </w:rPr>
        <w:footnoteReference w:id="4"/>
      </w:r>
      <w:r>
        <w:rPr>
          <w:rFonts w:hint="default" w:ascii="Times New Roman" w:hAnsi="Times New Roman" w:cs="Times New Roman"/>
          <w:bCs/>
          <w:sz w:val="24"/>
          <w:szCs w:val="28"/>
          <w:shd w:val="clear" w:color="auto" w:fill="FFFFFF"/>
          <w:lang w:val="en-US"/>
        </w:rPr>
        <w:t>（薛宁兰，2024；汪洋，2024）。</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default" w:ascii="Times New Roman" w:hAnsi="Times New Roman" w:cs="Times New Roman"/>
          <w:bCs/>
          <w:sz w:val="24"/>
          <w:szCs w:val="28"/>
          <w:shd w:val="clear" w:color="auto" w:fill="FFFFFF"/>
          <w:lang w:val="en-US"/>
        </w:rPr>
      </w:pPr>
      <w:r>
        <w:rPr>
          <w:rFonts w:hint="default" w:ascii="Times New Roman" w:hAnsi="Times New Roman" w:cs="Times New Roman"/>
          <w:bCs/>
          <w:sz w:val="24"/>
          <w:szCs w:val="28"/>
          <w:shd w:val="clear" w:color="auto" w:fill="FFFFFF"/>
          <w:lang w:val="en-US"/>
        </w:rPr>
        <w:t>契约说认为彩礼给付行为不是独立的法律事实，而是作为主合同“婚约”的从属条款。婚约解除之后，因为基础法律关系的终止，赠与人有权要求受赠人返还彩礼</w:t>
      </w:r>
      <w:r>
        <w:rPr>
          <w:rStyle w:val="24"/>
          <w:rFonts w:hint="default" w:ascii="Times New Roman" w:hAnsi="Times New Roman" w:cs="Times New Roman"/>
          <w:bCs/>
          <w:sz w:val="24"/>
          <w:szCs w:val="28"/>
          <w:shd w:val="clear" w:color="auto" w:fill="FFFFFF"/>
          <w:lang w:val="en-US"/>
        </w:rPr>
        <w:footnoteReference w:id="5"/>
      </w:r>
      <w:r>
        <w:rPr>
          <w:rFonts w:hint="default" w:ascii="Times New Roman" w:hAnsi="Times New Roman" w:cs="Times New Roman"/>
          <w:bCs/>
          <w:sz w:val="24"/>
          <w:szCs w:val="28"/>
          <w:shd w:val="clear" w:color="auto" w:fill="FFFFFF"/>
          <w:lang w:val="en-US"/>
        </w:rPr>
        <w:t>（王宝庆，《彩礼的法律属性及返还机制研究》，《法制与社会》2015年第16期）。该学说虽然发现了彩礼和婚约之间存在着内在联系，但是它的理论框架还没有得到我国现行法律体系充分的制度化支持和规范性的保障。</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default" w:ascii="Times New Roman" w:hAnsi="Times New Roman" w:cs="Times New Roman"/>
          <w:bCs/>
          <w:sz w:val="24"/>
          <w:szCs w:val="28"/>
          <w:shd w:val="clear" w:color="auto" w:fill="FFFFFF"/>
          <w:lang w:val="en-US"/>
        </w:rPr>
      </w:pPr>
      <w:r>
        <w:rPr>
          <w:rFonts w:hint="default" w:ascii="Times New Roman" w:hAnsi="Times New Roman" w:cs="Times New Roman"/>
          <w:bCs/>
          <w:sz w:val="24"/>
          <w:szCs w:val="28"/>
          <w:shd w:val="clear" w:color="auto" w:fill="FFFFFF"/>
          <w:lang w:val="en-US"/>
        </w:rPr>
        <w:t>传统的“一般赠与”理论认为，彩礼的给付行为应该属于《民法典》合同编中典型的赠与关系。从这个角度看，彩礼实际交付之后，赠与合同就成立并完全履行完毕，受领方据此取得相应的财产权益并承担相应的义务。除法律另有规定外（如受赠人有严重损害赠与人或者其近亲属的权益，或者违反抚养赡养等法定义务），赠与人一般不得行使任意撤销权解除赠与行为。</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default" w:ascii="Times New Roman" w:hAnsi="Times New Roman" w:cs="Times New Roman"/>
          <w:bCs/>
          <w:sz w:val="24"/>
          <w:szCs w:val="28"/>
          <w:shd w:val="clear" w:color="auto" w:fill="FFFFFF"/>
          <w:lang w:val="en-US"/>
        </w:rPr>
      </w:pPr>
      <w:r>
        <w:rPr>
          <w:rFonts w:hint="default" w:ascii="Times New Roman" w:hAnsi="Times New Roman" w:cs="Times New Roman"/>
          <w:bCs/>
          <w:sz w:val="24"/>
          <w:szCs w:val="28"/>
          <w:shd w:val="clear" w:color="auto" w:fill="FFFFFF"/>
          <w:lang w:val="en-US"/>
        </w:rPr>
        <w:t>证约定金学说以民法典中定金规则的理论体系为依托，把彩礼归入传统法律制度框架内定金机制的解释范畴里。其基本观点认为，男女双方缔结婚约可以视为具有特定目的的合同（即婚姻预约），彩礼的给付不仅可以证明婚约的有效性，还可以起到担保婚约履行义务实现的作用，在本质上既有证据的性质又有履约保障的性质。</w:t>
      </w:r>
    </w:p>
    <w:p>
      <w:pPr>
        <w:keepNext w:val="0"/>
        <w:keepLines w:val="0"/>
        <w:pageBreakBefore w:val="0"/>
        <w:widowControl w:val="0"/>
        <w:kinsoku/>
        <w:wordWrap/>
        <w:overflowPunct/>
        <w:topLinePunct w:val="0"/>
        <w:autoSpaceDE/>
        <w:autoSpaceDN/>
        <w:bidi w:val="0"/>
        <w:adjustRightInd/>
        <w:snapToGrid/>
        <w:spacing w:before="120" w:after="120" w:line="400" w:lineRule="exact"/>
        <w:ind w:firstLine="480" w:firstLineChars="200"/>
        <w:textAlignment w:val="auto"/>
        <w:outlineLvl w:val="3"/>
        <w:rPr>
          <w:rFonts w:hint="default" w:ascii="Times New Roman" w:hAnsi="Times New Roman" w:eastAsia="宋体" w:cs="Times New Roman"/>
          <w:sz w:val="24"/>
          <w:lang w:val="en-US" w:eastAsia="zh-CN"/>
        </w:rPr>
      </w:pPr>
      <w:r>
        <w:rPr>
          <w:rFonts w:hint="default" w:ascii="Times New Roman" w:hAnsi="Times New Roman" w:eastAsia="宋体" w:cs="Times New Roman"/>
          <w:bCs/>
          <w:color w:val="auto"/>
          <w:sz w:val="24"/>
          <w:szCs w:val="28"/>
          <w:shd w:val="clear" w:color="auto" w:fill="FFFFFF"/>
          <w:lang w:val="en-US"/>
        </w:rPr>
        <w:t>(</w:t>
      </w:r>
      <w:r>
        <w:rPr>
          <w:rFonts w:hint="eastAsia" w:ascii="Times New Roman" w:hAnsi="Times New Roman" w:eastAsia="宋体" w:cs="Times New Roman"/>
          <w:bCs/>
          <w:color w:val="auto"/>
          <w:sz w:val="24"/>
          <w:szCs w:val="28"/>
          <w:shd w:val="clear" w:color="auto" w:fill="FFFFFF"/>
          <w:lang w:val="en-US" w:eastAsia="zh-CN"/>
        </w:rPr>
        <w:t>2</w:t>
      </w:r>
      <w:r>
        <w:rPr>
          <w:rFonts w:hint="default" w:ascii="Times New Roman" w:hAnsi="Times New Roman" w:eastAsia="宋体" w:cs="Times New Roman"/>
          <w:bCs/>
          <w:color w:val="auto"/>
          <w:sz w:val="24"/>
          <w:szCs w:val="28"/>
          <w:shd w:val="clear" w:color="auto" w:fill="FFFFFF"/>
          <w:lang w:val="en-US"/>
        </w:rPr>
        <w:t>)</w:t>
      </w:r>
      <w:r>
        <w:rPr>
          <w:rFonts w:hint="eastAsia" w:ascii="Times New Roman" w:hAnsi="Times New Roman" w:eastAsia="宋体" w:cs="Times New Roman"/>
          <w:bCs/>
          <w:color w:val="auto"/>
          <w:sz w:val="24"/>
          <w:szCs w:val="28"/>
          <w:shd w:val="clear" w:color="auto" w:fill="FFFFFF"/>
          <w:lang w:val="en-US" w:eastAsia="zh-CN"/>
        </w:rPr>
        <w:t>对</w:t>
      </w:r>
      <w:r>
        <w:rPr>
          <w:rFonts w:hint="eastAsia" w:ascii="Times New Roman" w:hAnsi="Times New Roman" w:eastAsia="宋体" w:cs="Times New Roman"/>
          <w:sz w:val="24"/>
          <w:lang w:val="en-US" w:eastAsia="zh-CN"/>
        </w:rPr>
        <w:t>彩礼返还请求权基础的研究</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default" w:ascii="Times New Roman" w:hAnsi="Times New Roman" w:cs="Times New Roman"/>
          <w:b w:val="0"/>
          <w:bCs/>
          <w:sz w:val="24"/>
          <w:szCs w:val="28"/>
          <w:shd w:val="clear" w:color="auto" w:fill="FFFFFF"/>
          <w:lang w:val="en-US"/>
        </w:rPr>
      </w:pPr>
      <w:r>
        <w:rPr>
          <w:rFonts w:hint="default" w:ascii="Times New Roman" w:hAnsi="Times New Roman" w:cs="Times New Roman"/>
          <w:b w:val="0"/>
          <w:bCs/>
          <w:sz w:val="24"/>
          <w:szCs w:val="28"/>
          <w:shd w:val="clear" w:color="auto" w:fill="FFFFFF"/>
          <w:lang w:val="en-US"/>
        </w:rPr>
        <w:t>目前学术界普遍认为，以《婚姻家庭编解释（一）》第5条为基本请求权基础规范的观点是正确的（薛宁兰、崔丹，2024）。也有学者对这一条款提出异议，认为该条款本质上是具有特定情境特征的特殊规则，因为规定的内容比较狭窄，不能覆盖所有纠纷类型（如未登记但已长期共同生活），存在明显的规范空白问题（姚明斌、刘亦婷，2023）。</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default" w:ascii="Times New Roman" w:hAnsi="Times New Roman" w:cs="Times New Roman"/>
          <w:b w:val="0"/>
          <w:bCs/>
          <w:sz w:val="24"/>
          <w:szCs w:val="28"/>
          <w:shd w:val="clear" w:color="auto" w:fill="FFFFFF"/>
          <w:lang w:val="en-US"/>
        </w:rPr>
      </w:pPr>
      <w:r>
        <w:rPr>
          <w:rFonts w:hint="default" w:ascii="Times New Roman" w:hAnsi="Times New Roman" w:cs="Times New Roman"/>
          <w:b w:val="0"/>
          <w:bCs/>
          <w:sz w:val="24"/>
          <w:szCs w:val="28"/>
          <w:shd w:val="clear" w:color="auto" w:fill="FFFFFF"/>
          <w:lang w:val="en-US"/>
        </w:rPr>
        <w:t>薛宁兰、崔丹（2024）认为彩礼返还请求权的法理依据应该将《民法典》第985条不当得利的规定、《婚姻家庭编解释（一）》第5条及《彩礼适用规定》结合起来建立完整的规范体系。</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default" w:ascii="Times New Roman" w:hAnsi="Times New Roman" w:cs="Times New Roman"/>
          <w:b w:val="0"/>
          <w:bCs/>
          <w:sz w:val="24"/>
          <w:szCs w:val="28"/>
          <w:shd w:val="clear" w:color="auto" w:fill="FFFFFF"/>
          <w:lang w:val="en-US"/>
        </w:rPr>
      </w:pPr>
      <w:r>
        <w:rPr>
          <w:rFonts w:hint="default" w:ascii="Times New Roman" w:hAnsi="Times New Roman" w:cs="Times New Roman"/>
          <w:b w:val="0"/>
          <w:bCs/>
          <w:sz w:val="24"/>
          <w:szCs w:val="28"/>
          <w:shd w:val="clear" w:color="auto" w:fill="FFFFFF"/>
          <w:lang w:val="en-US"/>
        </w:rPr>
        <w:t>金眉（2019）的观点同主流学说大相径庭。该学者认为，由于</w:t>
      </w:r>
      <w:r>
        <w:rPr>
          <w:rFonts w:hint="eastAsia" w:ascii="Times New Roman" w:hAnsi="Times New Roman" w:cs="Times New Roman"/>
          <w:b w:val="0"/>
          <w:bCs/>
          <w:sz w:val="24"/>
          <w:szCs w:val="28"/>
          <w:shd w:val="clear" w:color="auto" w:fill="FFFFFF"/>
          <w:lang w:val="en-US" w:eastAsia="zh-CN"/>
        </w:rPr>
        <w:t>现有规范割裂了</w:t>
      </w:r>
      <w:r>
        <w:rPr>
          <w:rFonts w:hint="default" w:ascii="Times New Roman" w:hAnsi="Times New Roman" w:cs="Times New Roman"/>
          <w:b w:val="0"/>
          <w:bCs/>
          <w:sz w:val="24"/>
          <w:szCs w:val="28"/>
          <w:shd w:val="clear" w:color="auto" w:fill="FFFFFF"/>
          <w:lang w:val="en-US"/>
        </w:rPr>
        <w:t>彩礼制度</w:t>
      </w:r>
      <w:r>
        <w:rPr>
          <w:rFonts w:hint="eastAsia" w:ascii="Times New Roman" w:hAnsi="Times New Roman" w:cs="Times New Roman"/>
          <w:b w:val="0"/>
          <w:bCs/>
          <w:sz w:val="24"/>
          <w:szCs w:val="28"/>
          <w:shd w:val="clear" w:color="auto" w:fill="FFFFFF"/>
          <w:lang w:val="en-US" w:eastAsia="zh-CN"/>
        </w:rPr>
        <w:t>与</w:t>
      </w:r>
      <w:r>
        <w:rPr>
          <w:rFonts w:hint="default" w:ascii="Times New Roman" w:hAnsi="Times New Roman" w:cs="Times New Roman"/>
          <w:b w:val="0"/>
          <w:bCs/>
          <w:sz w:val="24"/>
          <w:szCs w:val="28"/>
          <w:shd w:val="clear" w:color="auto" w:fill="FFFFFF"/>
          <w:lang w:val="en-US"/>
        </w:rPr>
        <w:t>传统的习俗</w:t>
      </w:r>
      <w:r>
        <w:rPr>
          <w:rFonts w:hint="eastAsia" w:ascii="Times New Roman" w:hAnsi="Times New Roman" w:cs="Times New Roman"/>
          <w:b w:val="0"/>
          <w:bCs/>
          <w:sz w:val="24"/>
          <w:szCs w:val="28"/>
          <w:shd w:val="clear" w:color="auto" w:fill="FFFFFF"/>
          <w:lang w:val="en-US" w:eastAsia="zh-CN"/>
        </w:rPr>
        <w:t>的联系</w:t>
      </w:r>
      <w:r>
        <w:rPr>
          <w:rFonts w:hint="default" w:ascii="Times New Roman" w:hAnsi="Times New Roman" w:cs="Times New Roman"/>
          <w:b w:val="0"/>
          <w:bCs/>
          <w:sz w:val="24"/>
          <w:szCs w:val="28"/>
          <w:shd w:val="clear" w:color="auto" w:fill="FFFFFF"/>
          <w:lang w:val="en-US"/>
        </w:rPr>
        <w:t>，彩礼所包含的文化内涵就变得虚无化了。在此基础上，他提出创建新的请求权理论体系，在司法实践中应当把地方特色的彩礼习惯纳入进来，而且要加入男方主动解除婚约不需要归还款项、女方单方面解除婚约需要退还部分彩礼等本地普遍认可的约定内容。只在涉及公序良俗问题的时候进行合理的修正</w:t>
      </w:r>
      <w:r>
        <w:rPr>
          <w:rStyle w:val="24"/>
          <w:rFonts w:hint="default" w:ascii="Times New Roman" w:hAnsi="Times New Roman" w:cs="Times New Roman"/>
          <w:b w:val="0"/>
          <w:bCs/>
          <w:sz w:val="24"/>
          <w:szCs w:val="28"/>
          <w:shd w:val="clear" w:color="auto" w:fill="FFFFFF"/>
          <w:lang w:val="en-US"/>
        </w:rPr>
        <w:footnoteReference w:id="6"/>
      </w:r>
      <w:r>
        <w:rPr>
          <w:rFonts w:hint="default" w:ascii="Times New Roman" w:hAnsi="Times New Roman" w:cs="Times New Roman"/>
          <w:b w:val="0"/>
          <w:bCs/>
          <w:sz w:val="24"/>
          <w:szCs w:val="28"/>
          <w:shd w:val="clear" w:color="auto" w:fill="FFFFFF"/>
          <w:lang w:val="en-US"/>
        </w:rPr>
        <w:t>。</w:t>
      </w:r>
      <w:r>
        <w:rPr>
          <w:rFonts w:hint="eastAsia" w:ascii="Times New Roman" w:hAnsi="Times New Roman" w:cs="Times New Roman"/>
          <w:b w:val="0"/>
          <w:bCs/>
          <w:sz w:val="24"/>
          <w:szCs w:val="28"/>
          <w:shd w:val="clear" w:color="auto" w:fill="FFFFFF"/>
          <w:lang w:val="en-US" w:eastAsia="zh-CN"/>
        </w:rPr>
        <w:t>这一观点强调</w:t>
      </w:r>
      <w:r>
        <w:rPr>
          <w:rFonts w:hint="default" w:ascii="Times New Roman" w:hAnsi="Times New Roman" w:cs="Times New Roman"/>
          <w:b w:val="0"/>
          <w:bCs/>
          <w:sz w:val="24"/>
          <w:szCs w:val="28"/>
          <w:shd w:val="clear" w:color="auto" w:fill="FFFFFF"/>
          <w:lang w:val="en-US"/>
        </w:rPr>
        <w:t>法律对于本土文化价值的尊重和保护。</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default" w:ascii="Times New Roman" w:hAnsi="Times New Roman" w:cs="Times New Roman"/>
          <w:b w:val="0"/>
          <w:bCs/>
          <w:sz w:val="24"/>
          <w:szCs w:val="28"/>
          <w:shd w:val="clear" w:color="auto" w:fill="FFFFFF"/>
          <w:lang w:val="en-US"/>
        </w:rPr>
      </w:pPr>
      <w:r>
        <w:rPr>
          <w:rFonts w:hint="default" w:ascii="Times New Roman" w:hAnsi="Times New Roman" w:cs="Times New Roman"/>
          <w:b w:val="0"/>
          <w:bCs/>
          <w:sz w:val="24"/>
          <w:szCs w:val="28"/>
          <w:shd w:val="clear" w:color="auto" w:fill="FFFFFF"/>
          <w:lang w:val="en-US"/>
        </w:rPr>
        <w:t>刘凝（2025）认为彩礼的给付本质上是以长期共同生活为基础的预期法律关系的建立。双方由于短期原因而解除同居关系的，可以认为是"情事变更"的情形，应当依照有关法律规定进行具体情况下的慎重评价和合理的处理</w:t>
      </w:r>
      <w:r>
        <w:rPr>
          <w:rStyle w:val="24"/>
          <w:rFonts w:hint="default" w:ascii="Times New Roman" w:hAnsi="Times New Roman" w:cs="Times New Roman"/>
          <w:b w:val="0"/>
          <w:bCs/>
          <w:sz w:val="24"/>
          <w:szCs w:val="28"/>
          <w:shd w:val="clear" w:color="auto" w:fill="FFFFFF"/>
          <w:lang w:val="en-US"/>
        </w:rPr>
        <w:footnoteReference w:id="7"/>
      </w:r>
      <w:r>
        <w:rPr>
          <w:rFonts w:hint="default" w:ascii="Times New Roman" w:hAnsi="Times New Roman" w:cs="Times New Roman"/>
          <w:b w:val="0"/>
          <w:bCs/>
          <w:sz w:val="24"/>
          <w:szCs w:val="28"/>
          <w:shd w:val="clear" w:color="auto" w:fill="FFFFFF"/>
          <w:lang w:val="en-US"/>
        </w:rPr>
        <w:t>。</w:t>
      </w:r>
    </w:p>
    <w:p>
      <w:pPr>
        <w:keepNext w:val="0"/>
        <w:keepLines w:val="0"/>
        <w:pageBreakBefore w:val="0"/>
        <w:widowControl w:val="0"/>
        <w:kinsoku/>
        <w:wordWrap/>
        <w:overflowPunct/>
        <w:topLinePunct w:val="0"/>
        <w:autoSpaceDE/>
        <w:autoSpaceDN/>
        <w:bidi w:val="0"/>
        <w:adjustRightInd/>
        <w:snapToGrid/>
        <w:spacing w:before="120" w:after="120" w:line="400" w:lineRule="exact"/>
        <w:ind w:firstLine="480" w:firstLineChars="200"/>
        <w:textAlignment w:val="auto"/>
        <w:outlineLvl w:val="3"/>
        <w:rPr>
          <w:rFonts w:hint="default" w:ascii="Times New Roman" w:hAnsi="Times New Roman" w:eastAsia="宋体" w:cs="Times New Roman"/>
          <w:sz w:val="24"/>
          <w:lang w:val="en-US" w:eastAsia="zh-CN"/>
        </w:rPr>
      </w:pPr>
      <w:r>
        <w:rPr>
          <w:rFonts w:hint="default" w:ascii="Times New Roman" w:hAnsi="Times New Roman" w:eastAsia="宋体" w:cs="Times New Roman"/>
          <w:bCs/>
          <w:color w:val="auto"/>
          <w:sz w:val="24"/>
          <w:szCs w:val="28"/>
          <w:shd w:val="clear" w:color="auto" w:fill="FFFFFF"/>
          <w:lang w:val="en-US"/>
        </w:rPr>
        <w:t>(</w:t>
      </w:r>
      <w:r>
        <w:rPr>
          <w:rFonts w:hint="eastAsia" w:ascii="Times New Roman" w:hAnsi="Times New Roman" w:eastAsia="宋体" w:cs="Times New Roman"/>
          <w:bCs/>
          <w:color w:val="auto"/>
          <w:sz w:val="24"/>
          <w:szCs w:val="28"/>
          <w:shd w:val="clear" w:color="auto" w:fill="FFFFFF"/>
          <w:lang w:val="en-US" w:eastAsia="zh-CN"/>
        </w:rPr>
        <w:t>3</w:t>
      </w:r>
      <w:r>
        <w:rPr>
          <w:rFonts w:hint="default" w:ascii="Times New Roman" w:hAnsi="Times New Roman" w:eastAsia="宋体" w:cs="Times New Roman"/>
          <w:bCs/>
          <w:color w:val="auto"/>
          <w:sz w:val="24"/>
          <w:szCs w:val="28"/>
          <w:shd w:val="clear" w:color="auto" w:fill="FFFFFF"/>
          <w:lang w:val="en-US"/>
        </w:rPr>
        <w:t>)</w:t>
      </w:r>
      <w:r>
        <w:rPr>
          <w:rFonts w:hint="eastAsia" w:ascii="Times New Roman" w:hAnsi="Times New Roman" w:eastAsia="宋体" w:cs="Times New Roman"/>
          <w:bCs/>
          <w:color w:val="auto"/>
          <w:sz w:val="24"/>
          <w:szCs w:val="28"/>
          <w:shd w:val="clear" w:color="auto" w:fill="FFFFFF"/>
          <w:lang w:val="en-US" w:eastAsia="zh-CN"/>
        </w:rPr>
        <w:t>对</w:t>
      </w:r>
      <w:r>
        <w:rPr>
          <w:rFonts w:hint="eastAsia" w:ascii="Times New Roman" w:hAnsi="Times New Roman" w:eastAsia="宋体" w:cs="Times New Roman"/>
          <w:sz w:val="24"/>
          <w:lang w:val="en-US" w:eastAsia="zh-CN"/>
        </w:rPr>
        <w:t>彩礼返还具体规则的研究</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eastAsia" w:ascii="Times New Roman" w:hAnsi="Times New Roman" w:eastAsia="宋体" w:cs="Times New Roman"/>
          <w:b w:val="0"/>
          <w:bCs/>
          <w:sz w:val="24"/>
          <w:szCs w:val="28"/>
          <w:shd w:val="clear" w:color="auto" w:fill="FFFFFF"/>
          <w:lang w:val="en-US" w:eastAsia="zh-CN"/>
        </w:rPr>
      </w:pPr>
      <w:r>
        <w:rPr>
          <w:rFonts w:hint="eastAsia" w:ascii="Times New Roman" w:hAnsi="Times New Roman" w:eastAsia="宋体" w:cs="Times New Roman"/>
          <w:b w:val="0"/>
          <w:bCs/>
          <w:sz w:val="24"/>
          <w:szCs w:val="28"/>
          <w:shd w:val="clear" w:color="auto" w:fill="FFFFFF"/>
          <w:lang w:val="en-US" w:eastAsia="zh-CN"/>
        </w:rPr>
        <w:t>单一目的论认为，薛宁兰、崔丹(2024)认为彩礼赠与的本质目的在于达到婚姻登记这个法定形式要件。虽然共同生活是婚姻的实质意义，但是不能将之包含在彩礼赠与目的当中，否则会过度约束女方，同时也保护了结婚登记这一法律必须经历的过程。</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eastAsia" w:ascii="Times New Roman" w:hAnsi="Times New Roman" w:eastAsia="宋体" w:cs="Times New Roman"/>
          <w:b w:val="0"/>
          <w:bCs/>
          <w:sz w:val="24"/>
          <w:szCs w:val="28"/>
          <w:shd w:val="clear" w:color="auto" w:fill="FFFFFF"/>
          <w:lang w:val="en-US" w:eastAsia="zh-CN"/>
        </w:rPr>
      </w:pPr>
      <w:r>
        <w:rPr>
          <w:rFonts w:hint="eastAsia" w:ascii="Times New Roman" w:hAnsi="Times New Roman" w:eastAsia="宋体" w:cs="Times New Roman"/>
          <w:b w:val="0"/>
          <w:bCs/>
          <w:sz w:val="24"/>
          <w:szCs w:val="28"/>
          <w:shd w:val="clear" w:color="auto" w:fill="FFFFFF"/>
          <w:lang w:val="en-US" w:eastAsia="zh-CN"/>
        </w:rPr>
        <w:t>复合目的论认为婚姻是为了达到形式上的登记和实质上长期共同生活的双重目的。姚明斌、刘亦婷（2023）认为婚姻目的的内涵并不是单一的，是由婚姻目的形式要件、婚姻目的实质要件两部分共同构成。只有两个方面都得到圆满实现，才能认定婚约目的全部实现；反之，则根据具体未达到的标准来判断是否需要返还彩礼。这一理论体系给最高人民法院关于适用《《婚姻家庭编解释（一）》里有关不同共同生活状态下彩礼返还规则赋予了关键的理论支持。</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eastAsia" w:ascii="Times New Roman" w:hAnsi="Times New Roman" w:eastAsia="宋体" w:cs="Times New Roman"/>
          <w:b w:val="0"/>
          <w:bCs/>
          <w:sz w:val="24"/>
          <w:szCs w:val="28"/>
          <w:shd w:val="clear" w:color="auto" w:fill="FFFFFF"/>
          <w:lang w:val="en-US" w:eastAsia="zh-CN"/>
        </w:rPr>
      </w:pPr>
      <w:r>
        <w:rPr>
          <w:rFonts w:hint="eastAsia" w:ascii="Times New Roman" w:hAnsi="Times New Roman" w:eastAsia="宋体" w:cs="Times New Roman"/>
          <w:b w:val="0"/>
          <w:bCs/>
          <w:sz w:val="24"/>
          <w:szCs w:val="28"/>
          <w:shd w:val="clear" w:color="auto" w:fill="FFFFFF"/>
          <w:lang w:val="en-US" w:eastAsia="zh-CN"/>
        </w:rPr>
        <w:t>学界对于彩礼返还问题研究发现，多要素综合评估法成了评判彩礼返还与否以及具体数额的主要方式，塑造出了一种动态评价体系。该体系把共同生活时长、实际婚姻存续情况、生育子女等作为决定是否全额或者部分返还的参考因素，并把长期同居经历或者子女出生情形当作决定全额或者部分返还的决定性因素。</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eastAsia" w:ascii="Times New Roman" w:hAnsi="Times New Roman" w:eastAsia="宋体" w:cs="Times New Roman"/>
          <w:b w:val="0"/>
          <w:bCs/>
          <w:sz w:val="24"/>
          <w:szCs w:val="28"/>
          <w:shd w:val="clear" w:color="auto" w:fill="FFFFFF"/>
          <w:lang w:val="en-US" w:eastAsia="zh-CN"/>
        </w:rPr>
      </w:pPr>
      <w:r>
        <w:rPr>
          <w:rFonts w:hint="eastAsia" w:ascii="Times New Roman" w:hAnsi="Times New Roman" w:eastAsia="宋体" w:cs="Times New Roman"/>
          <w:b w:val="0"/>
          <w:bCs/>
          <w:sz w:val="24"/>
          <w:szCs w:val="28"/>
          <w:shd w:val="clear" w:color="auto" w:fill="FFFFFF"/>
          <w:lang w:val="en-US" w:eastAsia="zh-CN"/>
        </w:rPr>
        <w:t>学术界认为，彩礼返还问题的解决要依靠多维评价指标体系和动态化的评价体系。婚姻存续期间共同生活的时间长短、同居行为、生育子女等都被考虑进去。长时间共同生活并生育子女的情形，常常是法院决定部分或者全部免除彩礼返还义务的重要依据之一。</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eastAsia" w:ascii="Times New Roman" w:hAnsi="Times New Roman" w:cs="Times New Roman"/>
          <w:b w:val="0"/>
          <w:bCs/>
          <w:sz w:val="24"/>
          <w:szCs w:val="28"/>
          <w:shd w:val="clear" w:color="auto" w:fill="FFFFFF"/>
          <w:lang w:val="en-US" w:eastAsia="zh-CN"/>
        </w:rPr>
      </w:pPr>
      <w:bookmarkStart w:id="60" w:name="OLE_LINK4"/>
      <w:r>
        <w:rPr>
          <w:rFonts w:hint="eastAsia" w:ascii="Times New Roman" w:hAnsi="Times New Roman" w:cs="Times New Roman"/>
          <w:b w:val="0"/>
          <w:bCs/>
          <w:sz w:val="24"/>
          <w:szCs w:val="28"/>
          <w:shd w:val="clear" w:color="auto" w:fill="FFFFFF"/>
          <w:lang w:val="en-US" w:eastAsia="zh-CN"/>
        </w:rPr>
        <w:t>婚约财产纠纷中过错认定的作用问题引起了学界的广泛争议。刘清生、谢梅（2011）、项焱（2025）等学者持支持立场的研究者认为，应该把当事人的主观过错作为裁判标准的重要因素考虑进去，并且对于因为自身过错而造成婚约解除或者婚姻关系破裂的人给予不利的法律后果，比如丧失或减少返还请求权。</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eastAsia" w:ascii="Times New Roman" w:hAnsi="Times New Roman" w:cs="Times New Roman"/>
          <w:b w:val="0"/>
          <w:bCs/>
          <w:sz w:val="24"/>
          <w:szCs w:val="28"/>
          <w:shd w:val="clear" w:color="auto" w:fill="FFFFFF"/>
          <w:lang w:val="en-US" w:eastAsia="zh-CN"/>
        </w:rPr>
      </w:pPr>
      <w:r>
        <w:rPr>
          <w:rFonts w:hint="eastAsia" w:ascii="Times New Roman" w:hAnsi="Times New Roman" w:cs="Times New Roman"/>
          <w:b w:val="0"/>
          <w:bCs/>
          <w:sz w:val="24"/>
          <w:szCs w:val="28"/>
          <w:shd w:val="clear" w:color="auto" w:fill="FFFFFF"/>
          <w:lang w:val="en-US" w:eastAsia="zh-CN"/>
        </w:rPr>
        <w:t>王丹（2024）、刘凝（2025）从维护婚姻自有的角度认为，不能因为当事人有过错就限制其婚约解除或离婚自由，彩礼返还认定中，过错不应该是考虑的主要因素。大多数学者认为离婚自由不能完全否定，但是在认定是否具有重大过错（家庭暴力、恶意欺诈等）的时候，在彩礼返还比例的裁量过程中也要考虑这些因素。该主张已经被《彩礼适用规定》采纳。</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eastAsia" w:ascii="Times New Roman" w:hAnsi="Times New Roman" w:cs="Times New Roman"/>
          <w:b w:val="0"/>
          <w:bCs/>
          <w:sz w:val="24"/>
          <w:szCs w:val="28"/>
          <w:shd w:val="clear" w:color="auto" w:fill="FFFFFF"/>
          <w:lang w:val="en-US" w:eastAsia="zh-CN"/>
        </w:rPr>
      </w:pPr>
      <w:r>
        <w:rPr>
          <w:rFonts w:hint="eastAsia" w:ascii="Times New Roman" w:hAnsi="Times New Roman" w:cs="Times New Roman"/>
          <w:b w:val="0"/>
          <w:bCs/>
          <w:sz w:val="24"/>
          <w:szCs w:val="28"/>
          <w:shd w:val="clear" w:color="auto" w:fill="FFFFFF"/>
          <w:lang w:val="en-US" w:eastAsia="zh-CN"/>
        </w:rPr>
        <w:t>界定“彩礼”概念并评价其合理性的时候，应参考当地习俗</w:t>
      </w:r>
      <w:r>
        <w:rPr>
          <w:rStyle w:val="24"/>
          <w:rFonts w:hint="eastAsia" w:ascii="Times New Roman" w:hAnsi="Times New Roman" w:cs="Times New Roman"/>
          <w:b w:val="0"/>
          <w:bCs/>
          <w:sz w:val="24"/>
          <w:szCs w:val="28"/>
          <w:shd w:val="clear" w:color="auto" w:fill="FFFFFF"/>
          <w:lang w:val="en-US" w:eastAsia="zh-CN"/>
        </w:rPr>
        <w:footnoteReference w:id="8"/>
      </w:r>
      <w:r>
        <w:rPr>
          <w:rFonts w:hint="eastAsia" w:ascii="Times New Roman" w:hAnsi="Times New Roman" w:cs="Times New Roman"/>
          <w:b w:val="0"/>
          <w:bCs/>
          <w:sz w:val="24"/>
          <w:szCs w:val="28"/>
          <w:shd w:val="clear" w:color="auto" w:fill="FFFFFF"/>
          <w:lang w:val="en-US" w:eastAsia="zh-CN"/>
        </w:rPr>
        <w:t>（胡云红、宋天一，2022）。如果彩礼已经实际用于共同生活的开支、婚庆的筹备或者转化为夫妻共有的财产，那么在确定返还金额的时候应当予以适当的扣除或者免除（姚明斌、刘亦婷，2023；汪洋，2024）。</w:t>
      </w:r>
    </w:p>
    <w:bookmarkEnd w:id="60"/>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right="0" w:firstLine="480" w:firstLineChars="200"/>
        <w:jc w:val="both"/>
        <w:textAlignment w:val="auto"/>
        <w:outlineLvl w:val="9"/>
        <w:rPr>
          <w:rFonts w:hint="default" w:ascii="Times New Roman" w:hAnsi="Times New Roman" w:cs="Times New Roman"/>
          <w:b w:val="0"/>
          <w:bCs/>
          <w:sz w:val="24"/>
          <w:szCs w:val="28"/>
          <w:shd w:val="clear" w:color="auto" w:fill="FFFFFF"/>
          <w:lang w:val="en-US" w:eastAsia="zh-CN"/>
        </w:rPr>
      </w:pPr>
      <w:r>
        <w:rPr>
          <w:rFonts w:hint="default" w:ascii="Times New Roman" w:hAnsi="Times New Roman" w:cs="Times New Roman"/>
          <w:b w:val="0"/>
          <w:bCs/>
          <w:sz w:val="24"/>
          <w:szCs w:val="28"/>
          <w:shd w:val="clear" w:color="auto" w:fill="FFFFFF"/>
          <w:lang w:val="en-US" w:eastAsia="zh-CN"/>
        </w:rPr>
        <w:t>根据《婚姻家庭编解释（一）》第5条的规定，当赠与人因为支付彩礼而陷入生活困境的时候，受赠方有权要求返还相应的财产。学术界一般认为生活困难是绝对的经济拮据状态，即个人或者家庭不能维持所在地区基本生存需求。该条款体现出法律对于社会公正和平衡所持有的价值取向，在婚姻关系已经部分履行的情况下，如果高额彩礼给赠与方造成了严重的经济困难，那么应当给予一定的救济支持（姚明斌、刘亦婷，2023）。</w:t>
      </w:r>
    </w:p>
    <w:p>
      <w:pPr>
        <w:spacing w:before="240" w:after="120" w:line="400" w:lineRule="exact"/>
        <w:ind w:firstLine="482" w:firstLineChars="200"/>
        <w:outlineLvl w:val="2"/>
        <w:rPr>
          <w:rFonts w:hint="default" w:ascii="Times New Roman" w:hAnsi="Times New Roman" w:eastAsia="宋体" w:cs="Times New Roman"/>
          <w:b/>
          <w:bCs/>
          <w:sz w:val="24"/>
          <w:szCs w:val="28"/>
          <w:shd w:val="clear" w:color="auto" w:fill="FFFFFF"/>
          <w:lang w:val="en-US" w:eastAsia="zh-CN"/>
        </w:rPr>
      </w:pPr>
      <w:bookmarkStart w:id="61" w:name="_Toc2184"/>
      <w:bookmarkStart w:id="62" w:name="_Toc5840"/>
      <w:r>
        <w:rPr>
          <w:rFonts w:hint="eastAsia" w:ascii="Times New Roman" w:hAnsi="Times New Roman" w:eastAsia="宋体" w:cs="Times New Roman"/>
          <w:b/>
          <w:bCs/>
          <w:sz w:val="24"/>
          <w:szCs w:val="28"/>
          <w:shd w:val="clear" w:color="auto" w:fill="FFFFFF"/>
          <w:lang w:val="en-US" w:eastAsia="zh-CN"/>
        </w:rPr>
        <w:t>2</w:t>
      </w:r>
      <w:r>
        <w:rPr>
          <w:rFonts w:hint="eastAsia" w:ascii="Times New Roman" w:hAnsi="Times New Roman" w:eastAsia="宋体" w:cs="Times New Roman"/>
          <w:b/>
          <w:bCs/>
          <w:sz w:val="24"/>
          <w:szCs w:val="28"/>
          <w:shd w:val="clear" w:color="auto" w:fill="FFFFFF"/>
        </w:rPr>
        <w:t>.</w:t>
      </w:r>
      <w:r>
        <w:rPr>
          <w:rFonts w:hint="eastAsia" w:ascii="Times New Roman" w:hAnsi="Times New Roman" w:eastAsia="宋体" w:cs="Times New Roman"/>
          <w:b/>
          <w:bCs/>
          <w:sz w:val="24"/>
          <w:szCs w:val="28"/>
          <w:shd w:val="clear" w:color="auto" w:fill="FFFFFF"/>
          <w:lang w:val="en-US" w:eastAsia="zh-CN"/>
        </w:rPr>
        <w:t>国外研究综述</w:t>
      </w:r>
      <w:bookmarkEnd w:id="61"/>
      <w:bookmarkEnd w:id="62"/>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尼日利亚学者Nwatu和Nwogugu在2018年指出，尽管乌干达最高法院认定彩礼习俗具有宪法上的合法基础，但是它有关禁止离婚判决中强制返还彩礼的裁决被宣布为违宪。该判决认为相关条款侵害了女性的人格尊严，将婚姻解除取决于第三方行为，和保障个人自由权利的法律思想不相符。</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研究表明，在英联邦国家尼日利亚，彩礼是习惯法婚姻中重要的构成部分，把彩礼退还当作解除婚姻关系的重要依据。</w:t>
      </w:r>
      <w:r>
        <w:rPr>
          <w:rFonts w:hint="eastAsia" w:ascii="Times New Roman" w:hAnsi="Times New Roman" w:cs="Times New Roman"/>
          <w:sz w:val="24"/>
          <w:lang w:val="en-US" w:eastAsia="zh-CN"/>
        </w:rPr>
        <w:t>部分</w:t>
      </w:r>
      <w:r>
        <w:rPr>
          <w:rFonts w:hint="eastAsia" w:ascii="Times New Roman" w:hAnsi="Times New Roman" w:eastAsia="宋体" w:cs="Times New Roman"/>
          <w:sz w:val="24"/>
          <w:lang w:val="en-US" w:eastAsia="zh-CN"/>
        </w:rPr>
        <w:t>法语非洲国家（科特迪瓦、中非共和国）已经废除传统的彩礼，而在加蓬则用刑事法律来规范彩礼行为</w:t>
      </w:r>
      <w:r>
        <w:rPr>
          <w:rStyle w:val="24"/>
          <w:rFonts w:hint="eastAsia" w:ascii="Times New Roman" w:hAnsi="Times New Roman" w:eastAsia="宋体" w:cs="Times New Roman"/>
          <w:sz w:val="24"/>
          <w:lang w:val="en-US" w:eastAsia="zh-CN"/>
        </w:rPr>
        <w:footnoteReference w:id="9"/>
      </w:r>
      <w:r>
        <w:rPr>
          <w:rFonts w:hint="eastAsia" w:ascii="Times New Roman" w:hAnsi="Times New Roman" w:eastAsia="宋体" w:cs="Times New Roman"/>
          <w:sz w:val="24"/>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2017年美国学者HindAhmedZaki在Law,Culture,andMobilization:LegalPluralismandWomen'sAccesstoDivorceinEgypt的研究中围绕伊斯兰教法中“Khul‘离婚’”（或称协商离婚）制度展开。</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该制度允许妻子以返还婚前丈夫支付的全部彩礼（聘金，伊斯兰术语称为“mahar”）为条件，单方面向法院申请解除婚姻关系。埃及于2000年通过的“第1号法令”（Khul‘法案）将此源于伊斯兰古典实践的做法正式法典化。文中的研究表明，这项制度改革为妇女提供了一个前所未有的司法出口，使其能够通过放弃彩礼经济权利来换取人身自由</w:t>
      </w:r>
      <w:r>
        <w:rPr>
          <w:rStyle w:val="24"/>
          <w:rFonts w:hint="eastAsia" w:ascii="Times New Roman" w:hAnsi="Times New Roman" w:eastAsia="宋体" w:cs="Times New Roman"/>
          <w:sz w:val="24"/>
          <w:lang w:val="en-US" w:eastAsia="zh-CN"/>
        </w:rPr>
        <w:footnoteReference w:id="10"/>
      </w:r>
      <w:r>
        <w:rPr>
          <w:rFonts w:hint="eastAsia" w:ascii="Times New Roman" w:hAnsi="Times New Roman" w:eastAsia="宋体" w:cs="Times New Roman"/>
          <w:sz w:val="24"/>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2001年美国学者BarbaraFrazier在</w:t>
      </w:r>
      <w:bookmarkStart w:id="63" w:name="OLE_LINK7"/>
      <w:r>
        <w:rPr>
          <w:rFonts w:hint="eastAsia" w:ascii="Times New Roman" w:hAnsi="Times New Roman" w:eastAsia="宋体" w:cs="Times New Roman"/>
          <w:sz w:val="24"/>
          <w:lang w:val="en-US" w:eastAsia="zh-CN"/>
        </w:rPr>
        <w:t>ButICan'tMarryYou:WhoisEntitledtotheEngagementRingwhentheConditionalPerformanceFallsShortoftheAltar</w:t>
      </w:r>
      <w:bookmarkEnd w:id="63"/>
      <w:r>
        <w:rPr>
          <w:rFonts w:hint="eastAsia" w:ascii="Times New Roman" w:hAnsi="Times New Roman" w:eastAsia="宋体" w:cs="Times New Roman"/>
          <w:sz w:val="24"/>
          <w:lang w:val="en-US" w:eastAsia="zh-CN"/>
        </w:rPr>
        <w:t>的研究中对于订婚戒指即婚礼的返还提出有责模式(Fault-basedapproach)考察是哪一方“过错”导致了婚约的解除，以此决定戒指的归属。如果受赠人无正当理由毁约，赠与人有权取回戒指，反之亦然。</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在坚持中立性的基础上，依照对于私人自治权的尊重，重新构建起以“过错”作为要素的传统法律认定模式。在此框架之下，订婚戒指就被看作是带有某种婚姻缔结条件的特殊的赠与行为。当婚姻没有成立的时候，原赠与方有权要求返还戒指，除非双方事先有具体的约定并就权益义务作出明确的划分。该理论冲破了传统归责规则的束缚，重视协调各方面的利益诉求</w:t>
      </w:r>
      <w:r>
        <w:rPr>
          <w:rStyle w:val="24"/>
          <w:rFonts w:hint="eastAsia" w:ascii="Times New Roman" w:hAnsi="Times New Roman" w:eastAsia="宋体" w:cs="Times New Roman"/>
          <w:sz w:val="24"/>
          <w:lang w:val="en-US" w:eastAsia="zh-CN"/>
        </w:rPr>
        <w:footnoteReference w:id="11"/>
      </w:r>
      <w:r>
        <w:rPr>
          <w:rFonts w:hint="eastAsia" w:ascii="Times New Roman" w:hAnsi="Times New Roman" w:eastAsia="宋体" w:cs="Times New Roman"/>
          <w:sz w:val="24"/>
          <w:lang w:val="en-US" w:eastAsia="zh-CN"/>
        </w:rPr>
        <w:t>。</w:t>
      </w:r>
    </w:p>
    <w:p>
      <w:pPr>
        <w:spacing w:before="480" w:after="120" w:line="400" w:lineRule="exact"/>
        <w:ind w:firstLine="562" w:firstLineChars="200"/>
        <w:outlineLvl w:val="1"/>
        <w:rPr>
          <w:rFonts w:hint="default" w:ascii="Times New Roman" w:hAnsi="Times New Roman" w:eastAsia="宋体"/>
          <w:b/>
          <w:sz w:val="28"/>
          <w:szCs w:val="30"/>
          <w:shd w:val="clear" w:color="auto" w:fill="FFFFFF"/>
          <w:lang w:val="en-US" w:eastAsia="zh-CN"/>
        </w:rPr>
      </w:pPr>
      <w:bookmarkStart w:id="64" w:name="_Toc11794"/>
      <w:bookmarkStart w:id="65" w:name="_Toc30195"/>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四</w:t>
      </w:r>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研究方法</w:t>
      </w:r>
      <w:bookmarkEnd w:id="64"/>
      <w:bookmarkEnd w:id="65"/>
    </w:p>
    <w:p>
      <w:pPr>
        <w:spacing w:line="400" w:lineRule="exact"/>
        <w:ind w:firstLine="480" w:firstLineChars="200"/>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为了提高研究结论的科学性、可靠性，促进彩礼返还纠纷司法裁判实践的改进，本文会采取文献分析法和案例实证研究法的方法。系统查阅国内外已有学术成果，对裁判文书进行深入分析，总结出目前彩礼返还案件审判的特点及原因机制；针对目前法律体系运行过程中存在的不足和问题，从理论上提出可行的建议，提出具有操作性的解决办法，使当事人的合法权益得到公平合理的保护，达到司法公正的目的。</w:t>
      </w:r>
    </w:p>
    <w:p>
      <w:pPr>
        <w:numPr>
          <w:ilvl w:val="0"/>
          <w:numId w:val="2"/>
        </w:numPr>
        <w:spacing w:line="400" w:lineRule="exact"/>
        <w:ind w:firstLine="480" w:firstLineChars="200"/>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文献分析法。对彩礼返还问题的相关研究成果进行梳理。通过对主流学术期刊、权威专著的仔细研读，全面掌握该领域的主要结论和前瞻性意见；对彩礼制度的历史发展以及现实运作机制做进一步的分析，从中归纳出它的本质特点和发展趋向。在此基础上，通过查阅已有的文献资料进行数据的整合、归纳总结，形成本文的研究框架，为后面实证研究提供坚实的理论基础。</w:t>
      </w:r>
    </w:p>
    <w:p>
      <w:pPr>
        <w:spacing w:line="400" w:lineRule="exact"/>
        <w:ind w:firstLine="480" w:firstLineChars="200"/>
        <w:rPr>
          <w:rFonts w:hint="eastAsia" w:ascii="Times New Roman" w:hAnsi="Times New Roman" w:eastAsia="宋体" w:cs="Times New Roman"/>
          <w:sz w:val="24"/>
          <w:lang w:val="en-US" w:eastAsia="zh-CN"/>
        </w:rPr>
        <w:sectPr>
          <w:footerReference r:id="rId6" w:type="default"/>
          <w:footnotePr>
            <w:numFmt w:val="decimalEnclosedCircleChinese"/>
            <w:numRestart w:val="eachPage"/>
          </w:footnotePr>
          <w:pgSz w:w="11906" w:h="16838"/>
          <w:pgMar w:top="1440" w:right="1800" w:bottom="1440" w:left="1800" w:header="851" w:footer="992" w:gutter="0"/>
          <w:pgNumType w:fmt="decimal" w:start="1"/>
          <w:cols w:space="720" w:num="1"/>
          <w:docGrid w:type="lines" w:linePitch="312" w:charSpace="0"/>
        </w:sectPr>
      </w:pPr>
      <w:r>
        <w:rPr>
          <w:rFonts w:hint="eastAsia" w:ascii="Times New Roman" w:hAnsi="Times New Roman" w:cs="Times New Roman"/>
          <w:sz w:val="24"/>
          <w:lang w:val="en-US" w:eastAsia="zh-CN"/>
        </w:rPr>
        <w:t>第二，案例分析法。现实司法场景里存在大量的彩礼返还纠纷案件，分析真实的司法案例可以贴近司法实务现状，也能针对性探究法院的审判逻辑。本文以中国裁判文书网为数据来源，将检索地域限定为湖南省各级法院，文书类型限定为判决书，时间跨度设定为2025年1月1日至同年12月31日，以“彩礼”“返还”为关键词进行检索，整理出七十八份相关裁判文书，作为实证分析的基础。经过规范化整理和分类归纳，得出彩礼返还诉讼的主要争议焦点，总结出法官审理相关案件时所用的主要审查依据及主要的裁量因素。同时根据现有的法律框架中存在的不足，从理论支持和实践经验两方面出发，提出可行的完善法律制度的建议，促进法律制度体系的发展和完善。</w:t>
      </w:r>
    </w:p>
    <w:p>
      <w:pPr>
        <w:keepNext w:val="0"/>
        <w:keepLines w:val="0"/>
        <w:pageBreakBefore w:val="0"/>
        <w:widowControl w:val="0"/>
        <w:kinsoku/>
        <w:wordWrap/>
        <w:overflowPunct/>
        <w:topLinePunct w:val="0"/>
        <w:autoSpaceDE/>
        <w:autoSpaceDN/>
        <w:bidi w:val="0"/>
        <w:adjustRightInd/>
        <w:snapToGrid/>
        <w:spacing w:before="480" w:after="360" w:line="400" w:lineRule="exact"/>
        <w:ind w:firstLine="643" w:firstLineChars="200"/>
        <w:textAlignment w:val="auto"/>
        <w:outlineLvl w:val="0"/>
        <w:rPr>
          <w:rFonts w:hint="eastAsia" w:ascii="Times New Roman" w:hAnsi="Times New Roman"/>
          <w:b/>
          <w:bCs/>
          <w:color w:val="000000"/>
          <w:sz w:val="32"/>
          <w:szCs w:val="32"/>
          <w:shd w:val="clear" w:color="auto" w:fill="FFFFFF"/>
          <w:lang w:val="en-US" w:eastAsia="zh-CN"/>
        </w:rPr>
      </w:pPr>
      <w:bookmarkStart w:id="66" w:name="_Toc589"/>
      <w:bookmarkStart w:id="67" w:name="_Toc24965"/>
      <w:r>
        <w:rPr>
          <w:rFonts w:hint="eastAsia" w:ascii="Times New Roman" w:hAnsi="Times New Roman"/>
          <w:b/>
          <w:bCs/>
          <w:color w:val="000000"/>
          <w:sz w:val="32"/>
          <w:szCs w:val="32"/>
          <w:shd w:val="clear" w:color="auto" w:fill="FFFFFF"/>
        </w:rPr>
        <w:t>二、</w:t>
      </w:r>
      <w:r>
        <w:rPr>
          <w:rFonts w:hint="eastAsia" w:ascii="Times New Roman" w:hAnsi="Times New Roman"/>
          <w:b/>
          <w:bCs/>
          <w:color w:val="000000"/>
          <w:sz w:val="32"/>
          <w:szCs w:val="32"/>
          <w:shd w:val="clear" w:color="auto" w:fill="FFFFFF"/>
          <w:lang w:val="en-US" w:eastAsia="zh-CN"/>
        </w:rPr>
        <w:t>彩礼返还基础制度与现行裁判规则梳理</w:t>
      </w:r>
      <w:bookmarkEnd w:id="66"/>
      <w:bookmarkEnd w:id="67"/>
    </w:p>
    <w:p>
      <w:pPr>
        <w:spacing w:line="400" w:lineRule="exact"/>
        <w:ind w:firstLine="480" w:firstLineChars="200"/>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彩礼制度具备了十分久远的发展历史，该制度属于中国传统婚嫁习俗的重要组成部分；彩礼除了具备婚嫁礼仪的外在形式，而且还承载了厚重的文化内涵与社会作用。彩礼最早起源于西周时期的婚嫁六礼流程，六礼里面的纳征环节就是彩礼的原始雏形，古人一般会把彩礼称作聘礼或是聘金。《礼记》记载有“男女无媒不交，无帛不见”的语句，这句古文能够证明传统礼制的规则之中，财物的交付流程可以构成婚姻关系成立的重要先决条件；时代发展到如今，法律层面已经不会把彩礼给付当作缔结婚姻的必备流程，但是这项婚嫁习俗依旧在民间保留了广泛的影响力。</w:t>
      </w:r>
    </w:p>
    <w:p>
      <w:pPr>
        <w:numPr>
          <w:ilvl w:val="0"/>
          <w:numId w:val="0"/>
        </w:numPr>
        <w:spacing w:before="480" w:after="120" w:line="400" w:lineRule="exact"/>
        <w:ind w:firstLine="562" w:firstLineChars="200"/>
        <w:outlineLvl w:val="1"/>
        <w:rPr>
          <w:rFonts w:hint="eastAsia" w:ascii="Times New Roman" w:hAnsi="Times New Roman"/>
          <w:b/>
          <w:sz w:val="28"/>
          <w:szCs w:val="30"/>
          <w:shd w:val="clear" w:color="auto" w:fill="FFFFFF"/>
          <w:lang w:val="en-US" w:eastAsia="zh-CN"/>
        </w:rPr>
      </w:pPr>
      <w:bookmarkStart w:id="68" w:name="_Toc3908"/>
      <w:bookmarkStart w:id="69" w:name="_Toc8211"/>
      <w:r>
        <w:rPr>
          <w:rFonts w:hint="eastAsia" w:ascii="Times New Roman" w:hAnsi="Times New Roman" w:eastAsia="宋体" w:cs="Times New Roman"/>
          <w:b/>
          <w:kern w:val="2"/>
          <w:sz w:val="28"/>
          <w:szCs w:val="30"/>
          <w:shd w:val="clear" w:color="auto" w:fill="FFFFFF"/>
          <w:lang w:val="en-US" w:eastAsia="zh-CN" w:bidi="ar-SA"/>
        </w:rPr>
        <w:t>（一）</w:t>
      </w:r>
      <w:r>
        <w:rPr>
          <w:rFonts w:hint="eastAsia" w:ascii="Times New Roman" w:hAnsi="Times New Roman"/>
          <w:b/>
          <w:sz w:val="28"/>
          <w:szCs w:val="30"/>
          <w:shd w:val="clear" w:color="auto" w:fill="FFFFFF"/>
          <w:lang w:val="en-US" w:eastAsia="zh-CN"/>
        </w:rPr>
        <w:t>彩礼的概念</w:t>
      </w:r>
      <w:bookmarkEnd w:id="68"/>
      <w:bookmarkEnd w:id="69"/>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bookmarkStart w:id="70" w:name="OLE_LINK6"/>
      <w:r>
        <w:rPr>
          <w:rFonts w:hint="eastAsia" w:ascii="Times New Roman" w:hAnsi="Times New Roman" w:cs="Times New Roman"/>
          <w:sz w:val="24"/>
          <w:lang w:val="en-US" w:eastAsia="zh-CN"/>
        </w:rPr>
        <w:t>彩礼在婚姻缔结中占有非常重要的地位，在我国婚姻缔结过程中表现形式、赠予时间以及所包含的范围都深深地打上了浓厚的文化烙印。从历史的角度来说，早期社会中彩礼大多以实物形式出现，主要是布匹、金属器皿、牲畜等众多具体物品。此类礼物既是男方家庭对女方家庭的尊敬之物，又是对未来婚姻美好愿景的寄望之物</w:t>
      </w:r>
      <w:r>
        <w:rPr>
          <w:rStyle w:val="24"/>
          <w:rFonts w:hint="eastAsia" w:ascii="Times New Roman" w:hAnsi="Times New Roman" w:cs="Times New Roman"/>
          <w:sz w:val="24"/>
          <w:lang w:val="en-US" w:eastAsia="zh-CN"/>
        </w:rPr>
        <w:footnoteReference w:id="12"/>
      </w:r>
      <w:r>
        <w:rPr>
          <w:rFonts w:hint="eastAsia" w:ascii="Times New Roman" w:hAnsi="Times New Roman" w:cs="Times New Roman"/>
          <w:sz w:val="24"/>
          <w:lang w:val="en-US" w:eastAsia="zh-CN"/>
        </w:rPr>
        <w:t>。按照惯例，传统彩礼一般在婚约正式成立之前或者婚礼举行前一段时间内交付，具有很强的象征性以及庄重的仪式感。受地域文化差异的影响，全国各地彩礼的具体内容存在着明显的异质性，北方地区一般重视现金支付，加之一部分实物赠送，而南方地区更多地看重礼品种类和数量的选择，有些地方甚至把土地使用权证或者房产所有权等不动产算作彩礼的一部分</w:t>
      </w:r>
      <w:r>
        <w:rPr>
          <w:rStyle w:val="24"/>
          <w:rFonts w:hint="eastAsia" w:ascii="Times New Roman" w:hAnsi="Times New Roman" w:cs="Times New Roman"/>
          <w:sz w:val="24"/>
          <w:lang w:val="en-US" w:eastAsia="zh-CN"/>
        </w:rPr>
        <w:footnoteReference w:id="13"/>
      </w:r>
      <w:r>
        <w:rPr>
          <w:rFonts w:hint="eastAsia" w:ascii="Times New Roman" w:hAnsi="Times New Roman" w:cs="Times New Roman"/>
          <w:sz w:val="24"/>
          <w:lang w:val="en-US" w:eastAsia="zh-CN"/>
        </w:rPr>
        <w:t>。这些特点一起表现出中国彩礼习俗在世界范围内独特之处和多样性。</w:t>
      </w:r>
    </w:p>
    <w:bookmarkEnd w:id="70"/>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现行民法典对于彩礼的概念并无明确规定，司法解释也较为笼统，《婚姻家庭编解释（一）》第五条中“按照习俗给付的彩礼”，《彩礼适用规定》第一条中提到以“婚姻为目的依据习俗给付彩礼”，可以看出彩礼本身拥有明显的目的性和软强制性。具体而言就是彩礼的给付以婚姻为目的，虽然法律并未强制规定男女双方结婚必须由男方支付彩礼，但是若当地存在此习俗，男方通常需要给付彩礼。</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学界对于彩礼的概念存在争议，有学者认为彩礼是婚姻关系当事人一方主要指男方及其亲属依据习俗向对方主要指女方及其亲属给付的钱物</w:t>
      </w:r>
      <w:r>
        <w:rPr>
          <w:rStyle w:val="24"/>
          <w:rFonts w:hint="eastAsia" w:ascii="Times New Roman" w:hAnsi="Times New Roman" w:cs="Times New Roman"/>
          <w:sz w:val="24"/>
          <w:lang w:val="en-US" w:eastAsia="zh-CN"/>
        </w:rPr>
        <w:footnoteReference w:id="14"/>
      </w:r>
      <w:r>
        <w:rPr>
          <w:rFonts w:hint="eastAsia" w:ascii="Times New Roman" w:hAnsi="Times New Roman" w:cs="Times New Roman"/>
          <w:sz w:val="24"/>
          <w:lang w:val="en-US" w:eastAsia="zh-CN"/>
        </w:rPr>
        <w:t>。有学者认为彩礼是订婚时男方向女方或女方家送一定数额的货币或实物</w:t>
      </w:r>
      <w:r>
        <w:rPr>
          <w:rStyle w:val="24"/>
          <w:rFonts w:hint="eastAsia" w:ascii="Times New Roman" w:hAnsi="Times New Roman" w:cs="Times New Roman"/>
          <w:sz w:val="24"/>
          <w:lang w:val="en-US" w:eastAsia="zh-CN"/>
        </w:rPr>
        <w:footnoteReference w:id="15"/>
      </w:r>
      <w:r>
        <w:rPr>
          <w:rFonts w:hint="eastAsia" w:ascii="Times New Roman" w:hAnsi="Times New Roman" w:cs="Times New Roman"/>
          <w:sz w:val="24"/>
          <w:lang w:val="en-US" w:eastAsia="zh-CN"/>
        </w:rPr>
        <w:t>。最高人民法院将彩礼定义为男女双方在相识恋爱期间，一方以结婚为目的，在婚前赠送给另一方的贵重物品及生产生活资料</w:t>
      </w:r>
      <w:r>
        <w:rPr>
          <w:rStyle w:val="24"/>
          <w:rFonts w:hint="eastAsia" w:ascii="Times New Roman" w:hAnsi="Times New Roman" w:cs="Times New Roman"/>
          <w:sz w:val="24"/>
          <w:lang w:val="en-US" w:eastAsia="zh-CN"/>
        </w:rPr>
        <w:footnoteReference w:id="16"/>
      </w:r>
      <w:r>
        <w:rPr>
          <w:rFonts w:hint="eastAsia" w:ascii="Times New Roman" w:hAnsi="Times New Roman" w:cs="Times New Roman"/>
          <w:sz w:val="24"/>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笔者认为,一方给付彩礼的目的为建立长期稳定的家庭共同生活体。对于男女双方完成婚姻登记法定程序这一形式仅为一个公民希望实现前述目的的必要条件。因此，彩礼是男方及其家庭出于形成长期稳定的婚姻关系，依照习俗向女方及其家庭给付的财产，包括但不限于股票、知识产权、现金、珠宝等。而彩礼返还是指彩礼已经给付他方的情况下，由于一方或者双方的原因导致无法形成婚姻关系，此时接收方向给予方返还彩礼的情形。</w:t>
      </w:r>
    </w:p>
    <w:p>
      <w:pPr>
        <w:spacing w:before="480" w:after="120" w:line="400" w:lineRule="exact"/>
        <w:ind w:firstLine="562" w:firstLineChars="200"/>
        <w:outlineLvl w:val="1"/>
        <w:rPr>
          <w:rFonts w:hint="eastAsia" w:ascii="Times New Roman" w:hAnsi="Times New Roman"/>
          <w:b/>
          <w:sz w:val="28"/>
          <w:szCs w:val="30"/>
          <w:shd w:val="clear" w:color="auto" w:fill="FFFFFF"/>
        </w:rPr>
      </w:pPr>
      <w:bookmarkStart w:id="71" w:name="_Toc25913"/>
      <w:bookmarkStart w:id="72" w:name="_Toc19468"/>
      <w:bookmarkStart w:id="73" w:name="OLE_LINK9"/>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二</w:t>
      </w:r>
      <w:r>
        <w:rPr>
          <w:rFonts w:hint="eastAsia" w:ascii="Times New Roman" w:hAnsi="Times New Roman"/>
          <w:b/>
          <w:sz w:val="28"/>
          <w:szCs w:val="30"/>
          <w:shd w:val="clear" w:color="auto" w:fill="FFFFFF"/>
        </w:rPr>
        <w:t>）彩礼返还现行裁判规则</w:t>
      </w:r>
      <w:bookmarkEnd w:id="71"/>
      <w:bookmarkEnd w:id="72"/>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outlineLvl w:val="9"/>
        <w:rPr>
          <w:rFonts w:hint="default" w:ascii="Times New Roman" w:hAnsi="Times New Roman" w:cs="Times New Roman"/>
          <w:sz w:val="24"/>
          <w:lang w:val="en-US" w:eastAsia="zh-CN"/>
        </w:rPr>
      </w:pPr>
      <w:bookmarkStart w:id="74" w:name="_Toc6917"/>
      <w:bookmarkStart w:id="75" w:name="_Toc28050"/>
      <w:r>
        <w:rPr>
          <w:rFonts w:hint="default" w:ascii="Times New Roman" w:hAnsi="Times New Roman" w:cs="Times New Roman"/>
          <w:sz w:val="24"/>
          <w:lang w:val="en-US" w:eastAsia="zh-CN"/>
        </w:rPr>
        <w:t>当前法院处理彩礼返还纠纷，主要适用</w:t>
      </w:r>
      <w:bookmarkStart w:id="76" w:name="OLE_LINK12"/>
      <w:r>
        <w:rPr>
          <w:rFonts w:hint="default" w:ascii="Times New Roman" w:hAnsi="Times New Roman" w:cs="Times New Roman"/>
          <w:sz w:val="24"/>
          <w:lang w:val="en-US" w:eastAsia="zh-CN"/>
        </w:rPr>
        <w:t>《婚姻家庭编解释（一）》</w:t>
      </w:r>
      <w:bookmarkEnd w:id="76"/>
      <w:r>
        <w:rPr>
          <w:rFonts w:hint="default" w:ascii="Times New Roman" w:hAnsi="Times New Roman" w:cs="Times New Roman"/>
          <w:sz w:val="24"/>
          <w:lang w:val="en-US" w:eastAsia="zh-CN"/>
        </w:rPr>
        <w:t>第5条</w:t>
      </w:r>
      <w:r>
        <w:rPr>
          <w:rFonts w:hint="eastAsia" w:ascii="Times New Roman" w:hAnsi="Times New Roman" w:cs="Times New Roman"/>
          <w:sz w:val="24"/>
          <w:lang w:val="en-US" w:eastAsia="zh-CN"/>
        </w:rPr>
        <w:t>、</w:t>
      </w:r>
      <w:r>
        <w:rPr>
          <w:rFonts w:hint="default" w:ascii="Times New Roman" w:hAnsi="Times New Roman" w:cs="Times New Roman"/>
          <w:sz w:val="24"/>
          <w:lang w:val="en-US" w:eastAsia="zh-CN"/>
        </w:rPr>
        <w:t>《关于审理涉彩礼纠纷案件适用法律若干问题的规定》（以下简称《</w:t>
      </w:r>
      <w:r>
        <w:rPr>
          <w:rFonts w:hint="eastAsia" w:ascii="Times New Roman" w:hAnsi="Times New Roman" w:cs="Times New Roman"/>
          <w:sz w:val="24"/>
          <w:lang w:val="en-US" w:eastAsia="zh-CN"/>
        </w:rPr>
        <w:t>彩礼适用</w:t>
      </w:r>
      <w:r>
        <w:rPr>
          <w:rFonts w:hint="default" w:ascii="Times New Roman" w:hAnsi="Times New Roman" w:cs="Times New Roman"/>
          <w:sz w:val="24"/>
          <w:lang w:val="en-US" w:eastAsia="zh-CN"/>
        </w:rPr>
        <w:t>规定》）以及《民法典》相关条款。</w:t>
      </w:r>
      <w:bookmarkEnd w:id="74"/>
      <w:bookmarkEnd w:id="75"/>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outlineLvl w:val="9"/>
        <w:rPr>
          <w:rFonts w:hint="default" w:ascii="Times New Roman" w:hAnsi="Times New Roman" w:cs="Times New Roman"/>
          <w:sz w:val="24"/>
          <w:lang w:val="en-US" w:eastAsia="zh-CN"/>
        </w:rPr>
      </w:pPr>
      <w:bookmarkStart w:id="77" w:name="_Toc26892"/>
      <w:bookmarkStart w:id="78" w:name="_Toc28613"/>
      <w:r>
        <w:rPr>
          <w:rFonts w:hint="default" w:ascii="Times New Roman" w:hAnsi="Times New Roman" w:cs="Times New Roman"/>
          <w:sz w:val="24"/>
          <w:lang w:val="en-US" w:eastAsia="zh-CN"/>
        </w:rPr>
        <w:t>《婚姻家庭编解释（一）》第五条，它已成为彩礼返还制度的骨架。该条把《民法典》第一千零四十二条的</w:t>
      </w:r>
      <w:r>
        <w:rPr>
          <w:rFonts w:hint="eastAsia" w:ascii="Times New Roman" w:hAnsi="Times New Roman" w:cs="Times New Roman"/>
          <w:sz w:val="24"/>
          <w:lang w:val="en-US" w:eastAsia="zh-CN"/>
        </w:rPr>
        <w:t>禁止性规定</w:t>
      </w:r>
      <w:r>
        <w:rPr>
          <w:rFonts w:hint="default" w:ascii="Times New Roman" w:hAnsi="Times New Roman" w:cs="Times New Roman"/>
          <w:sz w:val="24"/>
          <w:lang w:val="en-US" w:eastAsia="zh-CN"/>
        </w:rPr>
        <w:t>细化为三类应当返还彩礼的典型场景，使抽象规定变成可供操作的标准，从而弥补了婚姻家庭编对彩礼规范不足的缺陷。不过，这一条款其实完全沿袭了原《婚姻法解释（二）》第十条的内容，并未针对彩礼返还纠纷作出更具体的分层规定。</w:t>
      </w:r>
      <w:bookmarkEnd w:id="77"/>
      <w:bookmarkEnd w:id="78"/>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outlineLvl w:val="9"/>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彩礼适用规定是中华人民共和国首部专门就彩礼纠纷作出的司法解释，它把长期形成的有关彩礼纠纷审判实践中的经验进行系统的归纳和提炼。对于解释(一)第五条的突破性扩展充实了已经存在的规则体系，并且形成了一条有逻辑、有层次的法律结构。该条规定用反向排除规则来确定彩礼的范围，给司法实践提供重要的参考依据，在判断某些节庆或者仪式性的赠与行为是否属于彩礼时起到重要的指导作用。对于未办理结婚登记即同居生活或者婚后共同生活时间较短等特殊情况下彩礼返还问题，《规定》第一次作出了具体的规定，有效地填补了目前法律对这类情形处理的空白。就诉讼主体资格而言，增加了实际收受彩礼方父母的权利诉求，并且提倡依照地域风俗习惯以及双方的过错程度等要素审慎地作出裁判</w:t>
      </w:r>
      <w:r>
        <w:rPr>
          <w:rFonts w:hint="eastAsia" w:ascii="Times New Roman" w:hAnsi="Times New Roman" w:cs="Times New Roman"/>
          <w:sz w:val="24"/>
          <w:lang w:val="en-US" w:eastAsia="zh-CN"/>
        </w:rPr>
        <w:t>。</w:t>
      </w:r>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outlineLvl w:val="9"/>
        <w:rPr>
          <w:rFonts w:hint="default" w:ascii="Times New Roman" w:hAnsi="Times New Roman" w:cs="Times New Roman"/>
          <w:sz w:val="24"/>
          <w:lang w:val="en-US" w:eastAsia="zh-CN"/>
        </w:rPr>
      </w:pPr>
      <w:r>
        <w:rPr>
          <w:rFonts w:hint="default" w:ascii="Times New Roman" w:hAnsi="Times New Roman" w:cs="Times New Roman"/>
          <w:sz w:val="24"/>
          <w:lang w:val="en-US" w:eastAsia="zh-CN"/>
        </w:rPr>
        <w:t>《民法典》第十条规定了法官在处理彩礼纠纷时可以引用公序良俗的原则进行裁判，给司法实践处理彩礼纠纷提供了一个规范的指引。在这样的制度框架之下，法官可以依照社会主义核心价值观以及地方传统婚俗习惯来对彩礼金额的确定、共同生活时间的认定等具体事实进行合理的判断。根据《民法典》第一千零四十二条规定，禁止用婚姻家庭名义索取非自愿赠与的财物。在审理相关案件的时候，法院应当对彩礼给付行为是否具有强制性或者营利性质进行慎重审查，可以通过考察索要的数额是否明显超过当地习惯的标准、有无分期付款的情况等途径来加以判断。如果证据可以证明彩礼索取具有违法目的，那么无论当事人是否已经启动离婚诉讼或者解除同居关系程序，男方都可以向女方主张返还财产请求，并且会得到法律的支持。</w:t>
      </w:r>
    </w:p>
    <w:bookmarkEnd w:id="73"/>
    <w:p>
      <w:pPr>
        <w:keepNext w:val="0"/>
        <w:keepLines w:val="0"/>
        <w:pageBreakBefore w:val="0"/>
        <w:widowControl w:val="0"/>
        <w:kinsoku/>
        <w:wordWrap/>
        <w:overflowPunct/>
        <w:topLinePunct w:val="0"/>
        <w:autoSpaceDE/>
        <w:autoSpaceDN/>
        <w:bidi w:val="0"/>
        <w:adjustRightInd/>
        <w:snapToGrid w:val="0"/>
        <w:spacing w:before="480" w:after="360" w:line="400" w:lineRule="exact"/>
        <w:ind w:firstLine="643" w:firstLineChars="200"/>
        <w:textAlignment w:val="auto"/>
        <w:outlineLvl w:val="0"/>
        <w:rPr>
          <w:rFonts w:ascii="Times New Roman" w:hAnsi="Times New Roman"/>
          <w:b/>
          <w:bCs/>
          <w:color w:val="000000"/>
          <w:sz w:val="32"/>
          <w:szCs w:val="32"/>
          <w:shd w:val="clear" w:color="auto" w:fill="FFFFFF"/>
        </w:rPr>
      </w:pPr>
      <w:bookmarkStart w:id="79" w:name="_Toc15925"/>
      <w:bookmarkStart w:id="80" w:name="_Toc25388"/>
      <w:r>
        <w:rPr>
          <w:rFonts w:hint="eastAsia" w:ascii="Times New Roman" w:hAnsi="Times New Roman"/>
          <w:b/>
          <w:bCs/>
          <w:color w:val="000000"/>
          <w:sz w:val="32"/>
          <w:szCs w:val="32"/>
          <w:shd w:val="clear" w:color="auto" w:fill="FFFFFF"/>
          <w:lang w:val="en-US" w:eastAsia="zh-CN"/>
        </w:rPr>
        <w:br w:type="page"/>
      </w:r>
      <w:bookmarkStart w:id="81" w:name="_Toc3815"/>
      <w:r>
        <w:rPr>
          <w:rFonts w:hint="eastAsia" w:ascii="Times New Roman" w:hAnsi="Times New Roman"/>
          <w:b/>
          <w:bCs/>
          <w:color w:val="000000"/>
          <w:sz w:val="32"/>
          <w:szCs w:val="32"/>
          <w:shd w:val="clear" w:color="auto" w:fill="FFFFFF"/>
          <w:lang w:val="en-US" w:eastAsia="zh-CN"/>
        </w:rPr>
        <w:t>三、</w:t>
      </w:r>
      <w:r>
        <w:rPr>
          <w:rFonts w:hint="eastAsia" w:ascii="Times New Roman" w:hAnsi="Times New Roman"/>
          <w:b/>
          <w:bCs/>
          <w:color w:val="000000"/>
          <w:sz w:val="32"/>
          <w:szCs w:val="32"/>
          <w:shd w:val="clear" w:color="auto" w:fill="FFFFFF"/>
        </w:rPr>
        <w:t>湖南省中彩礼返还纠纷实证分析</w:t>
      </w:r>
      <w:bookmarkEnd w:id="79"/>
      <w:bookmarkEnd w:id="80"/>
      <w:bookmarkEnd w:id="81"/>
    </w:p>
    <w:p>
      <w:pPr>
        <w:spacing w:before="480" w:after="120" w:line="400" w:lineRule="exact"/>
        <w:ind w:firstLine="562" w:firstLineChars="200"/>
        <w:outlineLvl w:val="1"/>
        <w:rPr>
          <w:rFonts w:hint="eastAsia" w:ascii="Times New Roman" w:hAnsi="Times New Roman"/>
          <w:b/>
          <w:sz w:val="28"/>
          <w:szCs w:val="30"/>
          <w:shd w:val="clear" w:color="auto" w:fill="FFFFFF"/>
        </w:rPr>
      </w:pPr>
      <w:bookmarkStart w:id="82" w:name="_Toc32241"/>
      <w:bookmarkStart w:id="83" w:name="_Toc31925"/>
      <w:bookmarkStart w:id="84" w:name="_Toc12161_WPSOffice_Level2"/>
      <w:bookmarkStart w:id="85" w:name="_Toc4287"/>
      <w:bookmarkStart w:id="86" w:name="_Toc21601"/>
      <w:bookmarkStart w:id="87" w:name="_Toc27043"/>
      <w:bookmarkStart w:id="88" w:name="_Toc12151"/>
      <w:bookmarkStart w:id="89" w:name="_Toc4792"/>
      <w:bookmarkStart w:id="90" w:name="_Toc20946"/>
      <w:bookmarkStart w:id="91" w:name="_Toc14582"/>
      <w:r>
        <w:rPr>
          <w:rFonts w:hint="eastAsia" w:ascii="Times New Roman" w:hAnsi="Times New Roman"/>
          <w:b/>
          <w:sz w:val="28"/>
          <w:szCs w:val="30"/>
          <w:shd w:val="clear" w:color="auto" w:fill="FFFFFF"/>
        </w:rPr>
        <w:t>（一）</w:t>
      </w:r>
      <w:bookmarkEnd w:id="82"/>
      <w:bookmarkEnd w:id="83"/>
      <w:bookmarkEnd w:id="84"/>
      <w:bookmarkEnd w:id="85"/>
      <w:bookmarkEnd w:id="86"/>
      <w:bookmarkEnd w:id="87"/>
      <w:bookmarkEnd w:id="88"/>
      <w:bookmarkEnd w:id="89"/>
      <w:r>
        <w:rPr>
          <w:rFonts w:hint="eastAsia" w:ascii="Times New Roman" w:hAnsi="Times New Roman"/>
          <w:b/>
          <w:sz w:val="28"/>
          <w:szCs w:val="30"/>
          <w:shd w:val="clear" w:color="auto" w:fill="FFFFFF"/>
        </w:rPr>
        <w:t>案例样本来源</w:t>
      </w:r>
      <w:bookmarkEnd w:id="90"/>
      <w:bookmarkEnd w:id="91"/>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Times New Roman" w:hAnsi="Times New Roman"/>
          <w:sz w:val="24"/>
        </w:rPr>
      </w:pPr>
      <w:bookmarkStart w:id="92" w:name="_Toc24466"/>
      <w:bookmarkStart w:id="93" w:name="_Toc26092"/>
      <w:bookmarkStart w:id="94" w:name="_Toc3518"/>
      <w:bookmarkStart w:id="95" w:name="_Toc31153"/>
      <w:bookmarkStart w:id="96" w:name="_Toc4425"/>
      <w:bookmarkStart w:id="97" w:name="_Toc2115"/>
      <w:bookmarkStart w:id="98" w:name="_Toc16328"/>
      <w:bookmarkStart w:id="99" w:name="_Toc20310"/>
      <w:bookmarkStart w:id="100" w:name="_Toc21598"/>
      <w:bookmarkStart w:id="101" w:name="_Toc482"/>
      <w:bookmarkStart w:id="102" w:name="_Toc13828"/>
      <w:bookmarkStart w:id="103" w:name="_Toc15530"/>
      <w:bookmarkStart w:id="104" w:name="_Toc12161_WPSOffice_Level3"/>
      <w:r>
        <w:rPr>
          <w:rFonts w:hint="eastAsia" w:ascii="Times New Roman" w:hAnsi="Times New Roman"/>
          <w:sz w:val="24"/>
        </w:rPr>
        <w:t>以</w:t>
      </w:r>
      <w:r>
        <w:rPr>
          <w:rFonts w:hint="eastAsia" w:ascii="Times New Roman" w:hAnsi="Times New Roman"/>
          <w:sz w:val="24"/>
          <w:lang w:val="en-US" w:eastAsia="zh-CN"/>
        </w:rPr>
        <w:t>湖</w:t>
      </w:r>
      <w:r>
        <w:rPr>
          <w:rFonts w:hint="eastAsia" w:ascii="Times New Roman" w:hAnsi="Times New Roman"/>
          <w:sz w:val="24"/>
        </w:rPr>
        <w:t>南省202</w:t>
      </w:r>
      <w:r>
        <w:rPr>
          <w:rFonts w:hint="eastAsia" w:ascii="Times New Roman" w:hAnsi="Times New Roman"/>
          <w:sz w:val="24"/>
          <w:lang w:val="en-US" w:eastAsia="zh-CN"/>
        </w:rPr>
        <w:t>5</w:t>
      </w:r>
      <w:r>
        <w:rPr>
          <w:rFonts w:hint="eastAsia" w:ascii="Times New Roman" w:hAnsi="Times New Roman"/>
          <w:sz w:val="24"/>
        </w:rPr>
        <w:t>年各地区</w:t>
      </w:r>
      <w:r>
        <w:rPr>
          <w:rFonts w:hint="eastAsia" w:ascii="Times New Roman" w:hAnsi="Times New Roman"/>
          <w:sz w:val="24"/>
          <w:lang w:val="en-US" w:eastAsia="zh-CN"/>
        </w:rPr>
        <w:t>76</w:t>
      </w:r>
      <w:r>
        <w:rPr>
          <w:rFonts w:hint="eastAsia" w:ascii="Times New Roman" w:hAnsi="Times New Roman"/>
          <w:sz w:val="24"/>
        </w:rPr>
        <w:t>份彩礼返还纠纷判决书为样本，开展实证研究。数据来源于中国裁判文书网，检索条件设定为：关键词“彩礼</w:t>
      </w:r>
      <w:r>
        <w:rPr>
          <w:rFonts w:hint="eastAsia" w:ascii="Times New Roman" w:hAnsi="Times New Roman"/>
          <w:sz w:val="24"/>
          <w:lang w:eastAsia="zh-CN"/>
        </w:rPr>
        <w:t>”“</w:t>
      </w:r>
      <w:r>
        <w:rPr>
          <w:rFonts w:hint="eastAsia" w:ascii="Times New Roman" w:hAnsi="Times New Roman"/>
          <w:sz w:val="24"/>
        </w:rPr>
        <w:t>返还”</w:t>
      </w:r>
      <w:r>
        <w:rPr>
          <w:rFonts w:hint="eastAsia" w:ascii="Times New Roman" w:hAnsi="Times New Roman"/>
          <w:sz w:val="24"/>
          <w:lang w:eastAsia="zh-CN"/>
        </w:rPr>
        <w:t>，</w:t>
      </w:r>
      <w:r>
        <w:rPr>
          <w:rFonts w:hint="eastAsia" w:ascii="Times New Roman" w:hAnsi="Times New Roman"/>
          <w:sz w:val="24"/>
        </w:rPr>
        <w:t>文书性质限定为“判决书”，地域及法院限定为“</w:t>
      </w:r>
      <w:r>
        <w:rPr>
          <w:rFonts w:hint="eastAsia" w:ascii="Times New Roman" w:hAnsi="Times New Roman"/>
          <w:sz w:val="24"/>
          <w:lang w:val="en-US" w:eastAsia="zh-CN"/>
        </w:rPr>
        <w:t>湖</w:t>
      </w:r>
      <w:r>
        <w:rPr>
          <w:rFonts w:hint="eastAsia" w:ascii="Times New Roman" w:hAnsi="Times New Roman"/>
          <w:sz w:val="24"/>
        </w:rPr>
        <w:t>南省（所有法院）”，时间限定为202</w:t>
      </w:r>
      <w:r>
        <w:rPr>
          <w:rFonts w:hint="eastAsia" w:ascii="Times New Roman" w:hAnsi="Times New Roman"/>
          <w:sz w:val="24"/>
          <w:lang w:val="en-US" w:eastAsia="zh-CN"/>
        </w:rPr>
        <w:t>5</w:t>
      </w:r>
      <w:r>
        <w:rPr>
          <w:rFonts w:hint="eastAsia" w:ascii="Times New Roman" w:hAnsi="Times New Roman"/>
          <w:sz w:val="24"/>
        </w:rPr>
        <w:t>年1月1日至202</w:t>
      </w:r>
      <w:r>
        <w:rPr>
          <w:rFonts w:hint="eastAsia" w:ascii="Times New Roman" w:hAnsi="Times New Roman"/>
          <w:sz w:val="24"/>
          <w:lang w:val="en-US" w:eastAsia="zh-CN"/>
        </w:rPr>
        <w:t>5</w:t>
      </w:r>
      <w:r>
        <w:rPr>
          <w:rFonts w:hint="eastAsia" w:ascii="Times New Roman" w:hAnsi="Times New Roman"/>
          <w:sz w:val="24"/>
        </w:rPr>
        <w:t>年12月31日</w:t>
      </w:r>
      <w:r>
        <w:rPr>
          <w:rFonts w:hint="eastAsia" w:ascii="Times New Roman" w:hAnsi="Times New Roman"/>
          <w:sz w:val="24"/>
          <w:lang w:eastAsia="zh-CN"/>
        </w:rPr>
        <w:t>，</w:t>
      </w:r>
      <w:r>
        <w:rPr>
          <w:rFonts w:hint="eastAsia" w:ascii="Times New Roman" w:hAnsi="Times New Roman"/>
          <w:sz w:val="24"/>
        </w:rPr>
        <w:t>筛选出</w:t>
      </w:r>
      <w:r>
        <w:rPr>
          <w:rFonts w:hint="eastAsia" w:ascii="Times New Roman" w:hAnsi="Times New Roman"/>
          <w:sz w:val="24"/>
          <w:lang w:val="en-US" w:eastAsia="zh-CN"/>
        </w:rPr>
        <w:t>78</w:t>
      </w:r>
      <w:r>
        <w:rPr>
          <w:rFonts w:hint="eastAsia" w:ascii="Times New Roman" w:hAnsi="Times New Roman"/>
          <w:sz w:val="24"/>
        </w:rPr>
        <w:t>份裁判文</w:t>
      </w:r>
      <w:r>
        <w:rPr>
          <w:rFonts w:hint="eastAsia" w:ascii="Times New Roman" w:hAnsi="Times New Roman"/>
          <w:sz w:val="24"/>
          <w:lang w:val="en-US" w:eastAsia="zh-CN"/>
        </w:rPr>
        <w:t>书。</w:t>
      </w:r>
      <w:bookmarkEnd w:id="92"/>
      <w:bookmarkEnd w:id="93"/>
      <w:bookmarkEnd w:id="94"/>
      <w:bookmarkEnd w:id="95"/>
      <w:bookmarkEnd w:id="96"/>
      <w:bookmarkEnd w:id="97"/>
    </w:p>
    <w:p>
      <w:pPr>
        <w:spacing w:before="480" w:after="120" w:line="400" w:lineRule="exact"/>
        <w:ind w:firstLine="562" w:firstLineChars="200"/>
        <w:outlineLvl w:val="1"/>
        <w:rPr>
          <w:rFonts w:hint="default" w:ascii="Times New Roman" w:hAnsi="Times New Roman" w:eastAsia="宋体" w:cs="Times New Roman"/>
          <w:b/>
          <w:sz w:val="28"/>
          <w:szCs w:val="30"/>
          <w:shd w:val="clear" w:color="auto" w:fill="FFFFFF"/>
          <w:lang w:val="en-US" w:eastAsia="zh-CN"/>
        </w:rPr>
      </w:pPr>
      <w:bookmarkStart w:id="105" w:name="_Toc24633"/>
      <w:bookmarkStart w:id="106" w:name="_Toc19989"/>
      <w:r>
        <w:rPr>
          <w:rFonts w:hint="eastAsia" w:ascii="Times New Roman" w:hAnsi="Times New Roman" w:eastAsia="宋体" w:cs="Times New Roman"/>
          <w:b/>
          <w:sz w:val="28"/>
          <w:szCs w:val="30"/>
          <w:shd w:val="clear" w:color="auto" w:fill="FFFFFF"/>
        </w:rPr>
        <w:t>（</w:t>
      </w:r>
      <w:r>
        <w:rPr>
          <w:rFonts w:hint="eastAsia" w:ascii="Times New Roman" w:hAnsi="Times New Roman" w:eastAsia="宋体" w:cs="Times New Roman"/>
          <w:b/>
          <w:sz w:val="28"/>
          <w:szCs w:val="30"/>
          <w:shd w:val="clear" w:color="auto" w:fill="FFFFFF"/>
          <w:lang w:val="en-US" w:eastAsia="zh-CN"/>
        </w:rPr>
        <w:t>二</w:t>
      </w:r>
      <w:r>
        <w:rPr>
          <w:rFonts w:hint="eastAsia" w:ascii="Times New Roman" w:hAnsi="Times New Roman" w:eastAsia="宋体" w:cs="Times New Roman"/>
          <w:b/>
          <w:sz w:val="28"/>
          <w:szCs w:val="30"/>
          <w:shd w:val="clear" w:color="auto" w:fill="FFFFFF"/>
        </w:rPr>
        <w:t>）原被告诉讼主体类型</w:t>
      </w:r>
      <w:bookmarkEnd w:id="105"/>
      <w:r>
        <w:rPr>
          <w:rFonts w:hint="eastAsia" w:ascii="Times New Roman" w:hAnsi="Times New Roman" w:cs="Times New Roman"/>
          <w:b/>
          <w:sz w:val="28"/>
          <w:szCs w:val="30"/>
          <w:shd w:val="clear" w:color="auto" w:fill="FFFFFF"/>
          <w:lang w:eastAsia="zh-CN"/>
        </w:rPr>
        <w:t>的</w:t>
      </w:r>
      <w:r>
        <w:rPr>
          <w:rFonts w:hint="eastAsia" w:ascii="Times New Roman" w:hAnsi="Times New Roman" w:cs="Times New Roman"/>
          <w:b/>
          <w:sz w:val="28"/>
          <w:szCs w:val="30"/>
          <w:shd w:val="clear" w:color="auto" w:fill="FFFFFF"/>
          <w:lang w:val="en-US" w:eastAsia="zh-CN"/>
        </w:rPr>
        <w:t>多样化</w:t>
      </w:r>
      <w:bookmarkEnd w:id="106"/>
    </w:p>
    <w:bookmarkEnd w:id="98"/>
    <w:bookmarkEnd w:id="99"/>
    <w:bookmarkEnd w:id="100"/>
    <w:bookmarkEnd w:id="101"/>
    <w:bookmarkEnd w:id="102"/>
    <w:bookmarkEnd w:id="103"/>
    <w:bookmarkEnd w:id="104"/>
    <w:p>
      <w:pPr>
        <w:spacing w:line="400" w:lineRule="exact"/>
        <w:ind w:firstLine="480" w:firstLineChars="200"/>
        <w:rPr>
          <w:rFonts w:hint="eastAsia" w:ascii="Times New Roman" w:hAnsi="Times New Roman"/>
          <w:sz w:val="24"/>
          <w:lang w:val="en-US" w:eastAsia="zh-CN"/>
        </w:rPr>
      </w:pPr>
      <w:r>
        <w:rPr>
          <w:rFonts w:hint="eastAsia" w:ascii="Times New Roman" w:hAnsi="Times New Roman"/>
          <w:sz w:val="24"/>
          <w:lang w:val="en-US" w:eastAsia="zh-CN"/>
        </w:rPr>
        <w:t>《彩礼适用规定》第四条明确规定婚约一方及其实际给付彩礼的父母可以作为共同原告、婚约另一方及其实际接收彩礼的父母可以作为共同被告。对所收集的案例进行梳理发现，在彩礼纠纷案件中的原被告诉讼主体类型主要分为两类，具体情况如表1所示。</w:t>
      </w:r>
    </w:p>
    <w:p>
      <w:pPr>
        <w:keepNext w:val="0"/>
        <w:keepLines w:val="0"/>
        <w:pageBreakBefore w:val="0"/>
        <w:widowControl w:val="0"/>
        <w:kinsoku/>
        <w:wordWrap/>
        <w:overflowPunct/>
        <w:topLinePunct w:val="0"/>
        <w:autoSpaceDE/>
        <w:autoSpaceDN/>
        <w:bidi w:val="0"/>
        <w:adjustRightInd/>
        <w:snapToGrid/>
        <w:spacing w:before="240" w:after="120" w:line="240" w:lineRule="auto"/>
        <w:ind w:firstLine="422" w:firstLineChars="200"/>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表1案例中原被告诉讼主体统计</w:t>
      </w:r>
    </w:p>
    <w:tbl>
      <w:tblPr>
        <w:tblStyle w:val="20"/>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49"/>
        <w:gridCol w:w="1133"/>
        <w:gridCol w:w="1409"/>
      </w:tblGrid>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4249" w:type="dxa"/>
            <w:tcBorders>
              <w:top w:val="single" w:color="000000" w:sz="8" w:space="0"/>
              <w:left w:val="nil"/>
              <w:bottom w:val="single" w:color="000000" w:sz="8" w:space="0"/>
              <w:right w:val="nil"/>
            </w:tcBorders>
            <w:noWrap w:val="0"/>
            <w:vAlign w:val="center"/>
          </w:tcPr>
          <w:p>
            <w:pPr>
              <w:keepNext w:val="0"/>
              <w:keepLines w:val="0"/>
              <w:widowControl/>
              <w:suppressLineNumbers w:val="0"/>
              <w:spacing w:before="0" w:beforeAutospacing="0" w:after="0" w:afterAutospacing="0" w:line="360" w:lineRule="auto"/>
              <w:ind w:left="0" w:right="0"/>
              <w:jc w:val="center"/>
              <w:rPr>
                <w:rFonts w:hint="eastAsia" w:ascii="Times New Roman" w:hAnsi="Times New Roman" w:eastAsia="宋体" w:cs="Arial"/>
                <w:b/>
                <w:bCs/>
                <w:color w:val="000000"/>
                <w:kern w:val="0"/>
                <w:szCs w:val="21"/>
                <w:lang w:val="en-US" w:eastAsia="zh-CN"/>
              </w:rPr>
            </w:pPr>
            <w:r>
              <w:rPr>
                <w:rFonts w:hint="eastAsia" w:ascii="Times New Roman" w:hAnsi="Times New Roman" w:eastAsia="宋体" w:cs="Arial"/>
                <w:b/>
                <w:bCs/>
                <w:color w:val="000000"/>
                <w:kern w:val="0"/>
                <w:szCs w:val="21"/>
                <w:lang w:val="en-US" w:eastAsia="zh-CN"/>
              </w:rPr>
              <w:t>类型</w:t>
            </w:r>
          </w:p>
        </w:tc>
        <w:tc>
          <w:tcPr>
            <w:tcW w:w="1133" w:type="dxa"/>
            <w:tcBorders>
              <w:top w:val="single" w:color="000000" w:sz="8" w:space="0"/>
              <w:bottom w:val="single" w:color="000000" w:sz="8" w:space="0"/>
              <w:right w:val="nil"/>
            </w:tcBorders>
            <w:noWrap w:val="0"/>
            <w:vAlign w:val="top"/>
          </w:tcPr>
          <w:p>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宋体" w:cs="Arial"/>
                <w:b/>
                <w:bCs/>
                <w:color w:val="000000"/>
                <w:kern w:val="0"/>
                <w:szCs w:val="21"/>
                <w:lang w:val="en-US" w:eastAsia="zh-CN"/>
              </w:rPr>
            </w:pPr>
            <w:r>
              <w:rPr>
                <w:rFonts w:hint="eastAsia" w:ascii="Times New Roman" w:hAnsi="Times New Roman" w:eastAsia="宋体" w:cs="Arial"/>
                <w:b/>
                <w:bCs/>
                <w:color w:val="000000"/>
                <w:kern w:val="0"/>
                <w:szCs w:val="21"/>
                <w:lang w:val="en-US" w:eastAsia="zh-CN"/>
              </w:rPr>
              <w:t>案件数量</w:t>
            </w:r>
          </w:p>
        </w:tc>
        <w:tc>
          <w:tcPr>
            <w:tcW w:w="1409" w:type="dxa"/>
            <w:tcBorders>
              <w:top w:val="single" w:color="000000" w:sz="8" w:space="0"/>
              <w:bottom w:val="single" w:color="000000" w:sz="8" w:space="0"/>
              <w:right w:val="nil"/>
            </w:tcBorders>
            <w:noWrap w:val="0"/>
            <w:vAlign w:val="top"/>
          </w:tcPr>
          <w:p>
            <w:pPr>
              <w:keepNext w:val="0"/>
              <w:keepLines w:val="0"/>
              <w:widowControl/>
              <w:suppressLineNumbers w:val="0"/>
              <w:spacing w:before="0" w:beforeAutospacing="0" w:after="0" w:afterAutospacing="0" w:line="360" w:lineRule="auto"/>
              <w:ind w:left="0" w:right="0"/>
              <w:jc w:val="center"/>
              <w:rPr>
                <w:rFonts w:hint="eastAsia" w:ascii="Times New Roman" w:hAnsi="Times New Roman" w:eastAsia="宋体" w:cs="Arial"/>
                <w:b/>
                <w:bCs/>
                <w:color w:val="000000"/>
                <w:kern w:val="0"/>
                <w:szCs w:val="21"/>
                <w:lang w:val="en-US" w:eastAsia="zh-CN"/>
              </w:rPr>
            </w:pPr>
            <w:r>
              <w:rPr>
                <w:rFonts w:hint="eastAsia" w:ascii="Times New Roman" w:hAnsi="Times New Roman" w:eastAsia="宋体" w:cs="Arial"/>
                <w:b/>
                <w:bCs/>
                <w:color w:val="000000"/>
                <w:kern w:val="0"/>
                <w:szCs w:val="21"/>
                <w:lang w:val="en-US" w:eastAsia="zh-CN"/>
              </w:rPr>
              <w:t>比例</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4249" w:type="dxa"/>
            <w:tcBorders>
              <w:top w:val="single" w:color="000000" w:sz="8"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eastAsia="宋体" w:cs="Arial"/>
                <w:color w:val="000000"/>
                <w:kern w:val="0"/>
                <w:szCs w:val="21"/>
                <w:lang w:val="en-US" w:eastAsia="zh-CN"/>
              </w:rPr>
              <w:t>男方与女方本人</w:t>
            </w:r>
          </w:p>
        </w:tc>
        <w:tc>
          <w:tcPr>
            <w:tcW w:w="1133" w:type="dxa"/>
            <w:tcBorders>
              <w:top w:val="single" w:color="000000" w:sz="8" w:space="0"/>
            </w:tcBorders>
            <w:noWrap w:val="0"/>
            <w:tcMar>
              <w:right w:w="397"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eastAsia="宋体" w:cs="Arial"/>
                <w:color w:val="000000"/>
                <w:kern w:val="0"/>
                <w:szCs w:val="21"/>
                <w:lang w:val="en-US" w:eastAsia="zh-CN"/>
              </w:rPr>
              <w:t>33</w:t>
            </w:r>
            <w:r>
              <w:rPr>
                <w:rFonts w:hint="eastAsia" w:ascii="Times New Roman" w:hAnsi="Times New Roman" w:cs="Arial"/>
                <w:color w:val="000000"/>
                <w:kern w:val="0"/>
                <w:szCs w:val="21"/>
                <w:lang w:val="en-US" w:eastAsia="zh-CN"/>
              </w:rPr>
              <w:t>个</w:t>
            </w:r>
          </w:p>
        </w:tc>
        <w:tc>
          <w:tcPr>
            <w:tcW w:w="1409" w:type="dxa"/>
            <w:tcBorders>
              <w:top w:val="single" w:color="000000" w:sz="8" w:space="0"/>
            </w:tcBorders>
            <w:noWrap w:val="0"/>
            <w:tcMar>
              <w:right w:w="454"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eastAsia="宋体" w:cs="Arial"/>
                <w:color w:val="000000"/>
                <w:kern w:val="0"/>
                <w:szCs w:val="21"/>
                <w:lang w:val="en-US" w:eastAsia="zh-CN"/>
              </w:rPr>
              <w:t>42.4%</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4249" w:type="dxa"/>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eastAsia="宋体" w:cs="Arial"/>
                <w:color w:val="000000"/>
                <w:kern w:val="0"/>
                <w:szCs w:val="21"/>
                <w:lang w:val="en-US" w:eastAsia="zh-CN"/>
              </w:rPr>
              <w:t>男方与女方及其某一方或双方的父母</w:t>
            </w:r>
          </w:p>
        </w:tc>
        <w:tc>
          <w:tcPr>
            <w:tcW w:w="1133" w:type="dxa"/>
            <w:noWrap w:val="0"/>
            <w:tcMar>
              <w:right w:w="397"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eastAsia="宋体" w:cs="Arial"/>
                <w:color w:val="000000"/>
                <w:kern w:val="0"/>
                <w:szCs w:val="21"/>
                <w:lang w:val="en-US" w:eastAsia="zh-CN"/>
              </w:rPr>
              <w:t>45</w:t>
            </w:r>
            <w:r>
              <w:rPr>
                <w:rFonts w:hint="eastAsia" w:ascii="Times New Roman" w:hAnsi="Times New Roman" w:cs="Arial"/>
                <w:color w:val="000000"/>
                <w:kern w:val="0"/>
                <w:szCs w:val="21"/>
                <w:lang w:val="en-US" w:eastAsia="zh-CN"/>
              </w:rPr>
              <w:t>个</w:t>
            </w:r>
          </w:p>
        </w:tc>
        <w:tc>
          <w:tcPr>
            <w:tcW w:w="1409" w:type="dxa"/>
            <w:noWrap w:val="0"/>
            <w:tcMar>
              <w:right w:w="454"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eastAsia="宋体" w:cs="Arial"/>
                <w:color w:val="000000"/>
                <w:kern w:val="0"/>
                <w:szCs w:val="21"/>
                <w:lang w:val="en-US" w:eastAsia="zh-CN"/>
              </w:rPr>
              <w:t>57.6%</w:t>
            </w:r>
          </w:p>
        </w:tc>
      </w:tr>
    </w:tbl>
    <w:p>
      <w:pPr>
        <w:spacing w:line="400" w:lineRule="exact"/>
        <w:ind w:firstLine="480" w:firstLineChars="200"/>
        <w:rPr>
          <w:rFonts w:hint="default" w:ascii="Times New Roman" w:hAnsi="Times New Roman"/>
          <w:sz w:val="24"/>
          <w:lang w:val="en-US" w:eastAsia="zh-CN"/>
        </w:rPr>
      </w:pPr>
      <w:r>
        <w:rPr>
          <w:rFonts w:hint="eastAsia" w:ascii="Times New Roman" w:hAnsi="Times New Roman"/>
          <w:sz w:val="24"/>
          <w:lang w:val="en-US" w:eastAsia="zh-CN"/>
        </w:rPr>
        <w:t>如表1所示，“男方与女方本人”占比明显低于“男方与女方及其某一方或双方的父母”这一诉讼主体类型，这符合《彩礼适用规定》的立法目的，解决了双方父母能否参与诉讼的问题。在案件中男女双方作为订婚及婚姻缔结的核心主体，是彩礼给付与接收的直接当事人，通常作为原告与被告参与诉讼，由于彩礼的交付是以结婚为目的且男方大多数情况需要父母的帮助才能支付起彩礼，这导致男方父母作为共同原告的情况也较为常见。女方父母往往也是彩礼给付的见证人、保管人甚至是使用人，这导致将其纳入诉讼更加有利于查明案件事实和后续裁判的执行。如李某甲唐某赵某甲赵某乙婚约财产纠纷</w:t>
      </w:r>
      <w:r>
        <w:rPr>
          <w:rStyle w:val="24"/>
          <w:rFonts w:hint="eastAsia" w:ascii="Times New Roman" w:hAnsi="Times New Roman"/>
          <w:sz w:val="24"/>
          <w:lang w:val="en-US" w:eastAsia="zh-CN"/>
        </w:rPr>
        <w:footnoteReference w:id="17"/>
      </w:r>
      <w:r>
        <w:rPr>
          <w:rFonts w:hint="eastAsia" w:ascii="Times New Roman" w:hAnsi="Times New Roman"/>
          <w:sz w:val="24"/>
          <w:lang w:val="en-US" w:eastAsia="zh-CN"/>
        </w:rPr>
        <w:t>中女方及父母均参与诉讼。李某1李某2与贺某秦某婚约财产纠纷</w:t>
      </w:r>
      <w:r>
        <w:rPr>
          <w:rStyle w:val="24"/>
          <w:rFonts w:hint="eastAsia" w:ascii="Times New Roman" w:hAnsi="Times New Roman"/>
          <w:sz w:val="24"/>
          <w:lang w:val="en-US" w:eastAsia="zh-CN"/>
        </w:rPr>
        <w:footnoteReference w:id="18"/>
      </w:r>
      <w:r>
        <w:rPr>
          <w:rFonts w:hint="eastAsia" w:ascii="Times New Roman" w:hAnsi="Times New Roman"/>
          <w:sz w:val="24"/>
          <w:lang w:val="en-US" w:eastAsia="zh-CN"/>
        </w:rPr>
        <w:t>和谢某甲谢某乙袁某乙袁某甲罗某陈某婚约财产纠纷</w:t>
      </w:r>
      <w:r>
        <w:rPr>
          <w:rStyle w:val="24"/>
          <w:rFonts w:hint="eastAsia" w:ascii="Times New Roman" w:hAnsi="Times New Roman"/>
          <w:sz w:val="24"/>
          <w:lang w:val="en-US" w:eastAsia="zh-CN"/>
        </w:rPr>
        <w:footnoteReference w:id="19"/>
      </w:r>
      <w:r>
        <w:rPr>
          <w:rFonts w:hint="eastAsia" w:ascii="Times New Roman" w:hAnsi="Times New Roman"/>
          <w:sz w:val="24"/>
          <w:lang w:val="en-US" w:eastAsia="zh-CN"/>
        </w:rPr>
        <w:t>中男方请求法院将媒人当做被告和第三人参与诉讼。</w:t>
      </w:r>
    </w:p>
    <w:p>
      <w:pPr>
        <w:spacing w:before="480" w:after="120" w:line="400" w:lineRule="exact"/>
        <w:ind w:firstLine="562" w:firstLineChars="200"/>
        <w:outlineLvl w:val="1"/>
        <w:rPr>
          <w:rFonts w:hint="eastAsia" w:ascii="Times New Roman" w:hAnsi="Times New Roman" w:eastAsia="宋体" w:cs="Times New Roman"/>
          <w:b/>
          <w:sz w:val="28"/>
          <w:szCs w:val="30"/>
          <w:shd w:val="clear" w:color="auto" w:fill="FFFFFF"/>
          <w:lang w:val="en-US" w:eastAsia="zh-CN"/>
        </w:rPr>
      </w:pPr>
      <w:bookmarkStart w:id="107" w:name="_Toc9014"/>
      <w:bookmarkStart w:id="108" w:name="_Toc21314"/>
      <w:r>
        <w:rPr>
          <w:rFonts w:hint="eastAsia" w:ascii="Times New Roman" w:hAnsi="Times New Roman" w:eastAsia="宋体" w:cs="Times New Roman"/>
          <w:b/>
          <w:sz w:val="28"/>
          <w:szCs w:val="30"/>
          <w:shd w:val="clear" w:color="auto" w:fill="FFFFFF"/>
        </w:rPr>
        <w:t>（</w:t>
      </w:r>
      <w:r>
        <w:rPr>
          <w:rFonts w:hint="eastAsia" w:ascii="Times New Roman" w:hAnsi="Times New Roman" w:eastAsia="宋体" w:cs="Times New Roman"/>
          <w:b/>
          <w:sz w:val="28"/>
          <w:szCs w:val="30"/>
          <w:shd w:val="clear" w:color="auto" w:fill="FFFFFF"/>
          <w:lang w:val="en-US" w:eastAsia="zh-CN"/>
        </w:rPr>
        <w:t>三</w:t>
      </w:r>
      <w:r>
        <w:rPr>
          <w:rFonts w:hint="eastAsia" w:ascii="Times New Roman" w:hAnsi="Times New Roman" w:eastAsia="宋体" w:cs="Times New Roman"/>
          <w:b/>
          <w:sz w:val="28"/>
          <w:szCs w:val="30"/>
          <w:shd w:val="clear" w:color="auto" w:fill="FFFFFF"/>
        </w:rPr>
        <w:t>）彩礼认定范围</w:t>
      </w:r>
      <w:r>
        <w:rPr>
          <w:rFonts w:hint="eastAsia" w:ascii="Times New Roman" w:hAnsi="Times New Roman" w:cs="Times New Roman"/>
          <w:b/>
          <w:sz w:val="28"/>
          <w:szCs w:val="30"/>
          <w:shd w:val="clear" w:color="auto" w:fill="FFFFFF"/>
          <w:lang w:eastAsia="zh-CN"/>
        </w:rPr>
        <w:t>的</w:t>
      </w:r>
      <w:r>
        <w:rPr>
          <w:rFonts w:hint="eastAsia" w:ascii="Times New Roman" w:hAnsi="Times New Roman" w:eastAsia="宋体" w:cs="Times New Roman"/>
          <w:b/>
          <w:sz w:val="28"/>
          <w:szCs w:val="30"/>
          <w:shd w:val="clear" w:color="auto" w:fill="FFFFFF"/>
        </w:rPr>
        <w:t>差异</w:t>
      </w:r>
      <w:bookmarkEnd w:id="107"/>
      <w:r>
        <w:rPr>
          <w:rFonts w:hint="eastAsia" w:ascii="Times New Roman" w:hAnsi="Times New Roman" w:cs="Times New Roman"/>
          <w:b/>
          <w:sz w:val="28"/>
          <w:szCs w:val="30"/>
          <w:shd w:val="clear" w:color="auto" w:fill="FFFFFF"/>
          <w:lang w:val="en-US" w:eastAsia="zh-CN"/>
        </w:rPr>
        <w:t>性</w:t>
      </w:r>
      <w:bookmarkEnd w:id="108"/>
    </w:p>
    <w:p>
      <w:pPr>
        <w:spacing w:line="400" w:lineRule="exact"/>
        <w:ind w:firstLine="480" w:firstLineChars="200"/>
        <w:rPr>
          <w:rFonts w:hint="eastAsia" w:ascii="Times New Roman" w:hAnsi="Times New Roman"/>
          <w:sz w:val="24"/>
          <w:lang w:val="en-US" w:eastAsia="zh-CN"/>
        </w:rPr>
      </w:pPr>
      <w:r>
        <w:rPr>
          <w:rFonts w:hint="eastAsia" w:ascii="Times New Roman" w:hAnsi="Times New Roman"/>
          <w:sz w:val="24"/>
          <w:lang w:val="en-US" w:eastAsia="zh-CN"/>
        </w:rPr>
        <w:t>湖南各地彩礼习俗不同进而导致彩礼种类不同，男方给予女方的财物哪些部分可以认定为彩礼是裁判的核心与难点，需要法官结合案件具体事实和相关法律规定来解决纠纷，《彩礼适用规定》第三条对彩礼的范围进行反向列举，明确了认定彩礼的裁判规则和判断方法。</w:t>
      </w:r>
    </w:p>
    <w:p>
      <w:pPr>
        <w:spacing w:line="400" w:lineRule="exact"/>
        <w:ind w:firstLine="480" w:firstLineChars="200"/>
        <w:rPr>
          <w:rFonts w:hint="default" w:ascii="Times New Roman" w:hAnsi="Times New Roman"/>
          <w:sz w:val="24"/>
          <w:lang w:val="en-US" w:eastAsia="zh-CN"/>
        </w:rPr>
      </w:pPr>
      <w:r>
        <w:rPr>
          <w:rFonts w:hint="eastAsia" w:ascii="Times New Roman" w:hAnsi="Times New Roman"/>
          <w:sz w:val="24"/>
          <w:lang w:val="en-US" w:eastAsia="zh-CN"/>
        </w:rPr>
        <w:t>从样本案例来看，各地法院对于男方明确为彩礼的大额给付及三金在实务中不存在争议，但其他款项的具体适用中仍存在显著分歧。对于第三条中“价值不大”各法院存在分歧，如刘某与李某一审民事判决书</w:t>
      </w:r>
      <w:r>
        <w:rPr>
          <w:rStyle w:val="24"/>
          <w:rFonts w:hint="eastAsia" w:ascii="Times New Roman" w:hAnsi="Times New Roman"/>
          <w:sz w:val="24"/>
          <w:lang w:val="en-US" w:eastAsia="zh-CN"/>
        </w:rPr>
        <w:footnoteReference w:id="20"/>
      </w:r>
      <w:r>
        <w:rPr>
          <w:rFonts w:hint="eastAsia" w:ascii="Times New Roman" w:hAnsi="Times New Roman"/>
          <w:sz w:val="24"/>
          <w:lang w:val="en-US" w:eastAsia="zh-CN"/>
        </w:rPr>
        <w:t>中法官结合岳阳地区的收入水平及双方的经济收入水平将原、被告互相转账的款项单笔金额未超过10,000元或在特殊日期的转账金额认定为赠与或恋爱期间的共同消费。在彭某孟某婚约财产纠纷</w:t>
      </w:r>
      <w:r>
        <w:rPr>
          <w:rStyle w:val="24"/>
          <w:rFonts w:hint="eastAsia" w:ascii="Times New Roman" w:hAnsi="Times New Roman"/>
          <w:sz w:val="24"/>
          <w:lang w:val="en-US" w:eastAsia="zh-CN"/>
        </w:rPr>
        <w:footnoteReference w:id="21"/>
      </w:r>
      <w:r>
        <w:rPr>
          <w:rFonts w:hint="eastAsia" w:ascii="Times New Roman" w:hAnsi="Times New Roman"/>
          <w:sz w:val="24"/>
          <w:lang w:val="en-US" w:eastAsia="zh-CN"/>
        </w:rPr>
        <w:t>中法官将十笔款项在1000元以上认定为彩礼，二者都是在恋爱期间的赠与且未办理结婚登记手续。</w:t>
      </w:r>
    </w:p>
    <w:p>
      <w:pPr>
        <w:numPr>
          <w:ilvl w:val="0"/>
          <w:numId w:val="0"/>
        </w:numPr>
        <w:spacing w:line="400" w:lineRule="exact"/>
        <w:ind w:firstLine="480" w:firstLineChars="200"/>
        <w:rPr>
          <w:rFonts w:hint="default" w:ascii="Times New Roman" w:hAnsi="Times New Roman" w:cs="Times New Roman"/>
          <w:kern w:val="2"/>
          <w:sz w:val="24"/>
          <w:szCs w:val="24"/>
          <w:lang w:val="en-US" w:eastAsia="zh-CN" w:bidi="ar-SA"/>
        </w:rPr>
      </w:pPr>
      <w:r>
        <w:rPr>
          <w:rFonts w:hint="eastAsia" w:ascii="Times New Roman" w:hAnsi="Times New Roman" w:cs="Times New Roman"/>
          <w:kern w:val="2"/>
          <w:sz w:val="24"/>
          <w:szCs w:val="24"/>
          <w:lang w:val="en-US" w:eastAsia="zh-CN" w:bidi="ar-SA"/>
        </w:rPr>
        <w:t>对于见面礼、订婚相关费用等同样存在同案不同判的情况，如周某与稂某一审民事判决书</w:t>
      </w:r>
      <w:r>
        <w:rPr>
          <w:rStyle w:val="24"/>
          <w:rFonts w:hint="eastAsia" w:ascii="Times New Roman" w:hAnsi="Times New Roman" w:cs="Times New Roman"/>
          <w:kern w:val="2"/>
          <w:sz w:val="24"/>
          <w:szCs w:val="24"/>
          <w:lang w:val="en-US" w:eastAsia="zh-CN" w:bidi="ar-SA"/>
        </w:rPr>
        <w:footnoteReference w:id="22"/>
      </w:r>
      <w:r>
        <w:rPr>
          <w:rFonts w:hint="eastAsia" w:ascii="Times New Roman" w:hAnsi="Times New Roman" w:cs="Times New Roman"/>
          <w:kern w:val="2"/>
          <w:sz w:val="24"/>
          <w:szCs w:val="24"/>
          <w:lang w:val="en-US" w:eastAsia="zh-CN" w:bidi="ar-SA"/>
        </w:rPr>
        <w:t>中，法院将见面礼、房屋装修款、金器、搬家礼金、婚纱照费用均认定为彩礼。在周某甲周某乙蒋某袁某王某婚约财产纠纷</w:t>
      </w:r>
      <w:r>
        <w:rPr>
          <w:rStyle w:val="24"/>
          <w:rFonts w:hint="eastAsia" w:ascii="Times New Roman" w:hAnsi="Times New Roman" w:cs="Times New Roman"/>
          <w:kern w:val="2"/>
          <w:sz w:val="24"/>
          <w:szCs w:val="24"/>
          <w:lang w:val="en-US" w:eastAsia="zh-CN" w:bidi="ar-SA"/>
        </w:rPr>
        <w:footnoteReference w:id="23"/>
      </w:r>
      <w:r>
        <w:rPr>
          <w:rFonts w:hint="eastAsia" w:ascii="Times New Roman" w:hAnsi="Times New Roman" w:cs="Times New Roman"/>
          <w:kern w:val="2"/>
          <w:sz w:val="24"/>
          <w:szCs w:val="24"/>
          <w:lang w:val="en-US" w:eastAsia="zh-CN" w:bidi="ar-SA"/>
        </w:rPr>
        <w:t>中，法院将给亲属的红包、改口费（性质类似见面礼）、婚纱照费用不认定为彩礼。</w:t>
      </w:r>
    </w:p>
    <w:p>
      <w:pPr>
        <w:numPr>
          <w:ilvl w:val="0"/>
          <w:numId w:val="0"/>
        </w:numPr>
        <w:spacing w:line="400" w:lineRule="exact"/>
        <w:ind w:firstLine="480" w:firstLineChars="200"/>
        <w:rPr>
          <w:rFonts w:hint="default" w:ascii="Times New Roman" w:hAnsi="Times New Roman" w:cs="Times New Roman"/>
          <w:kern w:val="2"/>
          <w:sz w:val="24"/>
          <w:szCs w:val="24"/>
          <w:lang w:val="en-US" w:eastAsia="zh-CN" w:bidi="ar-SA"/>
        </w:rPr>
      </w:pPr>
      <w:r>
        <w:rPr>
          <w:rFonts w:hint="eastAsia" w:ascii="Times New Roman" w:hAnsi="Times New Roman" w:cs="Times New Roman"/>
          <w:kern w:val="2"/>
          <w:sz w:val="24"/>
          <w:szCs w:val="24"/>
          <w:lang w:val="en-US" w:eastAsia="zh-CN" w:bidi="ar-SA"/>
        </w:rPr>
        <w:t>作为地方性民间规范的重要体现形式，彩礼所包含的要素、种类、评判标准等各方面在不同的地方存在差异。在司法实践中，各个法院对于涉彩礼纠纷的处理要全面考虑当地风俗习惯，并且必须严格按照当地风俗习惯来做出裁判，这是裁判规则地方化的表现。就“价值不大”或者“日常消费性支出”而言，其界定不清的问题在不同的审判主体之间会存在主观上的差异，进而造成同一案件在不同审判主体面前作出不同的裁判结论。</w:t>
      </w:r>
    </w:p>
    <w:p>
      <w:pPr>
        <w:spacing w:before="480" w:after="120" w:line="400" w:lineRule="exact"/>
        <w:ind w:firstLine="562" w:firstLineChars="200"/>
        <w:outlineLvl w:val="1"/>
        <w:rPr>
          <w:rFonts w:hint="default" w:ascii="Times New Roman" w:hAnsi="Times New Roman" w:eastAsia="宋体" w:cs="Times New Roman"/>
          <w:b/>
          <w:sz w:val="28"/>
          <w:szCs w:val="30"/>
          <w:shd w:val="clear" w:color="auto" w:fill="FFFFFF"/>
          <w:lang w:val="en-US" w:eastAsia="zh-CN"/>
        </w:rPr>
      </w:pPr>
      <w:bookmarkStart w:id="109" w:name="_Toc903"/>
      <w:bookmarkStart w:id="110" w:name="_Toc15055"/>
      <w:r>
        <w:rPr>
          <w:rFonts w:hint="eastAsia" w:ascii="Times New Roman" w:hAnsi="Times New Roman" w:eastAsia="宋体" w:cs="Times New Roman"/>
          <w:b/>
          <w:sz w:val="28"/>
          <w:szCs w:val="30"/>
          <w:shd w:val="clear" w:color="auto" w:fill="FFFFFF"/>
        </w:rPr>
        <w:t>（</w:t>
      </w:r>
      <w:r>
        <w:rPr>
          <w:rFonts w:hint="eastAsia" w:ascii="Times New Roman" w:hAnsi="Times New Roman" w:eastAsia="宋体" w:cs="Times New Roman"/>
          <w:b/>
          <w:sz w:val="28"/>
          <w:szCs w:val="30"/>
          <w:shd w:val="clear" w:color="auto" w:fill="FFFFFF"/>
          <w:lang w:val="en-US" w:eastAsia="zh-CN"/>
        </w:rPr>
        <w:t>四</w:t>
      </w:r>
      <w:r>
        <w:rPr>
          <w:rFonts w:hint="eastAsia" w:ascii="Times New Roman" w:hAnsi="Times New Roman" w:eastAsia="宋体" w:cs="Times New Roman"/>
          <w:b/>
          <w:sz w:val="28"/>
          <w:szCs w:val="30"/>
          <w:shd w:val="clear" w:color="auto" w:fill="FFFFFF"/>
        </w:rPr>
        <w:t>）</w:t>
      </w:r>
      <w:r>
        <w:rPr>
          <w:rFonts w:hint="eastAsia" w:ascii="Times New Roman" w:hAnsi="Times New Roman" w:eastAsia="宋体" w:cs="Times New Roman"/>
          <w:b/>
          <w:sz w:val="28"/>
          <w:szCs w:val="30"/>
          <w:shd w:val="clear" w:color="auto" w:fill="FFFFFF"/>
          <w:lang w:val="en-US" w:eastAsia="zh-CN"/>
        </w:rPr>
        <w:t>返还比例参考因素</w:t>
      </w:r>
      <w:bookmarkEnd w:id="109"/>
      <w:r>
        <w:rPr>
          <w:rFonts w:hint="eastAsia" w:ascii="Times New Roman" w:hAnsi="Times New Roman" w:cs="Times New Roman"/>
          <w:b/>
          <w:sz w:val="28"/>
          <w:szCs w:val="30"/>
          <w:shd w:val="clear" w:color="auto" w:fill="FFFFFF"/>
          <w:lang w:val="en-US" w:eastAsia="zh-CN"/>
        </w:rPr>
        <w:t>适用的复杂性</w:t>
      </w:r>
      <w:bookmarkEnd w:id="110"/>
    </w:p>
    <w:p>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婚约财产纠纷案件中彩礼返还的合法性以及具体的数额认定，属于司法实践中比较突出的问题。自从最高人民法院发布了《彩礼适用规定》之后，全国各地的法院对于此类案件的处理也渐渐形成了较为完整的裁判规则体系。根据该解释第五条、六条的规定，在双方未办理结婚登记或者短暂同居、婚姻关系存续期间很短且彩礼支付数额较大时，法院应结合诸多因素来确定彩礼返还的比例范围。</w:t>
      </w:r>
    </w:p>
    <w:p>
      <w:pPr>
        <w:spacing w:line="400" w:lineRule="exact"/>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rPr>
        <w:t>共同生活情况是影响返还比例最核心、权重最高的因素。其内涵不仅指物理空间上的同居，更强调双方形成稳定亲密关系、相互扶持的实质状态。本文选取了78个案例样本，把</w:t>
      </w:r>
      <w:r>
        <w:rPr>
          <w:rFonts w:hint="eastAsia" w:ascii="Times New Roman" w:hAnsi="Times New Roman" w:cs="Times New Roman"/>
          <w:sz w:val="24"/>
          <w:lang w:val="en-US" w:eastAsia="zh-CN"/>
        </w:rPr>
        <w:t>当事人</w:t>
      </w:r>
      <w:r>
        <w:rPr>
          <w:rFonts w:hint="eastAsia" w:ascii="Times New Roman" w:hAnsi="Times New Roman" w:eastAsia="宋体" w:cs="Times New Roman"/>
          <w:sz w:val="24"/>
        </w:rPr>
        <w:t>共同生活时</w:t>
      </w:r>
      <w:r>
        <w:rPr>
          <w:rFonts w:hint="eastAsia" w:ascii="Times New Roman" w:hAnsi="Times New Roman" w:cs="Times New Roman"/>
          <w:sz w:val="24"/>
          <w:lang w:val="en-US" w:eastAsia="zh-CN"/>
        </w:rPr>
        <w:t>长</w:t>
      </w:r>
      <w:r>
        <w:rPr>
          <w:rFonts w:hint="eastAsia" w:ascii="Times New Roman" w:hAnsi="Times New Roman" w:eastAsia="宋体" w:cs="Times New Roman"/>
          <w:sz w:val="24"/>
        </w:rPr>
        <w:t>以六个月为单位分段，计算出各个时段彩礼返还金额的平均值，来探究共同生活时长和彩礼返还额度之间的内在联系（具体数据见表2）。</w:t>
      </w:r>
    </w:p>
    <w:p>
      <w:pPr>
        <w:keepNext w:val="0"/>
        <w:keepLines w:val="0"/>
        <w:pageBreakBefore w:val="0"/>
        <w:widowControl w:val="0"/>
        <w:kinsoku/>
        <w:wordWrap/>
        <w:overflowPunct/>
        <w:topLinePunct w:val="0"/>
        <w:autoSpaceDE/>
        <w:autoSpaceDN/>
        <w:bidi w:val="0"/>
        <w:adjustRightInd/>
        <w:snapToGrid/>
        <w:spacing w:before="240" w:after="120" w:line="240" w:lineRule="auto"/>
        <w:ind w:firstLine="422" w:firstLineChars="200"/>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表2共同生活时长对返还比例的影响情况统计</w:t>
      </w:r>
    </w:p>
    <w:tbl>
      <w:tblPr>
        <w:tblStyle w:val="20"/>
        <w:tblW w:w="8626"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68"/>
        <w:gridCol w:w="1466"/>
        <w:gridCol w:w="1125"/>
        <w:gridCol w:w="1867"/>
      </w:tblGrid>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4168" w:type="dxa"/>
            <w:tcBorders>
              <w:top w:val="single" w:color="000000" w:sz="8" w:space="0"/>
              <w:left w:val="nil"/>
              <w:bottom w:val="single" w:color="000000" w:sz="8" w:space="0"/>
              <w:right w:val="nil"/>
            </w:tcBorders>
            <w:noWrap w:val="0"/>
            <w:vAlign w:val="center"/>
          </w:tcPr>
          <w:p>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宋体" w:cs="Arial"/>
                <w:b/>
                <w:bCs/>
                <w:color w:val="000000"/>
                <w:kern w:val="0"/>
                <w:szCs w:val="21"/>
                <w:lang w:val="en-US" w:eastAsia="zh-CN"/>
              </w:rPr>
            </w:pPr>
            <w:bookmarkStart w:id="111" w:name="OLE_LINK2"/>
            <w:r>
              <w:rPr>
                <w:rFonts w:hint="eastAsia" w:ascii="Times New Roman" w:hAnsi="Times New Roman" w:eastAsia="宋体" w:cs="Arial"/>
                <w:b/>
                <w:bCs/>
                <w:color w:val="000000"/>
                <w:kern w:val="0"/>
                <w:szCs w:val="21"/>
                <w:lang w:val="en-US" w:eastAsia="zh-CN"/>
              </w:rPr>
              <w:t>共同生活时长</w:t>
            </w:r>
            <w:bookmarkEnd w:id="111"/>
          </w:p>
        </w:tc>
        <w:tc>
          <w:tcPr>
            <w:tcW w:w="1466" w:type="dxa"/>
            <w:tcBorders>
              <w:top w:val="single" w:color="000000" w:sz="8" w:space="0"/>
              <w:bottom w:val="single" w:color="000000" w:sz="8" w:space="0"/>
              <w:right w:val="nil"/>
            </w:tcBorders>
            <w:noWrap w:val="0"/>
            <w:vAlign w:val="top"/>
          </w:tcPr>
          <w:p>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宋体" w:cs="Arial"/>
                <w:b/>
                <w:bCs/>
                <w:color w:val="000000"/>
                <w:kern w:val="0"/>
                <w:szCs w:val="21"/>
                <w:lang w:val="en-US" w:eastAsia="zh-CN"/>
              </w:rPr>
            </w:pPr>
            <w:r>
              <w:rPr>
                <w:rFonts w:hint="eastAsia" w:ascii="Times New Roman" w:hAnsi="Times New Roman" w:eastAsia="宋体" w:cs="Arial"/>
                <w:b/>
                <w:bCs/>
                <w:color w:val="000000"/>
                <w:kern w:val="0"/>
                <w:szCs w:val="21"/>
                <w:lang w:val="en-US" w:eastAsia="zh-CN"/>
              </w:rPr>
              <w:t>案件数量</w:t>
            </w:r>
          </w:p>
        </w:tc>
        <w:tc>
          <w:tcPr>
            <w:tcW w:w="1125" w:type="dxa"/>
            <w:tcBorders>
              <w:top w:val="single" w:color="000000" w:sz="8" w:space="0"/>
              <w:bottom w:val="single" w:color="000000" w:sz="8" w:space="0"/>
              <w:right w:val="nil"/>
            </w:tcBorders>
            <w:noWrap w:val="0"/>
            <w:vAlign w:val="top"/>
          </w:tcPr>
          <w:p>
            <w:pPr>
              <w:keepNext w:val="0"/>
              <w:keepLines w:val="0"/>
              <w:widowControl/>
              <w:suppressLineNumbers w:val="0"/>
              <w:spacing w:before="0" w:beforeAutospacing="0" w:after="0" w:afterAutospacing="0" w:line="360" w:lineRule="auto"/>
              <w:ind w:left="0" w:right="0"/>
              <w:jc w:val="center"/>
              <w:rPr>
                <w:rFonts w:hint="eastAsia" w:ascii="Times New Roman" w:hAnsi="Times New Roman" w:eastAsia="宋体" w:cs="Arial"/>
                <w:b/>
                <w:bCs/>
                <w:color w:val="000000"/>
                <w:kern w:val="0"/>
                <w:szCs w:val="21"/>
                <w:lang w:val="en-US" w:eastAsia="zh-CN"/>
              </w:rPr>
            </w:pPr>
            <w:r>
              <w:rPr>
                <w:rFonts w:hint="eastAsia" w:ascii="Times New Roman" w:hAnsi="Times New Roman" w:cs="Arial"/>
                <w:b/>
                <w:bCs/>
                <w:color w:val="000000"/>
                <w:kern w:val="0"/>
                <w:szCs w:val="21"/>
                <w:lang w:val="en-US" w:eastAsia="zh-CN"/>
              </w:rPr>
              <w:t>平均</w:t>
            </w:r>
            <w:r>
              <w:rPr>
                <w:rFonts w:hint="eastAsia" w:ascii="Times New Roman" w:hAnsi="Times New Roman" w:eastAsia="宋体" w:cs="Arial"/>
                <w:b/>
                <w:bCs/>
                <w:color w:val="000000"/>
                <w:kern w:val="0"/>
                <w:szCs w:val="21"/>
                <w:lang w:val="en-US" w:eastAsia="zh-CN"/>
              </w:rPr>
              <w:t>比例</w:t>
            </w:r>
          </w:p>
        </w:tc>
        <w:tc>
          <w:tcPr>
            <w:tcW w:w="1867" w:type="dxa"/>
            <w:tcBorders>
              <w:top w:val="single" w:color="000000" w:sz="8" w:space="0"/>
              <w:bottom w:val="single" w:color="000000" w:sz="8" w:space="0"/>
              <w:right w:val="nil"/>
            </w:tcBorders>
            <w:noWrap w:val="0"/>
            <w:vAlign w:val="top"/>
          </w:tcPr>
          <w:p>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宋体" w:cs="Arial"/>
                <w:b/>
                <w:bCs/>
                <w:color w:val="000000"/>
                <w:kern w:val="0"/>
                <w:szCs w:val="21"/>
                <w:lang w:val="en-US" w:eastAsia="zh-CN"/>
              </w:rPr>
            </w:pPr>
            <w:r>
              <w:rPr>
                <w:rFonts w:hint="eastAsia" w:ascii="Times New Roman" w:hAnsi="Times New Roman" w:eastAsia="宋体" w:cs="Arial"/>
                <w:b/>
                <w:bCs/>
                <w:color w:val="000000"/>
                <w:kern w:val="0"/>
                <w:szCs w:val="21"/>
                <w:lang w:val="en-US" w:eastAsia="zh-CN"/>
              </w:rPr>
              <w:t>返还比例</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4168" w:type="dxa"/>
            <w:tcBorders>
              <w:top w:val="single" w:color="000000" w:sz="8"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bookmarkStart w:id="112" w:name="OLE_LINK5"/>
            <w:r>
              <w:rPr>
                <w:rFonts w:hint="default" w:ascii="Times New Roman" w:hAnsi="Times New Roman" w:eastAsia="宋体" w:cs="Arial"/>
                <w:color w:val="000000"/>
                <w:kern w:val="0"/>
                <w:szCs w:val="21"/>
                <w:lang w:val="en-US" w:eastAsia="zh-CN"/>
              </w:rPr>
              <w:t>未共同生活或极短期（&lt;1个月）</w:t>
            </w:r>
            <w:bookmarkEnd w:id="112"/>
          </w:p>
        </w:tc>
        <w:tc>
          <w:tcPr>
            <w:tcW w:w="1466" w:type="dxa"/>
            <w:tcBorders>
              <w:top w:val="single" w:color="000000" w:sz="8" w:space="0"/>
            </w:tcBorders>
            <w:noWrap w:val="0"/>
            <w:tcMar>
              <w:right w:w="397"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eastAsia="宋体" w:cs="Arial"/>
                <w:color w:val="000000"/>
                <w:kern w:val="0"/>
                <w:szCs w:val="21"/>
                <w:lang w:val="en-US" w:eastAsia="zh-CN"/>
              </w:rPr>
              <w:t>26</w:t>
            </w:r>
            <w:r>
              <w:rPr>
                <w:rFonts w:hint="eastAsia" w:ascii="Times New Roman" w:hAnsi="Times New Roman" w:cs="Arial"/>
                <w:color w:val="000000"/>
                <w:kern w:val="0"/>
                <w:szCs w:val="21"/>
                <w:lang w:val="en-US" w:eastAsia="zh-CN"/>
              </w:rPr>
              <w:t>个</w:t>
            </w:r>
          </w:p>
        </w:tc>
        <w:tc>
          <w:tcPr>
            <w:tcW w:w="1125" w:type="dxa"/>
            <w:tcBorders>
              <w:top w:val="single" w:color="000000" w:sz="8" w:space="0"/>
            </w:tcBorders>
            <w:noWrap w:val="0"/>
            <w:tcMar>
              <w:right w:w="454"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eastAsia="宋体" w:cs="Arial"/>
                <w:color w:val="000000"/>
                <w:kern w:val="0"/>
                <w:szCs w:val="21"/>
                <w:lang w:val="en-US" w:eastAsia="zh-CN"/>
              </w:rPr>
              <w:t>72%</w:t>
            </w:r>
          </w:p>
        </w:tc>
        <w:tc>
          <w:tcPr>
            <w:tcW w:w="1867" w:type="dxa"/>
            <w:tcBorders>
              <w:top w:val="single" w:color="000000" w:sz="8" w:space="0"/>
            </w:tcBorders>
            <w:noWrap w:val="0"/>
            <w:tcMar>
              <w:right w:w="454"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cs="Arial"/>
                <w:color w:val="000000"/>
                <w:kern w:val="0"/>
                <w:szCs w:val="21"/>
                <w:lang w:val="en-US" w:eastAsia="zh-CN"/>
              </w:rPr>
              <w:t>0</w:t>
            </w:r>
            <w:r>
              <w:rPr>
                <w:rFonts w:hint="eastAsia" w:ascii="Times New Roman" w:hAnsi="Times New Roman" w:eastAsia="宋体" w:cs="Arial"/>
                <w:color w:val="000000"/>
                <w:kern w:val="0"/>
                <w:szCs w:val="21"/>
                <w:lang w:val="en-US" w:eastAsia="zh-CN"/>
              </w:rPr>
              <w:t>%</w:t>
            </w:r>
            <w:r>
              <w:rPr>
                <w:rFonts w:hint="eastAsia" w:ascii="Times New Roman" w:hAnsi="Times New Roman" w:cs="Arial"/>
                <w:color w:val="000000"/>
                <w:kern w:val="0"/>
                <w:szCs w:val="21"/>
                <w:lang w:val="en-US" w:eastAsia="zh-CN"/>
              </w:rPr>
              <w:t>-</w:t>
            </w:r>
            <w:r>
              <w:rPr>
                <w:rFonts w:hint="eastAsia" w:ascii="Times New Roman" w:hAnsi="Times New Roman" w:eastAsia="宋体" w:cs="Arial"/>
                <w:color w:val="000000"/>
                <w:kern w:val="0"/>
                <w:szCs w:val="21"/>
                <w:lang w:val="en-US" w:eastAsia="zh-CN"/>
              </w:rPr>
              <w:t>100%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4168" w:type="dxa"/>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bookmarkStart w:id="113" w:name="OLE_LINK25"/>
            <w:r>
              <w:rPr>
                <w:rFonts w:hint="default" w:ascii="Times New Roman" w:hAnsi="Times New Roman" w:eastAsia="宋体" w:cs="Arial"/>
                <w:color w:val="000000"/>
                <w:kern w:val="0"/>
                <w:szCs w:val="21"/>
                <w:lang w:val="en-US" w:eastAsia="zh-CN"/>
              </w:rPr>
              <w:t>短期共同生活（1个月至1年）</w:t>
            </w:r>
            <w:bookmarkEnd w:id="113"/>
          </w:p>
        </w:tc>
        <w:tc>
          <w:tcPr>
            <w:tcW w:w="1466" w:type="dxa"/>
            <w:noWrap w:val="0"/>
            <w:tcMar>
              <w:right w:w="397"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eastAsia="宋体" w:cs="Arial"/>
                <w:color w:val="000000"/>
                <w:kern w:val="0"/>
                <w:szCs w:val="21"/>
                <w:lang w:val="en-US" w:eastAsia="zh-CN"/>
              </w:rPr>
              <w:t>24</w:t>
            </w:r>
            <w:r>
              <w:rPr>
                <w:rFonts w:hint="eastAsia" w:ascii="Times New Roman" w:hAnsi="Times New Roman" w:cs="Arial"/>
                <w:color w:val="000000"/>
                <w:kern w:val="0"/>
                <w:szCs w:val="21"/>
                <w:lang w:val="en-US" w:eastAsia="zh-CN"/>
              </w:rPr>
              <w:t>个</w:t>
            </w:r>
          </w:p>
        </w:tc>
        <w:tc>
          <w:tcPr>
            <w:tcW w:w="1125" w:type="dxa"/>
            <w:noWrap w:val="0"/>
            <w:tcMar>
              <w:right w:w="454"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eastAsia="宋体" w:cs="Arial"/>
                <w:color w:val="000000"/>
                <w:kern w:val="0"/>
                <w:szCs w:val="21"/>
                <w:lang w:val="en-US" w:eastAsia="zh-CN"/>
              </w:rPr>
              <w:t>66%</w:t>
            </w:r>
          </w:p>
        </w:tc>
        <w:tc>
          <w:tcPr>
            <w:tcW w:w="1867" w:type="dxa"/>
            <w:noWrap w:val="0"/>
            <w:tcMar>
              <w:right w:w="454"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cs="Arial"/>
                <w:color w:val="000000"/>
                <w:kern w:val="0"/>
                <w:szCs w:val="21"/>
                <w:lang w:val="en-US" w:eastAsia="zh-CN"/>
              </w:rPr>
              <w:t>0</w:t>
            </w:r>
            <w:r>
              <w:rPr>
                <w:rFonts w:hint="eastAsia" w:ascii="Times New Roman" w:hAnsi="Times New Roman" w:eastAsia="宋体" w:cs="Arial"/>
                <w:color w:val="000000"/>
                <w:kern w:val="0"/>
                <w:szCs w:val="21"/>
                <w:lang w:val="en-US" w:eastAsia="zh-CN"/>
              </w:rPr>
              <w:t>%</w:t>
            </w:r>
            <w:r>
              <w:rPr>
                <w:rFonts w:hint="eastAsia" w:ascii="Times New Roman" w:hAnsi="Times New Roman" w:cs="Arial"/>
                <w:color w:val="000000"/>
                <w:kern w:val="0"/>
                <w:szCs w:val="21"/>
                <w:lang w:val="en-US" w:eastAsia="zh-CN"/>
              </w:rPr>
              <w:t>-100</w:t>
            </w:r>
            <w:r>
              <w:rPr>
                <w:rFonts w:hint="eastAsia" w:ascii="Times New Roman" w:hAnsi="Times New Roman" w:eastAsia="宋体" w:cs="Arial"/>
                <w:color w:val="000000"/>
                <w:kern w:val="0"/>
                <w:szCs w:val="21"/>
                <w:lang w:val="en-US" w:eastAsia="zh-CN"/>
              </w:rPr>
              <w:t>%</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4168" w:type="dxa"/>
            <w:noWrap w:val="0"/>
            <w:vAlign w:val="center"/>
          </w:tcPr>
          <w:p>
            <w:pPr>
              <w:keepNext w:val="0"/>
              <w:keepLines w:val="0"/>
              <w:widowControl/>
              <w:suppressLineNumbers w:val="0"/>
              <w:spacing w:before="0" w:beforeAutospacing="0" w:after="0" w:afterAutospacing="0"/>
              <w:ind w:left="0" w:right="0"/>
              <w:jc w:val="center"/>
              <w:rPr>
                <w:rFonts w:hint="eastAsia" w:ascii="Times New Roman" w:hAnsi="Times New Roman" w:eastAsia="宋体" w:cs="Arial"/>
                <w:color w:val="000000"/>
                <w:kern w:val="0"/>
                <w:szCs w:val="21"/>
                <w:lang w:val="en-US" w:eastAsia="zh-CN"/>
              </w:rPr>
            </w:pPr>
            <w:bookmarkStart w:id="114" w:name="OLE_LINK17"/>
            <w:r>
              <w:rPr>
                <w:rFonts w:hint="eastAsia" w:ascii="Times New Roman" w:hAnsi="Times New Roman" w:eastAsia="宋体" w:cs="Arial"/>
                <w:color w:val="000000"/>
                <w:kern w:val="0"/>
                <w:szCs w:val="21"/>
                <w:lang w:val="en-US" w:eastAsia="zh-CN"/>
              </w:rPr>
              <w:t>中长期共同生活（1年至3年）</w:t>
            </w:r>
            <w:bookmarkEnd w:id="114"/>
          </w:p>
        </w:tc>
        <w:tc>
          <w:tcPr>
            <w:tcW w:w="1466" w:type="dxa"/>
            <w:noWrap w:val="0"/>
            <w:tcMar>
              <w:right w:w="397"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eastAsia="宋体" w:cs="Arial"/>
                <w:color w:val="000000"/>
                <w:kern w:val="0"/>
                <w:szCs w:val="21"/>
                <w:lang w:val="en-US" w:eastAsia="zh-CN"/>
              </w:rPr>
              <w:t>2</w:t>
            </w:r>
            <w:r>
              <w:rPr>
                <w:rFonts w:hint="eastAsia" w:ascii="Times New Roman" w:hAnsi="Times New Roman" w:cs="Arial"/>
                <w:color w:val="000000"/>
                <w:kern w:val="0"/>
                <w:szCs w:val="21"/>
                <w:lang w:val="en-US" w:eastAsia="zh-CN"/>
              </w:rPr>
              <w:t>5个</w:t>
            </w:r>
          </w:p>
        </w:tc>
        <w:tc>
          <w:tcPr>
            <w:tcW w:w="1125" w:type="dxa"/>
            <w:noWrap w:val="0"/>
            <w:tcMar>
              <w:right w:w="454"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eastAsia="宋体" w:cs="Arial"/>
                <w:color w:val="000000"/>
                <w:kern w:val="0"/>
                <w:szCs w:val="21"/>
                <w:lang w:val="en-US" w:eastAsia="zh-CN"/>
              </w:rPr>
              <w:t>45%</w:t>
            </w:r>
          </w:p>
        </w:tc>
        <w:tc>
          <w:tcPr>
            <w:tcW w:w="1867" w:type="dxa"/>
            <w:noWrap w:val="0"/>
            <w:tcMar>
              <w:right w:w="454"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cs="Arial"/>
                <w:color w:val="000000"/>
                <w:kern w:val="0"/>
                <w:szCs w:val="21"/>
                <w:lang w:val="en-US" w:eastAsia="zh-CN"/>
              </w:rPr>
              <w:t>0</w:t>
            </w:r>
            <w:r>
              <w:rPr>
                <w:rFonts w:hint="eastAsia" w:ascii="Times New Roman" w:hAnsi="Times New Roman" w:eastAsia="宋体" w:cs="Arial"/>
                <w:color w:val="000000"/>
                <w:kern w:val="0"/>
                <w:szCs w:val="21"/>
                <w:lang w:val="en-US" w:eastAsia="zh-CN"/>
              </w:rPr>
              <w:t>%</w:t>
            </w:r>
            <w:r>
              <w:rPr>
                <w:rFonts w:hint="eastAsia" w:ascii="Times New Roman" w:hAnsi="Times New Roman" w:cs="Arial"/>
                <w:color w:val="000000"/>
                <w:kern w:val="0"/>
                <w:szCs w:val="21"/>
                <w:lang w:val="en-US" w:eastAsia="zh-CN"/>
              </w:rPr>
              <w:t>-</w:t>
            </w:r>
            <w:r>
              <w:rPr>
                <w:rFonts w:hint="eastAsia" w:ascii="Times New Roman" w:hAnsi="Times New Roman" w:eastAsia="宋体" w:cs="Arial"/>
                <w:color w:val="000000"/>
                <w:kern w:val="0"/>
                <w:szCs w:val="21"/>
                <w:lang w:val="en-US" w:eastAsia="zh-CN"/>
              </w:rPr>
              <w:t>95%</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jc w:val="center"/>
        </w:trPr>
        <w:tc>
          <w:tcPr>
            <w:tcW w:w="4168" w:type="dxa"/>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rPr>
            </w:pPr>
            <w:bookmarkStart w:id="115" w:name="OLE_LINK18"/>
            <w:r>
              <w:rPr>
                <w:rFonts w:hint="eastAsia" w:ascii="Times New Roman" w:hAnsi="Times New Roman" w:eastAsia="宋体" w:cs="Arial"/>
                <w:color w:val="000000"/>
                <w:kern w:val="0"/>
                <w:szCs w:val="21"/>
              </w:rPr>
              <w:t>长期稳定共同生活（&gt;3年）</w:t>
            </w:r>
            <w:bookmarkEnd w:id="115"/>
          </w:p>
        </w:tc>
        <w:tc>
          <w:tcPr>
            <w:tcW w:w="1466" w:type="dxa"/>
            <w:noWrap w:val="0"/>
            <w:tcMar>
              <w:right w:w="397"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cs="Arial"/>
                <w:color w:val="000000"/>
                <w:kern w:val="0"/>
                <w:szCs w:val="21"/>
                <w:lang w:val="en-US" w:eastAsia="zh-CN"/>
              </w:rPr>
              <w:t>3个</w:t>
            </w:r>
          </w:p>
        </w:tc>
        <w:tc>
          <w:tcPr>
            <w:tcW w:w="1125" w:type="dxa"/>
            <w:noWrap w:val="0"/>
            <w:tcMar>
              <w:right w:w="454"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eastAsia="宋体" w:cs="Arial"/>
                <w:color w:val="000000"/>
                <w:kern w:val="0"/>
                <w:szCs w:val="21"/>
                <w:lang w:val="en-US" w:eastAsia="zh-CN"/>
              </w:rPr>
              <w:t>35%</w:t>
            </w:r>
          </w:p>
        </w:tc>
        <w:tc>
          <w:tcPr>
            <w:tcW w:w="1867" w:type="dxa"/>
            <w:noWrap w:val="0"/>
            <w:tcMar>
              <w:right w:w="454" w:type="dxa"/>
            </w:tcMar>
            <w:vAlign w:val="top"/>
          </w:tcPr>
          <w:p>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kern w:val="0"/>
                <w:szCs w:val="21"/>
                <w:lang w:val="en-US" w:eastAsia="zh-CN"/>
              </w:rPr>
            </w:pPr>
            <w:r>
              <w:rPr>
                <w:rFonts w:hint="eastAsia" w:ascii="Times New Roman" w:hAnsi="Times New Roman" w:eastAsia="宋体" w:cs="Arial"/>
                <w:color w:val="000000"/>
                <w:kern w:val="0"/>
                <w:szCs w:val="21"/>
                <w:lang w:val="en-US" w:eastAsia="zh-CN"/>
              </w:rPr>
              <w:t>0%</w:t>
            </w:r>
            <w:r>
              <w:rPr>
                <w:rFonts w:hint="eastAsia" w:ascii="Times New Roman" w:hAnsi="Times New Roman" w:cs="Arial"/>
                <w:color w:val="000000"/>
                <w:kern w:val="0"/>
                <w:szCs w:val="21"/>
                <w:lang w:val="en-US" w:eastAsia="zh-CN"/>
              </w:rPr>
              <w:t>-</w:t>
            </w:r>
            <w:r>
              <w:rPr>
                <w:rFonts w:hint="eastAsia" w:ascii="Times New Roman" w:hAnsi="Times New Roman" w:eastAsia="宋体" w:cs="Arial"/>
                <w:color w:val="000000"/>
                <w:kern w:val="0"/>
                <w:szCs w:val="21"/>
                <w:lang w:val="en-US" w:eastAsia="zh-CN"/>
              </w:rPr>
              <w:t>70%</w:t>
            </w:r>
          </w:p>
        </w:tc>
      </w:tr>
    </w:tbl>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default" w:ascii="Times New Roman" w:hAnsi="Times New Roman" w:cs="Times New Roman"/>
          <w:kern w:val="2"/>
          <w:sz w:val="24"/>
          <w:szCs w:val="24"/>
          <w:lang w:val="en-US" w:eastAsia="zh-CN" w:bidi="ar-SA"/>
        </w:rPr>
      </w:pPr>
      <w:r>
        <w:rPr>
          <w:rFonts w:hint="eastAsia" w:ascii="Times New Roman" w:hAnsi="Times New Roman" w:cs="Times New Roman"/>
          <w:kern w:val="2"/>
          <w:sz w:val="24"/>
          <w:szCs w:val="24"/>
          <w:lang w:val="en-US" w:eastAsia="zh-CN" w:bidi="ar-SA"/>
        </w:rPr>
        <w:t>如表2所示，共同生活时长与返还比例的高低没有必然的联系，但是总体上彩礼返还比例还是随着共同生活时长增加。在何某甲陈某甲婚约财产纠纷</w:t>
      </w:r>
      <w:r>
        <w:rPr>
          <w:rStyle w:val="24"/>
          <w:rFonts w:hint="eastAsia" w:ascii="Times New Roman" w:hAnsi="Times New Roman" w:cs="Times New Roman"/>
          <w:kern w:val="2"/>
          <w:sz w:val="24"/>
          <w:szCs w:val="24"/>
          <w:lang w:val="en-US" w:eastAsia="zh-CN" w:bidi="ar-SA"/>
        </w:rPr>
        <w:footnoteReference w:id="24"/>
      </w:r>
      <w:r>
        <w:rPr>
          <w:rFonts w:hint="eastAsia" w:ascii="Times New Roman" w:hAnsi="Times New Roman" w:cs="Times New Roman"/>
          <w:kern w:val="2"/>
          <w:sz w:val="24"/>
          <w:szCs w:val="24"/>
          <w:lang w:val="en-US" w:eastAsia="zh-CN" w:bidi="ar-SA"/>
        </w:rPr>
        <w:t>中双方未登记结婚，但已实际同居生活并育有一子，共同生活时间约3年，法院驳回了男方的诉讼请求，返还比例为零。</w:t>
      </w:r>
      <w:r>
        <w:rPr>
          <w:rFonts w:hint="default" w:ascii="Times New Roman" w:hAnsi="Times New Roman"/>
          <w:sz w:val="24"/>
          <w:lang w:val="en-US" w:eastAsia="zh-CN"/>
        </w:rPr>
        <w:t>瞿某田某雷某婚约财产纠纷</w:t>
      </w:r>
      <w:r>
        <w:rPr>
          <w:rStyle w:val="24"/>
          <w:rFonts w:hint="default" w:ascii="Times New Roman" w:hAnsi="Times New Roman"/>
          <w:sz w:val="24"/>
          <w:lang w:val="en-US" w:eastAsia="zh-CN"/>
        </w:rPr>
        <w:footnoteReference w:id="25"/>
      </w:r>
      <w:r>
        <w:rPr>
          <w:rFonts w:hint="eastAsia" w:ascii="Times New Roman" w:hAnsi="Times New Roman"/>
          <w:sz w:val="24"/>
          <w:lang w:val="en-US" w:eastAsia="zh-CN"/>
        </w:rPr>
        <w:t>中同理，基于双方共同生活两年半直接驳回了男方请求。但这并不绝对，在</w:t>
      </w:r>
      <w:r>
        <w:rPr>
          <w:rFonts w:hint="default" w:ascii="Times New Roman" w:hAnsi="Times New Roman" w:eastAsia="宋体" w:cs="Times New Roman"/>
          <w:kern w:val="2"/>
          <w:sz w:val="24"/>
          <w:szCs w:val="24"/>
          <w:lang w:val="en-US" w:eastAsia="zh-CN" w:bidi="ar-SA"/>
        </w:rPr>
        <w:t>文某肖某甲肖某甲曾某唐某甲唐某乙婚约财产纠纷</w:t>
      </w:r>
      <w:r>
        <w:rPr>
          <w:rStyle w:val="24"/>
          <w:rFonts w:hint="default" w:ascii="Times New Roman" w:hAnsi="Times New Roman" w:eastAsia="宋体" w:cs="Times New Roman"/>
          <w:kern w:val="2"/>
          <w:sz w:val="24"/>
          <w:szCs w:val="24"/>
          <w:lang w:val="en-US" w:eastAsia="zh-CN" w:bidi="ar-SA"/>
        </w:rPr>
        <w:footnoteReference w:id="26"/>
      </w:r>
      <w:r>
        <w:rPr>
          <w:rFonts w:hint="eastAsia" w:ascii="Times New Roman" w:hAnsi="Times New Roman"/>
          <w:sz w:val="24"/>
          <w:lang w:val="en-US" w:eastAsia="zh-CN"/>
        </w:rPr>
        <w:t>中肖某甲与唐某甲共同生活约二十九个月，法院却判决唐某甲返还70000元及全部黄金首饰，仅少了10000元。</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sz w:val="24"/>
          <w:lang w:val="en-US" w:eastAsia="zh-CN"/>
        </w:rPr>
      </w:pPr>
      <w:r>
        <w:rPr>
          <w:rFonts w:hint="default" w:ascii="Times New Roman" w:hAnsi="Times New Roman" w:cs="Times New Roman"/>
          <w:kern w:val="2"/>
          <w:sz w:val="24"/>
          <w:szCs w:val="24"/>
          <w:lang w:val="en-US" w:eastAsia="zh-CN" w:bidi="ar-SA"/>
        </w:rPr>
        <w:t>过错责任原则是民事领域的基本原则，在彩礼返还中同样适用</w:t>
      </w:r>
      <w:r>
        <w:rPr>
          <w:rFonts w:hint="eastAsia" w:ascii="Times New Roman" w:hAnsi="Times New Roman" w:cs="Times New Roman"/>
          <w:kern w:val="2"/>
          <w:sz w:val="24"/>
          <w:szCs w:val="24"/>
          <w:lang w:val="en-US" w:eastAsia="zh-CN" w:bidi="ar-SA"/>
        </w:rPr>
        <w:t>，也是法院判断彩礼返还比例的重要因素</w:t>
      </w:r>
      <w:r>
        <w:rPr>
          <w:rFonts w:hint="default" w:ascii="Times New Roman" w:hAnsi="Times New Roman" w:cs="Times New Roman"/>
          <w:kern w:val="2"/>
          <w:sz w:val="24"/>
          <w:szCs w:val="24"/>
          <w:lang w:val="en-US" w:eastAsia="zh-CN" w:bidi="ar-SA"/>
        </w:rPr>
        <w:t>。</w:t>
      </w:r>
      <w:r>
        <w:rPr>
          <w:rFonts w:hint="eastAsia" w:ascii="Times New Roman" w:hAnsi="Times New Roman" w:cs="Times New Roman"/>
          <w:kern w:val="2"/>
          <w:sz w:val="24"/>
          <w:szCs w:val="24"/>
          <w:lang w:val="en-US" w:eastAsia="zh-CN" w:bidi="ar-SA"/>
        </w:rPr>
        <w:t>在</w:t>
      </w:r>
      <w:r>
        <w:rPr>
          <w:rFonts w:hint="eastAsia" w:ascii="Times New Roman" w:hAnsi="Times New Roman" w:eastAsia="宋体" w:cs="Times New Roman"/>
          <w:kern w:val="2"/>
          <w:sz w:val="24"/>
          <w:szCs w:val="24"/>
          <w:lang w:val="en-US" w:eastAsia="zh-CN" w:bidi="ar-SA"/>
        </w:rPr>
        <w:t>张某与姚某婚约财产纠纷</w:t>
      </w:r>
      <w:r>
        <w:rPr>
          <w:rStyle w:val="24"/>
          <w:rFonts w:hint="eastAsia" w:ascii="Times New Roman" w:hAnsi="Times New Roman" w:eastAsia="宋体" w:cs="Times New Roman"/>
          <w:kern w:val="2"/>
          <w:sz w:val="24"/>
          <w:szCs w:val="24"/>
          <w:lang w:val="en-US" w:eastAsia="zh-CN" w:bidi="ar-SA"/>
        </w:rPr>
        <w:footnoteReference w:id="27"/>
      </w:r>
      <w:r>
        <w:rPr>
          <w:rFonts w:hint="eastAsia" w:ascii="Times New Roman" w:hAnsi="Times New Roman" w:eastAsia="宋体" w:cs="Times New Roman"/>
          <w:sz w:val="24"/>
          <w:lang w:eastAsia="zh-CN"/>
        </w:rPr>
        <w:t>中</w:t>
      </w:r>
      <w:r>
        <w:rPr>
          <w:rFonts w:hint="eastAsia" w:ascii="Times New Roman" w:hAnsi="Times New Roman" w:cs="Times New Roman"/>
          <w:sz w:val="24"/>
          <w:lang w:val="en-US" w:eastAsia="zh-CN"/>
        </w:rPr>
        <w:t>男方存在</w:t>
      </w:r>
      <w:r>
        <w:rPr>
          <w:rFonts w:hint="eastAsia" w:ascii="Times New Roman" w:hAnsi="Times New Roman" w:eastAsia="宋体" w:cs="Times New Roman"/>
          <w:sz w:val="24"/>
          <w:lang w:val="en-US" w:eastAsia="zh-CN"/>
        </w:rPr>
        <w:t>虐待与暴打被告，</w:t>
      </w:r>
      <w:r>
        <w:rPr>
          <w:rFonts w:hint="eastAsia" w:ascii="Times New Roman" w:hAnsi="Times New Roman" w:cs="Times New Roman"/>
          <w:sz w:val="24"/>
          <w:lang w:val="en-US" w:eastAsia="zh-CN"/>
        </w:rPr>
        <w:t>导致其</w:t>
      </w:r>
      <w:r>
        <w:rPr>
          <w:rFonts w:hint="eastAsia" w:ascii="Times New Roman" w:hAnsi="Times New Roman" w:eastAsia="宋体" w:cs="Times New Roman"/>
          <w:sz w:val="24"/>
          <w:lang w:val="en-US" w:eastAsia="zh-CN"/>
        </w:rPr>
        <w:t>出现精神问题</w:t>
      </w:r>
      <w:r>
        <w:rPr>
          <w:rFonts w:hint="eastAsia" w:ascii="Times New Roman" w:hAnsi="Times New Roman" w:cs="Times New Roman"/>
          <w:sz w:val="24"/>
          <w:lang w:val="en-US" w:eastAsia="zh-CN"/>
        </w:rPr>
        <w:t>的过错</w:t>
      </w:r>
      <w:r>
        <w:rPr>
          <w:rFonts w:hint="eastAsia" w:ascii="Times New Roman" w:hAnsi="Times New Roman" w:eastAsia="宋体" w:cs="Times New Roman"/>
          <w:sz w:val="24"/>
          <w:lang w:val="en-US" w:eastAsia="zh-CN"/>
        </w:rPr>
        <w:t>。</w:t>
      </w:r>
      <w:r>
        <w:rPr>
          <w:rFonts w:hint="eastAsia" w:ascii="Times New Roman" w:hAnsi="Times New Roman" w:eastAsia="宋体" w:cs="Times New Roman"/>
          <w:kern w:val="2"/>
          <w:sz w:val="24"/>
          <w:szCs w:val="24"/>
          <w:lang w:val="en-US" w:eastAsia="zh-CN" w:bidi="ar-SA"/>
        </w:rPr>
        <w:t>袁某成某君霍某金婚约财产纠纷</w:t>
      </w:r>
      <w:r>
        <w:rPr>
          <w:rStyle w:val="24"/>
          <w:rFonts w:hint="eastAsia" w:ascii="Times New Roman" w:hAnsi="Times New Roman" w:eastAsia="宋体" w:cs="Times New Roman"/>
          <w:kern w:val="2"/>
          <w:sz w:val="24"/>
          <w:szCs w:val="24"/>
          <w:lang w:val="en-US" w:eastAsia="zh-CN" w:bidi="ar-SA"/>
        </w:rPr>
        <w:footnoteReference w:id="28"/>
      </w:r>
      <w:r>
        <w:rPr>
          <w:rFonts w:hint="eastAsia" w:ascii="Times New Roman" w:hAnsi="Times New Roman"/>
          <w:sz w:val="24"/>
          <w:lang w:val="en-US" w:eastAsia="zh-CN"/>
        </w:rPr>
        <w:t>中将双方存在未妥善处理矛盾的过错。</w:t>
      </w:r>
      <w:r>
        <w:rPr>
          <w:rFonts w:hint="default" w:ascii="Times New Roman" w:hAnsi="Times New Roman" w:eastAsia="宋体" w:cs="Times New Roman"/>
          <w:sz w:val="24"/>
          <w:lang w:val="en-US" w:eastAsia="zh-CN"/>
        </w:rPr>
        <w:t>周某唐某蒋某婚约财产纠纷</w:t>
      </w:r>
      <w:r>
        <w:rPr>
          <w:rStyle w:val="24"/>
          <w:rFonts w:hint="default" w:ascii="Times New Roman" w:hAnsi="Times New Roman" w:eastAsia="宋体" w:cs="Times New Roman"/>
          <w:sz w:val="24"/>
          <w:lang w:val="en-US" w:eastAsia="zh-CN"/>
        </w:rPr>
        <w:footnoteReference w:id="29"/>
      </w:r>
      <w:r>
        <w:rPr>
          <w:rFonts w:hint="eastAsia" w:ascii="Times New Roman" w:hAnsi="Times New Roman" w:eastAsia="宋体" w:cs="Times New Roman"/>
          <w:sz w:val="24"/>
          <w:lang w:val="en-US" w:eastAsia="zh-CN"/>
        </w:rPr>
        <w:t>男方</w:t>
      </w:r>
      <w:r>
        <w:rPr>
          <w:rFonts w:hint="eastAsia" w:ascii="Times New Roman" w:hAnsi="Times New Roman" w:cs="Times New Roman"/>
          <w:sz w:val="24"/>
          <w:lang w:val="en-US" w:eastAsia="zh-CN"/>
        </w:rPr>
        <w:t>存在</w:t>
      </w:r>
      <w:r>
        <w:rPr>
          <w:rFonts w:hint="eastAsia" w:ascii="Times New Roman" w:hAnsi="Times New Roman" w:eastAsia="宋体" w:cs="Times New Roman"/>
          <w:sz w:val="24"/>
          <w:lang w:val="en-US" w:eastAsia="zh-CN"/>
        </w:rPr>
        <w:t>未查明女方有精神病</w:t>
      </w:r>
      <w:r>
        <w:rPr>
          <w:rFonts w:hint="eastAsia" w:ascii="Times New Roman" w:hAnsi="Times New Roman" w:cs="Times New Roman"/>
          <w:sz w:val="24"/>
          <w:lang w:val="en-US" w:eastAsia="zh-CN"/>
        </w:rPr>
        <w:t>的过错</w:t>
      </w:r>
      <w:r>
        <w:rPr>
          <w:rFonts w:hint="eastAsia" w:ascii="Times New Roman" w:hAnsi="Times New Roman" w:eastAsia="宋体" w:cs="Times New Roman"/>
          <w:sz w:val="24"/>
          <w:lang w:val="en-US" w:eastAsia="zh-CN"/>
        </w:rPr>
        <w:t>，女方</w:t>
      </w:r>
      <w:r>
        <w:rPr>
          <w:rFonts w:hint="eastAsia" w:ascii="Times New Roman" w:hAnsi="Times New Roman" w:cs="Times New Roman"/>
          <w:sz w:val="24"/>
          <w:lang w:val="en-US" w:eastAsia="zh-CN"/>
        </w:rPr>
        <w:t>存在</w:t>
      </w:r>
      <w:r>
        <w:rPr>
          <w:rFonts w:hint="eastAsia" w:ascii="Times New Roman" w:hAnsi="Times New Roman" w:eastAsia="宋体" w:cs="Times New Roman"/>
          <w:sz w:val="24"/>
          <w:lang w:val="en-US" w:eastAsia="zh-CN"/>
        </w:rPr>
        <w:t>隐瞒</w:t>
      </w:r>
      <w:r>
        <w:rPr>
          <w:rFonts w:hint="eastAsia" w:ascii="Times New Roman" w:hAnsi="Times New Roman" w:cs="Times New Roman"/>
          <w:sz w:val="24"/>
          <w:lang w:val="en-US" w:eastAsia="zh-CN"/>
        </w:rPr>
        <w:t>自身精神病的过错。雷某甲雷某乙姚某丙婚约财产纠纷</w:t>
      </w:r>
      <w:r>
        <w:rPr>
          <w:rStyle w:val="24"/>
          <w:rFonts w:hint="eastAsia" w:ascii="Times New Roman" w:hAnsi="Times New Roman" w:cs="Times New Roman"/>
          <w:sz w:val="24"/>
          <w:lang w:val="en-US" w:eastAsia="zh-CN"/>
        </w:rPr>
        <w:footnoteReference w:id="30"/>
      </w:r>
      <w:r>
        <w:rPr>
          <w:rFonts w:hint="eastAsia" w:ascii="Times New Roman" w:hAnsi="Times New Roman" w:cs="Times New Roman"/>
          <w:sz w:val="24"/>
          <w:lang w:val="en-US" w:eastAsia="zh-CN"/>
        </w:rPr>
        <w:t>中男方存在对爱情不忠的过错等。过错类型的多样性一定程度上导致了各法院对于裁判无法形成统一的标准，因为不同过错在法官心中所占权重不一样，并且，除此之外还要考虑女方妊娠与生育，保护女性权益，所以返还比例的计算会更加复杂。</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应当指出，生活困难是彩礼返还法定情形之一，并没有在78份生效裁判文书中有具体体现。笔者认为在司法实践中，当事人之间的纠纷用“绝对贫困”原则解决，给付方负有举证责任，证明自己所获得的是其个人所能达到的最低生活标准。在此基础上，彩礼支付行为和受领方陷入经济困境之间存在着非常复杂的直接逻辑联系。由于该标准的证明要求较高，并且没有明确的因果关系判定标准，导致实践中无案例产生。</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sz w:val="24"/>
          <w:lang w:val="en-US" w:eastAsia="zh-CN"/>
        </w:rPr>
      </w:pPr>
    </w:p>
    <w:p>
      <w:pPr>
        <w:spacing w:before="480" w:after="360" w:line="400" w:lineRule="exact"/>
        <w:ind w:firstLine="643" w:firstLineChars="200"/>
        <w:outlineLvl w:val="0"/>
        <w:rPr>
          <w:rFonts w:hint="default" w:ascii="Times New Roman" w:hAnsi="Times New Roman" w:eastAsia="宋体"/>
          <w:b/>
          <w:bCs/>
          <w:color w:val="000000"/>
          <w:sz w:val="32"/>
          <w:szCs w:val="32"/>
          <w:shd w:val="clear" w:color="auto" w:fill="FFFFFF"/>
          <w:lang w:val="en-US" w:eastAsia="zh-CN"/>
        </w:rPr>
      </w:pPr>
      <w:bookmarkStart w:id="116" w:name="_Toc13395"/>
      <w:bookmarkStart w:id="117" w:name="_Toc27118"/>
      <w:r>
        <w:rPr>
          <w:rFonts w:hint="eastAsia" w:ascii="Times New Roman" w:hAnsi="Times New Roman"/>
          <w:b/>
          <w:bCs/>
          <w:color w:val="000000"/>
          <w:sz w:val="32"/>
          <w:szCs w:val="32"/>
          <w:shd w:val="clear" w:color="auto" w:fill="FFFFFF"/>
          <w:lang w:val="en-US" w:eastAsia="zh-CN"/>
        </w:rPr>
        <w:br w:type="page"/>
      </w:r>
      <w:bookmarkStart w:id="118" w:name="_Toc4316"/>
      <w:r>
        <w:rPr>
          <w:rFonts w:hint="eastAsia" w:ascii="Times New Roman" w:hAnsi="Times New Roman"/>
          <w:b/>
          <w:bCs/>
          <w:color w:val="000000"/>
          <w:sz w:val="32"/>
          <w:szCs w:val="32"/>
          <w:shd w:val="clear" w:color="auto" w:fill="FFFFFF"/>
          <w:lang w:val="en-US" w:eastAsia="zh-CN"/>
        </w:rPr>
        <w:t>四</w:t>
      </w:r>
      <w:r>
        <w:rPr>
          <w:rFonts w:hint="eastAsia" w:ascii="Times New Roman" w:hAnsi="Times New Roman"/>
          <w:b/>
          <w:bCs/>
          <w:color w:val="000000"/>
          <w:sz w:val="32"/>
          <w:szCs w:val="32"/>
          <w:shd w:val="clear" w:color="auto" w:fill="FFFFFF"/>
        </w:rPr>
        <w:t>、</w:t>
      </w:r>
      <w:bookmarkEnd w:id="116"/>
      <w:bookmarkStart w:id="119" w:name="OLE_LINK3"/>
      <w:r>
        <w:rPr>
          <w:rFonts w:hint="eastAsia" w:ascii="Times New Roman" w:hAnsi="Times New Roman"/>
          <w:b/>
          <w:bCs/>
          <w:color w:val="000000"/>
          <w:sz w:val="32"/>
          <w:szCs w:val="32"/>
          <w:shd w:val="clear" w:color="auto" w:fill="FFFFFF"/>
        </w:rPr>
        <w:t>彩礼返还纠纷</w:t>
      </w:r>
      <w:bookmarkEnd w:id="117"/>
      <w:r>
        <w:rPr>
          <w:rFonts w:hint="eastAsia" w:ascii="Times New Roman" w:hAnsi="Times New Roman"/>
          <w:b/>
          <w:bCs/>
          <w:color w:val="000000"/>
          <w:sz w:val="32"/>
          <w:szCs w:val="32"/>
          <w:shd w:val="clear" w:color="auto" w:fill="FFFFFF"/>
          <w:lang w:val="en-US" w:eastAsia="zh-CN"/>
        </w:rPr>
        <w:t>现存困境</w:t>
      </w:r>
      <w:bookmarkEnd w:id="118"/>
    </w:p>
    <w:bookmarkEnd w:id="119"/>
    <w:p>
      <w:pPr>
        <w:spacing w:before="480" w:after="120" w:line="400" w:lineRule="exact"/>
        <w:ind w:firstLine="562" w:firstLineChars="200"/>
        <w:outlineLvl w:val="1"/>
        <w:rPr>
          <w:rFonts w:hint="eastAsia" w:ascii="Times New Roman" w:hAnsi="Times New Roman" w:eastAsia="宋体"/>
          <w:b/>
          <w:sz w:val="28"/>
          <w:szCs w:val="30"/>
          <w:shd w:val="clear" w:color="auto" w:fill="FFFFFF"/>
          <w:lang w:val="en-US" w:eastAsia="zh-CN"/>
        </w:rPr>
      </w:pPr>
      <w:bookmarkStart w:id="120" w:name="_Toc21114"/>
      <w:bookmarkStart w:id="121" w:name="_Toc27811"/>
      <w:bookmarkStart w:id="122" w:name="_Toc7093_WPSOffice_Level2"/>
      <w:bookmarkStart w:id="123" w:name="_Toc23869"/>
      <w:bookmarkStart w:id="124" w:name="_Toc2114"/>
      <w:bookmarkStart w:id="125" w:name="_Toc21966"/>
      <w:bookmarkStart w:id="126" w:name="_Toc11864"/>
      <w:bookmarkStart w:id="127" w:name="_Toc1361"/>
      <w:bookmarkStart w:id="128" w:name="_Toc22294"/>
      <w:bookmarkStart w:id="129" w:name="_Toc21190"/>
      <w:r>
        <w:rPr>
          <w:rFonts w:hint="eastAsia" w:ascii="Times New Roman" w:hAnsi="Times New Roman"/>
          <w:b/>
          <w:sz w:val="28"/>
          <w:szCs w:val="30"/>
          <w:shd w:val="clear" w:color="auto" w:fill="FFFFFF"/>
        </w:rPr>
        <w:t>（一）</w:t>
      </w:r>
      <w:bookmarkEnd w:id="120"/>
      <w:bookmarkEnd w:id="121"/>
      <w:bookmarkEnd w:id="122"/>
      <w:bookmarkEnd w:id="123"/>
      <w:bookmarkEnd w:id="124"/>
      <w:bookmarkEnd w:id="125"/>
      <w:bookmarkEnd w:id="126"/>
      <w:bookmarkEnd w:id="127"/>
      <w:bookmarkStart w:id="130" w:name="OLE_LINK19"/>
      <w:r>
        <w:rPr>
          <w:rFonts w:hint="eastAsia" w:ascii="Times New Roman" w:hAnsi="Times New Roman"/>
          <w:b/>
          <w:sz w:val="28"/>
          <w:szCs w:val="30"/>
          <w:shd w:val="clear" w:color="auto" w:fill="FFFFFF"/>
        </w:rPr>
        <w:t>彩礼返还诉讼主体范围</w:t>
      </w:r>
      <w:bookmarkEnd w:id="128"/>
      <w:r>
        <w:rPr>
          <w:rFonts w:hint="eastAsia" w:ascii="Times New Roman" w:hAnsi="Times New Roman"/>
          <w:b/>
          <w:sz w:val="28"/>
          <w:szCs w:val="30"/>
          <w:shd w:val="clear" w:color="auto" w:fill="FFFFFF"/>
          <w:lang w:val="en-US" w:eastAsia="zh-CN"/>
        </w:rPr>
        <w:t>偏小</w:t>
      </w:r>
      <w:bookmarkEnd w:id="129"/>
    </w:p>
    <w:bookmarkEnd w:id="130"/>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bookmarkStart w:id="131" w:name="OLE_LINK16"/>
      <w:r>
        <w:rPr>
          <w:rFonts w:hint="eastAsia" w:ascii="Times New Roman" w:hAnsi="Times New Roman" w:cs="Times New Roman"/>
          <w:sz w:val="24"/>
          <w:lang w:val="en-US" w:eastAsia="zh-CN"/>
        </w:rPr>
        <w:t>根据《彩礼适用规定》第四条明确规定：“婚约财产纠纷中，婚约一方及其实际给付彩礼的父母可以作为共同原告；婚约另一方及其实际接收彩礼的父母可以作为共同被告。离婚纠纷中，一方提出返还彩礼诉讼请求的，当事人仍为夫妻双方。”</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有司法判例表明，在婚约关系中一方为无民事行为能力或者限制民事行为能力人时，即使没有实际收取彩礼，也可以将该方列为适格的诉讼主体。在莫某与李某1李某2婚约财产纠纷</w:t>
      </w:r>
      <w:r>
        <w:rPr>
          <w:rStyle w:val="24"/>
          <w:rFonts w:hint="eastAsia" w:ascii="Times New Roman" w:hAnsi="Times New Roman" w:cs="Times New Roman"/>
          <w:sz w:val="24"/>
          <w:lang w:val="en-US" w:eastAsia="zh-CN"/>
        </w:rPr>
        <w:footnoteReference w:id="31"/>
      </w:r>
      <w:r>
        <w:rPr>
          <w:rFonts w:hint="eastAsia" w:ascii="Times New Roman" w:hAnsi="Times New Roman" w:cs="Times New Roman"/>
          <w:sz w:val="24"/>
          <w:lang w:val="en-US" w:eastAsia="zh-CN"/>
        </w:rPr>
        <w:t>中，一审法院将是否应追加李某2（另一个婚约人）为共同被告作为主要争议点予以审理。法院审理查明，李某2作为婚约另一方，虽患精神疾病，但仍是婚约关系的主体，根据《彩礼适用规定》第四条，婚约另一方属于彩礼纠纷案件中当然的诉讼当事人。原告起诉时未列明李某2为被告，法院依法依职权追加其参加诉讼，最终判决李某1、李某2共同承担返还责任。</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有司法判例认为彩礼的受益人不单是女性个人，还包含在她所在的家庭里的人。在实际审判中，如果女方父母以家庭名义接受彩礼，那么就会被认定为共同诉讼的当事人。在吴某与周某1杨某等婚约财产纠纷</w:t>
      </w:r>
      <w:r>
        <w:rPr>
          <w:rStyle w:val="24"/>
          <w:rFonts w:hint="eastAsia" w:ascii="Times New Roman" w:hAnsi="Times New Roman" w:cs="Times New Roman"/>
          <w:sz w:val="24"/>
          <w:lang w:val="en-US" w:eastAsia="zh-CN"/>
        </w:rPr>
        <w:footnoteReference w:id="32"/>
      </w:r>
      <w:r>
        <w:rPr>
          <w:rFonts w:hint="eastAsia" w:ascii="Times New Roman" w:hAnsi="Times New Roman" w:cs="Times New Roman"/>
          <w:sz w:val="24"/>
          <w:lang w:val="en-US" w:eastAsia="zh-CN"/>
        </w:rPr>
        <w:t>中，彩礼在我国传统风俗中属于男方家庭共同财产，其给付、收取及支配均是在婚约男女及双方父母共同参与下完成，涉及两个家庭之间的往来。该观点体现出目前法律体系对于家庭利益考虑的新趋势。本案中欠条由男方父亲吴继东与女方家庭结算签订，吴继东作为婚约当事人父亲，具备代表家庭处分共同财产的资格，相应的女方父母周某2、杨某作为家庭代表参与协商并出具欠条，应视为共同接收彩礼的主体，需共同承担返还责任。</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相反，若父母未实际参与彩礼收付，仅因亲属关系被列为被告，法院将依法驳回对其的诉讼请求。如曹某李某乙李某曹某丁婚约财产纠纷</w:t>
      </w:r>
      <w:r>
        <w:rPr>
          <w:rStyle w:val="24"/>
          <w:rFonts w:hint="eastAsia" w:ascii="Times New Roman" w:hAnsi="Times New Roman" w:cs="Times New Roman"/>
          <w:sz w:val="24"/>
          <w:lang w:val="en-US" w:eastAsia="zh-CN"/>
        </w:rPr>
        <w:footnoteReference w:id="33"/>
      </w:r>
      <w:r>
        <w:rPr>
          <w:rFonts w:hint="eastAsia" w:ascii="Times New Roman" w:hAnsi="Times New Roman" w:cs="Times New Roman"/>
          <w:sz w:val="24"/>
          <w:lang w:val="en-US" w:eastAsia="zh-CN"/>
        </w:rPr>
        <w:t>中法院审理查明，原被告双方均认可实际收受彩礼钱的是女方李某甲，李某乙并未经手相关款项，根据司法解释“实际接收彩礼的父母”才可作为共同被告的规定，李某乙未实际接收彩礼，故不具备本案被告主体资格，最终判决仅由李某甲承担返还责任。</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在处理涉婚约财产纠纷案件的时候，司法实践当中一般把原告和被告界定为实际缔结婚约关系的男女双方及其直系亲属，而不会把媒人等其它关联方包含进来。在李某1李某2与贺某秦某二审民事判决书</w:t>
      </w:r>
      <w:r>
        <w:rPr>
          <w:rStyle w:val="24"/>
          <w:rFonts w:hint="eastAsia" w:ascii="Times New Roman" w:hAnsi="Times New Roman" w:cs="Times New Roman"/>
          <w:sz w:val="24"/>
          <w:lang w:val="en-US" w:eastAsia="zh-CN"/>
        </w:rPr>
        <w:footnoteReference w:id="34"/>
      </w:r>
      <w:r>
        <w:rPr>
          <w:rFonts w:hint="eastAsia" w:ascii="Times New Roman" w:hAnsi="Times New Roman" w:cs="Times New Roman"/>
          <w:sz w:val="24"/>
          <w:lang w:val="en-US" w:eastAsia="zh-CN"/>
        </w:rPr>
        <w:t>中，法院认为，根据司法解释第四条，婚约财产纠纷的诉讼主体为婚约一方、另一方及其实际收付彩礼的父母，并未将诉讼主体扩大到媒人，秦某作为媒人，并非彩礼收付关系的当事人，不具备本案被告主体资格，原告与秦某之间的媒人费纠纷应另行起诉，判决驳回对秦某的诉讼请求。</w:t>
      </w:r>
    </w:p>
    <w:bookmarkEnd w:id="131"/>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综上，司法实践中对彩礼返还诉讼主体范围的认定，始终以</w:t>
      </w:r>
      <w:r>
        <w:rPr>
          <w:rFonts w:hint="eastAsia" w:ascii="Times New Roman" w:hAnsi="Times New Roman" w:cs="Times New Roman"/>
          <w:sz w:val="24"/>
          <w:lang w:val="en-US" w:eastAsia="zh-CN"/>
        </w:rPr>
        <w:t>《彩礼适用规定》为基础，“实际参与婚约、实际收付彩礼”为核心判断标准，将符合条件的父母纳入主体范围，也严格限定主体边界，避免不当扩大责任承担主体，同时明确排除媒人、未实际收付彩礼的亲属等无关主体的诉讼资格。这种严苛的主体资格限定，排除了实际参与彩礼流转和协商的其他家庭成员或中间人，导致责任主体范围被不当限缩，难以涵盖彩礼涉及双方家庭往来的复杂现实。因此，现行规则与司法裁判对诉讼主体的认定口径整体偏窄，无法完全回应彩礼纠纷中多元主体参与的实际状况。</w:t>
      </w:r>
    </w:p>
    <w:p>
      <w:pPr>
        <w:numPr>
          <w:ilvl w:val="0"/>
          <w:numId w:val="3"/>
        </w:numPr>
        <w:spacing w:before="480" w:after="120" w:line="400" w:lineRule="exact"/>
        <w:ind w:firstLine="562" w:firstLineChars="200"/>
        <w:outlineLvl w:val="1"/>
        <w:rPr>
          <w:rFonts w:hint="eastAsia" w:ascii="Times New Roman" w:hAnsi="Times New Roman" w:cs="Times New Roman"/>
          <w:b/>
          <w:sz w:val="28"/>
          <w:szCs w:val="30"/>
          <w:shd w:val="clear" w:color="auto" w:fill="FFFFFF"/>
          <w:lang w:val="en-US" w:eastAsia="zh-CN"/>
        </w:rPr>
      </w:pPr>
      <w:bookmarkStart w:id="132" w:name="_Toc19248"/>
      <w:bookmarkStart w:id="133" w:name="_Toc16964"/>
      <w:bookmarkStart w:id="134" w:name="OLE_LINK20"/>
      <w:r>
        <w:rPr>
          <w:rFonts w:hint="eastAsia" w:ascii="Times New Roman" w:hAnsi="Times New Roman" w:cs="Times New Roman"/>
          <w:b/>
          <w:sz w:val="28"/>
          <w:szCs w:val="30"/>
          <w:shd w:val="clear" w:color="auto" w:fill="FFFFFF"/>
          <w:lang w:val="en-US" w:eastAsia="zh-CN"/>
        </w:rPr>
        <w:t>彩礼的认定</w:t>
      </w:r>
      <w:bookmarkEnd w:id="132"/>
      <w:r>
        <w:rPr>
          <w:rFonts w:hint="eastAsia" w:ascii="Times New Roman" w:hAnsi="Times New Roman" w:cs="Times New Roman"/>
          <w:b/>
          <w:sz w:val="28"/>
          <w:szCs w:val="30"/>
          <w:shd w:val="clear" w:color="auto" w:fill="FFFFFF"/>
          <w:lang w:val="en-US" w:eastAsia="zh-CN"/>
        </w:rPr>
        <w:t>混乱</w:t>
      </w:r>
      <w:bookmarkEnd w:id="133"/>
    </w:p>
    <w:bookmarkEnd w:id="134"/>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bookmarkStart w:id="135" w:name="OLE_LINK21"/>
      <w:r>
        <w:rPr>
          <w:rFonts w:hint="eastAsia" w:ascii="Times New Roman" w:hAnsi="Times New Roman" w:cs="Times New Roman"/>
          <w:sz w:val="24"/>
          <w:lang w:val="en-US" w:eastAsia="zh-CN"/>
        </w:rPr>
        <w:t>在婚约财产纠纷案件的审理中，彩礼的范围认定是核心争议焦点，直接决定了当事人可主张返还的财物边界。依照《民法典》第一百四十二条第一款，有相对人的意思表示的解释，应当按照所使用的词句，结合相关条款、行为的性质和目的、习惯以及诚信原则，确定意思表示的含义。即双方在财物往来时明确表述“彩礼”等的，法院应认定该财物属于彩礼。双方未明确表述为“彩礼”等的，首先需确认是否为三类不属于彩礼的财物：一是方在节日、生日等有特殊纪念意义时点给付的价值不大的礼物、礼金；二是一方为表达或者增进感情的日常消费性支出；三是其他价值不大的财物。其次，根据一方给付财物的目的，综合考虑双方当地习俗、给付的时间和方式、财物价值、给付人及接收人等事实认定彩礼范围。</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实践中，各法院对于按习俗给付的大额礼金、“三金”“五金”等贵重物品、已转化为共同财产的彩礼、特殊含义转账、回礼及嫁妆抵扣并无争议，但是各地法院对于单笔排除的金额阈值认定不一，有的法院以1000元为界</w:t>
      </w:r>
      <w:r>
        <w:rPr>
          <w:rStyle w:val="24"/>
          <w:rFonts w:hint="eastAsia" w:ascii="Times New Roman" w:hAnsi="Times New Roman" w:cs="Times New Roman"/>
          <w:sz w:val="24"/>
          <w:lang w:val="en-US" w:eastAsia="zh-CN"/>
        </w:rPr>
        <w:footnoteReference w:id="35"/>
      </w:r>
      <w:r>
        <w:rPr>
          <w:rFonts w:hint="eastAsia" w:ascii="Times New Roman" w:hAnsi="Times New Roman" w:cs="Times New Roman"/>
          <w:sz w:val="24"/>
          <w:lang w:val="en-US" w:eastAsia="zh-CN"/>
        </w:rPr>
        <w:t>；有的法院以3000元为界</w:t>
      </w:r>
      <w:r>
        <w:rPr>
          <w:rStyle w:val="24"/>
          <w:rFonts w:hint="eastAsia" w:ascii="Times New Roman" w:hAnsi="Times New Roman" w:cs="Times New Roman"/>
          <w:sz w:val="24"/>
          <w:lang w:val="en-US" w:eastAsia="zh-CN"/>
        </w:rPr>
        <w:footnoteReference w:id="36"/>
      </w:r>
      <w:r>
        <w:rPr>
          <w:rFonts w:hint="eastAsia" w:ascii="Times New Roman" w:hAnsi="Times New Roman" w:cs="Times New Roman"/>
          <w:sz w:val="24"/>
          <w:lang w:val="en-US" w:eastAsia="zh-CN"/>
        </w:rPr>
        <w:t>。对于见面礼，有的法院认定该款项系以缔结婚姻为目的的赠与，属于彩礼范畴</w:t>
      </w:r>
      <w:r>
        <w:rPr>
          <w:rStyle w:val="24"/>
          <w:rFonts w:hint="eastAsia" w:ascii="Times New Roman" w:hAnsi="Times New Roman" w:cs="Times New Roman"/>
          <w:sz w:val="24"/>
          <w:lang w:val="en-US" w:eastAsia="zh-CN"/>
        </w:rPr>
        <w:footnoteReference w:id="37"/>
      </w:r>
      <w:r>
        <w:rPr>
          <w:rFonts w:hint="eastAsia" w:ascii="Times New Roman" w:hAnsi="Times New Roman" w:cs="Times New Roman"/>
          <w:sz w:val="24"/>
          <w:lang w:val="en-US" w:eastAsia="zh-CN"/>
        </w:rPr>
        <w:t>；有的法院认为属于长辈对晚辈的个人赠与，不涉及婚约目的，不应纳入彩礼范围</w:t>
      </w:r>
      <w:r>
        <w:rPr>
          <w:rStyle w:val="24"/>
          <w:rFonts w:hint="eastAsia" w:ascii="Times New Roman" w:hAnsi="Times New Roman" w:cs="Times New Roman"/>
          <w:sz w:val="24"/>
          <w:lang w:val="en-US" w:eastAsia="zh-CN"/>
        </w:rPr>
        <w:footnoteReference w:id="38"/>
      </w:r>
      <w:r>
        <w:rPr>
          <w:rFonts w:hint="eastAsia" w:ascii="Times New Roman" w:hAnsi="Times New Roman" w:cs="Times New Roman"/>
          <w:sz w:val="24"/>
          <w:lang w:val="en-US" w:eastAsia="zh-CN"/>
        </w:rPr>
        <w:t>。对于向女方亲属赠与的红包，有的法院认为该部分款项属于礼节性人情往来，与婚约缔结目的无关，不应认定为彩礼</w:t>
      </w:r>
      <w:r>
        <w:rPr>
          <w:rStyle w:val="24"/>
          <w:rFonts w:hint="eastAsia" w:ascii="Times New Roman" w:hAnsi="Times New Roman" w:cs="Times New Roman"/>
          <w:sz w:val="24"/>
          <w:lang w:val="en-US" w:eastAsia="zh-CN"/>
        </w:rPr>
        <w:footnoteReference w:id="39"/>
      </w:r>
      <w:r>
        <w:rPr>
          <w:rFonts w:hint="eastAsia" w:ascii="Times New Roman" w:hAnsi="Times New Roman" w:cs="Times New Roman"/>
          <w:sz w:val="24"/>
          <w:lang w:val="en-US" w:eastAsia="zh-CN"/>
        </w:rPr>
        <w:t>；有的认为男方是为达成缔结婚姻目的、依习俗向婚约方亲属给付的大额款项，属于彩礼范围</w:t>
      </w:r>
      <w:r>
        <w:rPr>
          <w:rStyle w:val="24"/>
          <w:rFonts w:hint="eastAsia" w:ascii="Times New Roman" w:hAnsi="Times New Roman" w:cs="Times New Roman"/>
          <w:sz w:val="24"/>
          <w:lang w:val="en-US" w:eastAsia="zh-CN"/>
        </w:rPr>
        <w:footnoteReference w:id="40"/>
      </w:r>
      <w:r>
        <w:rPr>
          <w:rFonts w:hint="eastAsia" w:ascii="Times New Roman" w:hAnsi="Times New Roman" w:cs="Times New Roman"/>
          <w:sz w:val="24"/>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上述分歧并非单纯事实认定差异，而是源于</w:t>
      </w:r>
      <w:r>
        <w:rPr>
          <w:rFonts w:hint="eastAsia" w:ascii="Times New Roman" w:hAnsi="Times New Roman" w:cs="Times New Roman"/>
          <w:sz w:val="24"/>
          <w:lang w:val="en-US" w:eastAsia="zh-CN"/>
        </w:rPr>
        <w:t>《彩礼适用规定》中“当地习俗”多样性，甚至有些习俗存在不合理性，如杨某某姚某某婚约财产纠纷</w:t>
      </w:r>
      <w:r>
        <w:rPr>
          <w:rStyle w:val="24"/>
          <w:rFonts w:hint="eastAsia" w:ascii="Times New Roman" w:hAnsi="Times New Roman" w:cs="Times New Roman"/>
          <w:sz w:val="24"/>
          <w:lang w:val="en-US" w:eastAsia="zh-CN"/>
        </w:rPr>
        <w:footnoteReference w:id="41"/>
      </w:r>
      <w:r>
        <w:rPr>
          <w:rFonts w:hint="eastAsia" w:ascii="Times New Roman" w:hAnsi="Times New Roman" w:cs="Times New Roman"/>
          <w:sz w:val="24"/>
          <w:lang w:val="en-US" w:eastAsia="zh-CN"/>
        </w:rPr>
        <w:t>中男方为了举办婚礼所花过礼，实际用于买肉菜，被法官不认定为彩礼。存在</w:t>
      </w:r>
      <w:r>
        <w:rPr>
          <w:rFonts w:hint="default" w:ascii="Times New Roman" w:hAnsi="Times New Roman" w:cs="Times New Roman"/>
          <w:sz w:val="24"/>
          <w:lang w:val="en-US" w:eastAsia="zh-CN"/>
        </w:rPr>
        <w:t>法官在认定“婚约目的”与“财物价值”时享有宽泛裁量空间，导致同类财物在一案被纳入彩礼返还基数，在他案却被归入无偿馈赠或日常消费，彩礼边界的司法划定由此陷入明显的地方化与主观化混乱。</w:t>
      </w:r>
    </w:p>
    <w:bookmarkEnd w:id="135"/>
    <w:p>
      <w:pPr>
        <w:keepNext w:val="0"/>
        <w:keepLines w:val="0"/>
        <w:pageBreakBefore w:val="0"/>
        <w:widowControl w:val="0"/>
        <w:kinsoku/>
        <w:wordWrap/>
        <w:overflowPunct/>
        <w:topLinePunct w:val="0"/>
        <w:autoSpaceDE/>
        <w:autoSpaceDN/>
        <w:bidi w:val="0"/>
        <w:adjustRightInd/>
        <w:snapToGrid/>
        <w:spacing w:before="480" w:after="120" w:line="400" w:lineRule="exact"/>
        <w:ind w:firstLine="562" w:firstLineChars="200"/>
        <w:textAlignment w:val="auto"/>
        <w:outlineLvl w:val="1"/>
        <w:rPr>
          <w:rFonts w:hint="default" w:ascii="Times New Roman" w:hAnsi="Times New Roman" w:eastAsia="宋体" w:cs="Times New Roman"/>
          <w:b/>
          <w:bCs/>
          <w:sz w:val="24"/>
          <w:szCs w:val="28"/>
          <w:shd w:val="clear" w:color="auto" w:fill="FFFFFF"/>
          <w:lang w:val="en-US" w:eastAsia="zh-CN"/>
        </w:rPr>
      </w:pPr>
      <w:bookmarkStart w:id="136" w:name="_Toc21885"/>
      <w:bookmarkStart w:id="137" w:name="_Toc4041"/>
      <w:r>
        <w:rPr>
          <w:rFonts w:hint="eastAsia" w:ascii="Times New Roman" w:hAnsi="Times New Roman" w:eastAsia="宋体" w:cs="Times New Roman"/>
          <w:b/>
          <w:sz w:val="28"/>
          <w:szCs w:val="30"/>
          <w:shd w:val="clear" w:color="auto" w:fill="FFFFFF"/>
        </w:rPr>
        <w:t>（三）彩礼返还比例的认定</w:t>
      </w:r>
      <w:bookmarkEnd w:id="136"/>
      <w:r>
        <w:rPr>
          <w:rFonts w:hint="eastAsia" w:ascii="Times New Roman" w:hAnsi="Times New Roman" w:cs="Times New Roman"/>
          <w:b/>
          <w:sz w:val="28"/>
          <w:szCs w:val="30"/>
          <w:shd w:val="clear" w:color="auto" w:fill="FFFFFF"/>
          <w:lang w:val="en-US" w:eastAsia="zh-CN"/>
        </w:rPr>
        <w:t>标准模糊</w:t>
      </w:r>
      <w:bookmarkEnd w:id="137"/>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lang w:val="en-US" w:eastAsia="zh-CN"/>
        </w:rPr>
      </w:pPr>
      <w:bookmarkStart w:id="138" w:name="OLE_LINK15"/>
      <w:r>
        <w:rPr>
          <w:rFonts w:hint="eastAsia" w:ascii="Times New Roman" w:hAnsi="Times New Roman"/>
          <w:sz w:val="24"/>
          <w:lang w:val="en-US" w:eastAsia="zh-CN"/>
        </w:rPr>
        <w:t>根据《彩礼适用规定》第五条、第六条，彩礼返还以结婚登记为前提分为两种情况，对彩礼返还的法律适用做了明确的区分，并形成了相应的裁判规则体系。在综合考虑共同生活时间、子女出生情况、违约行为、彩礼实际使用情况、嫁妆所有权归属等具体因素之后，根据地域传统习俗的具体内容来合理确定彩礼的返还数额。然而，法院在实际裁判中却存在着结婚登记对返还比例影响不明确、要素权重不明显等问题。</w:t>
      </w:r>
    </w:p>
    <w:p>
      <w:pPr>
        <w:keepNext w:val="0"/>
        <w:keepLines w:val="0"/>
        <w:pageBreakBefore w:val="0"/>
        <w:widowControl w:val="0"/>
        <w:kinsoku/>
        <w:wordWrap/>
        <w:overflowPunct/>
        <w:topLinePunct w:val="0"/>
        <w:autoSpaceDE/>
        <w:autoSpaceDN/>
        <w:bidi w:val="0"/>
        <w:adjustRightInd/>
        <w:snapToGrid/>
        <w:spacing w:before="240" w:after="120" w:line="400" w:lineRule="exact"/>
        <w:ind w:firstLine="482" w:firstLineChars="200"/>
        <w:textAlignment w:val="auto"/>
        <w:outlineLvl w:val="2"/>
        <w:rPr>
          <w:rFonts w:hint="default" w:ascii="Times New Roman" w:hAnsi="Times New Roman" w:eastAsia="宋体" w:cs="Times New Roman"/>
          <w:b/>
          <w:bCs/>
          <w:sz w:val="24"/>
          <w:szCs w:val="28"/>
          <w:shd w:val="clear" w:color="auto" w:fill="FFFFFF"/>
          <w:lang w:val="en-US" w:eastAsia="zh-CN"/>
        </w:rPr>
      </w:pPr>
      <w:bookmarkStart w:id="139" w:name="_Toc31734"/>
      <w:bookmarkStart w:id="140" w:name="_Toc24621"/>
      <w:r>
        <w:rPr>
          <w:rFonts w:hint="eastAsia" w:ascii="Times New Roman" w:hAnsi="Times New Roman" w:cs="Times New Roman"/>
          <w:b/>
          <w:bCs/>
          <w:sz w:val="24"/>
          <w:szCs w:val="28"/>
          <w:shd w:val="clear" w:color="auto" w:fill="FFFFFF"/>
          <w:lang w:val="en-US" w:eastAsia="zh-CN"/>
        </w:rPr>
        <w:t>1</w:t>
      </w:r>
      <w:r>
        <w:rPr>
          <w:rFonts w:hint="eastAsia" w:ascii="Times New Roman" w:hAnsi="Times New Roman" w:eastAsia="宋体" w:cs="Times New Roman"/>
          <w:b/>
          <w:bCs/>
          <w:sz w:val="24"/>
          <w:szCs w:val="28"/>
          <w:shd w:val="clear" w:color="auto" w:fill="FFFFFF"/>
        </w:rPr>
        <w:t>.</w:t>
      </w:r>
      <w:bookmarkEnd w:id="139"/>
      <w:bookmarkStart w:id="141" w:name="OLE_LINK23"/>
      <w:r>
        <w:rPr>
          <w:rFonts w:hint="eastAsia" w:ascii="Times New Roman" w:hAnsi="Times New Roman" w:cs="Times New Roman"/>
          <w:b/>
          <w:bCs/>
          <w:sz w:val="24"/>
          <w:szCs w:val="28"/>
          <w:shd w:val="clear" w:color="auto" w:fill="FFFFFF"/>
          <w:lang w:val="en-US" w:eastAsia="zh-CN"/>
        </w:rPr>
        <w:t>结婚登记对返还比例影响不明确</w:t>
      </w:r>
      <w:bookmarkEnd w:id="140"/>
      <w:bookmarkEnd w:id="141"/>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bookmarkStart w:id="142" w:name="OLE_LINK22"/>
      <w:r>
        <w:rPr>
          <w:rFonts w:hint="eastAsia" w:ascii="Times New Roman" w:hAnsi="Times New Roman" w:cs="Times New Roman"/>
          <w:sz w:val="24"/>
          <w:lang w:val="en-US" w:eastAsia="zh-CN"/>
        </w:rPr>
        <w:t>由于需同时考量共同生活时间、数额是否过高、过错及孕育情况等多种变量，导致登记状态并未成为决定返还比例的唯一或核心要素，其影响幅度呈现出明显的不确定性。</w:t>
      </w:r>
      <w:bookmarkStart w:id="143" w:name="OLE_LINK26"/>
      <w:r>
        <w:rPr>
          <w:rFonts w:hint="eastAsia" w:ascii="Times New Roman" w:hAnsi="Times New Roman" w:cs="Times New Roman"/>
          <w:sz w:val="24"/>
          <w:lang w:val="en-US" w:eastAsia="zh-CN"/>
        </w:rPr>
        <w:t>如何某甲陈某甲婚约财产纠纷</w:t>
      </w:r>
      <w:r>
        <w:rPr>
          <w:rStyle w:val="24"/>
          <w:rFonts w:hint="eastAsia" w:ascii="Times New Roman" w:hAnsi="Times New Roman" w:cs="Times New Roman"/>
          <w:sz w:val="24"/>
          <w:lang w:val="en-US" w:eastAsia="zh-CN"/>
        </w:rPr>
        <w:footnoteReference w:id="42"/>
      </w:r>
      <w:r>
        <w:rPr>
          <w:rFonts w:hint="eastAsia" w:ascii="Times New Roman" w:hAnsi="Times New Roman" w:cs="Times New Roman"/>
          <w:sz w:val="24"/>
          <w:lang w:val="en-US" w:eastAsia="zh-CN"/>
        </w:rPr>
        <w:t>中男女双方共同生活时长约三年，孕有一子，法院认为彩礼已经用在了日常生活的开支和子女抚养，不予支持原告诉讼请求。而在瞿某田某雷某婚约财产纠纷</w:t>
      </w:r>
      <w:r>
        <w:rPr>
          <w:rStyle w:val="24"/>
          <w:rFonts w:hint="eastAsia" w:ascii="Times New Roman" w:hAnsi="Times New Roman" w:cs="Times New Roman"/>
          <w:sz w:val="24"/>
          <w:lang w:val="en-US" w:eastAsia="zh-CN"/>
        </w:rPr>
        <w:footnoteReference w:id="43"/>
      </w:r>
      <w:r>
        <w:rPr>
          <w:rFonts w:hint="eastAsia" w:ascii="Times New Roman" w:hAnsi="Times New Roman" w:cs="Times New Roman"/>
          <w:sz w:val="24"/>
          <w:lang w:val="en-US" w:eastAsia="zh-CN"/>
        </w:rPr>
        <w:t>中男女双方共同生活了两年多，法院认为形成了稳定的家庭关系，驳回原告诉讼请求。二者虽然登记状态不同，但是就共同生活目的的实现、过错程度的认定以及彩礼使用的情形来说，具有很强的共性，因此返还比例呈现出了很高的统一性。</w:t>
      </w:r>
      <w:bookmarkStart w:id="144" w:name="OLE_LINK24"/>
      <w:r>
        <w:rPr>
          <w:rFonts w:hint="eastAsia" w:ascii="Times New Roman" w:hAnsi="Times New Roman" w:cs="Times New Roman"/>
          <w:sz w:val="24"/>
          <w:lang w:val="en-US" w:eastAsia="zh-CN"/>
        </w:rPr>
        <w:t>在周某甲周某乙蒋某袁某王某婚约财产纠纷</w:t>
      </w:r>
      <w:r>
        <w:rPr>
          <w:rStyle w:val="24"/>
          <w:rFonts w:hint="eastAsia" w:ascii="Times New Roman" w:hAnsi="Times New Roman" w:cs="Times New Roman"/>
          <w:sz w:val="24"/>
          <w:lang w:val="en-US" w:eastAsia="zh-CN"/>
        </w:rPr>
        <w:footnoteReference w:id="44"/>
      </w:r>
      <w:r>
        <w:rPr>
          <w:rFonts w:hint="eastAsia" w:ascii="Times New Roman" w:hAnsi="Times New Roman" w:cs="Times New Roman"/>
          <w:sz w:val="24"/>
          <w:lang w:val="en-US" w:eastAsia="zh-CN"/>
        </w:rPr>
        <w:t>中男女双方婚姻关系存续时间五个月，彩礼款176000元是2023年湖南省城镇居民人均可支配收入49243元的三倍以上，属于彩礼数额明显过高的情形。根据女方得到回礼、压箱钱、嫁妆折旧等具体因素来考虑，法院裁定返还比例约为31%。而在杨某某蒲某某婚约财产纠纷中男女双方没有办理结婚登记，仅按照农村的传统习俗举行过婚礼仪式，并短期共同生活。彩礼124047元远远大于当地普通水平，扣除女方陪嫁的六床棉被，法院裁定返还比例约为67%。由表2可知“未共同生活或极短期（&lt;1个月）”与“短期共同生活（1个月至1年）”的平均返还比例仅差6%，两案间差距为36%，在其他因素基本相同的情况下，明显是登记状态让裁量逻辑产生差异所导致。可见结婚登记并非一个能够单独、稳定地决定返还比例的裁判指标，其对返还比例的实际影响高度依附于共同生活时长、彩礼用途及数额等综合情节，呈现明显的波动性与不确定性。</w:t>
      </w:r>
    </w:p>
    <w:bookmarkEnd w:id="143"/>
    <w:bookmarkEnd w:id="144"/>
    <w:p>
      <w:pPr>
        <w:keepNext w:val="0"/>
        <w:keepLines w:val="0"/>
        <w:pageBreakBefore w:val="0"/>
        <w:widowControl w:val="0"/>
        <w:kinsoku/>
        <w:wordWrap/>
        <w:overflowPunct/>
        <w:topLinePunct w:val="0"/>
        <w:autoSpaceDE/>
        <w:autoSpaceDN/>
        <w:bidi w:val="0"/>
        <w:adjustRightInd/>
        <w:snapToGrid/>
        <w:spacing w:before="240" w:after="120" w:line="400" w:lineRule="exact"/>
        <w:ind w:firstLine="482" w:firstLineChars="200"/>
        <w:textAlignment w:val="auto"/>
        <w:outlineLvl w:val="2"/>
        <w:rPr>
          <w:rFonts w:hint="eastAsia" w:ascii="Times New Roman" w:hAnsi="Times New Roman" w:eastAsia="宋体" w:cs="Times New Roman"/>
          <w:b/>
          <w:bCs/>
          <w:sz w:val="24"/>
          <w:szCs w:val="28"/>
          <w:shd w:val="clear" w:color="auto" w:fill="FFFFFF"/>
          <w:lang w:val="en-US" w:eastAsia="zh-CN"/>
        </w:rPr>
      </w:pPr>
      <w:bookmarkStart w:id="145" w:name="_Toc11267"/>
      <w:bookmarkStart w:id="146" w:name="_Toc23893"/>
      <w:r>
        <w:rPr>
          <w:rFonts w:hint="eastAsia" w:ascii="Times New Roman" w:hAnsi="Times New Roman" w:cs="Times New Roman"/>
          <w:b/>
          <w:bCs/>
          <w:sz w:val="24"/>
          <w:szCs w:val="28"/>
          <w:shd w:val="clear" w:color="auto" w:fill="FFFFFF"/>
          <w:lang w:val="en-US" w:eastAsia="zh-CN"/>
        </w:rPr>
        <w:t>2</w:t>
      </w:r>
      <w:r>
        <w:rPr>
          <w:rFonts w:hint="eastAsia" w:ascii="Times New Roman" w:hAnsi="Times New Roman" w:eastAsia="宋体" w:cs="Times New Roman"/>
          <w:b/>
          <w:bCs/>
          <w:sz w:val="24"/>
          <w:szCs w:val="28"/>
          <w:shd w:val="clear" w:color="auto" w:fill="FFFFFF"/>
        </w:rPr>
        <w:t>.</w:t>
      </w:r>
      <w:bookmarkEnd w:id="145"/>
      <w:r>
        <w:rPr>
          <w:rFonts w:hint="eastAsia" w:ascii="Times New Roman" w:hAnsi="Times New Roman" w:eastAsia="宋体" w:cs="Times New Roman"/>
          <w:b/>
          <w:bCs/>
          <w:sz w:val="24"/>
          <w:szCs w:val="28"/>
          <w:shd w:val="clear" w:color="auto" w:fill="FFFFFF"/>
        </w:rPr>
        <w:t>要素权重不</w:t>
      </w:r>
      <w:r>
        <w:rPr>
          <w:rFonts w:hint="eastAsia" w:ascii="Times New Roman" w:hAnsi="Times New Roman" w:cs="Times New Roman"/>
          <w:b/>
          <w:bCs/>
          <w:sz w:val="24"/>
          <w:szCs w:val="28"/>
          <w:shd w:val="clear" w:color="auto" w:fill="FFFFFF"/>
          <w:lang w:val="en-US" w:eastAsia="zh-CN"/>
        </w:rPr>
        <w:t>清晰</w:t>
      </w:r>
      <w:bookmarkEnd w:id="146"/>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通过分析多个具体案例可以发现，上述各要素在影响最终返还比例时，其权重并非固定不变或清晰可辨，常常呈现出权重不明显的状态，导致类似情节却出现比例差异较大的结果。</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bookmarkStart w:id="147" w:name="OLE_LINK27"/>
      <w:r>
        <w:rPr>
          <w:rFonts w:hint="eastAsia" w:ascii="Times New Roman" w:hAnsi="Times New Roman" w:cs="Times New Roman"/>
          <w:sz w:val="24"/>
          <w:lang w:val="en-US" w:eastAsia="zh-CN"/>
        </w:rPr>
        <w:t>共同生活时间作为核心要素，其权重在不同案件中体现不一。孕育情况与过错要素的组合，对返还比例的影响也缺乏一致性。在欧某曾某与王某1王某2等一审民事判决书</w:t>
      </w:r>
      <w:r>
        <w:rPr>
          <w:rStyle w:val="24"/>
          <w:rFonts w:hint="eastAsia" w:ascii="Times New Roman" w:hAnsi="Times New Roman" w:cs="Times New Roman"/>
          <w:sz w:val="24"/>
          <w:lang w:val="en-US" w:eastAsia="zh-CN"/>
        </w:rPr>
        <w:footnoteReference w:id="45"/>
      </w:r>
      <w:r>
        <w:rPr>
          <w:rFonts w:hint="eastAsia" w:ascii="Times New Roman" w:hAnsi="Times New Roman" w:cs="Times New Roman"/>
          <w:sz w:val="24"/>
          <w:lang w:val="en-US" w:eastAsia="zh-CN"/>
        </w:rPr>
        <w:t>中双方共同生活时间为6个月，法院酌情确定返还比例为60%。而在邹某1与邹某2邹某3等一审民事判决书</w:t>
      </w:r>
      <w:r>
        <w:rPr>
          <w:rStyle w:val="24"/>
          <w:rFonts w:hint="eastAsia" w:ascii="Times New Roman" w:hAnsi="Times New Roman" w:cs="Times New Roman"/>
          <w:sz w:val="24"/>
          <w:lang w:val="en-US" w:eastAsia="zh-CN"/>
        </w:rPr>
        <w:footnoteReference w:id="46"/>
      </w:r>
      <w:r>
        <w:rPr>
          <w:rFonts w:hint="eastAsia" w:ascii="Times New Roman" w:hAnsi="Times New Roman" w:cs="Times New Roman"/>
          <w:sz w:val="24"/>
          <w:lang w:val="en-US" w:eastAsia="zh-CN"/>
        </w:rPr>
        <w:t>中双方共同生活一月左右，且女方怀孕并流产，法院确定返还比例为70%。即在司法实践中存在，</w:t>
      </w:r>
      <w:bookmarkStart w:id="148" w:name="OLE_LINK29"/>
      <w:r>
        <w:rPr>
          <w:rFonts w:hint="eastAsia" w:ascii="Times New Roman" w:hAnsi="Times New Roman" w:cs="Times New Roman"/>
          <w:sz w:val="24"/>
          <w:lang w:val="en-US" w:eastAsia="zh-CN"/>
        </w:rPr>
        <w:t>5个月的要素减去女方流产的要素</w:t>
      </w:r>
      <w:bookmarkEnd w:id="148"/>
      <w:r>
        <w:rPr>
          <w:rFonts w:hint="eastAsia" w:ascii="Times New Roman" w:hAnsi="Times New Roman" w:cs="Times New Roman"/>
          <w:sz w:val="24"/>
          <w:lang w:val="en-US" w:eastAsia="zh-CN"/>
        </w:rPr>
        <w:t>可以得出10%的返还比例差距。</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由表2可知“中长期共同生活（1年至3年）”的平均返还比例为45%。在雷某甲雷某乙姚某丙婚约财产纠纷</w:t>
      </w:r>
      <w:r>
        <w:rPr>
          <w:rStyle w:val="24"/>
          <w:rFonts w:hint="eastAsia" w:ascii="Times New Roman" w:hAnsi="Times New Roman" w:cs="Times New Roman"/>
          <w:sz w:val="24"/>
          <w:lang w:val="en-US" w:eastAsia="zh-CN"/>
        </w:rPr>
        <w:footnoteReference w:id="47"/>
      </w:r>
      <w:r>
        <w:rPr>
          <w:rFonts w:hint="eastAsia" w:ascii="Times New Roman" w:hAnsi="Times New Roman" w:cs="Times New Roman"/>
          <w:sz w:val="24"/>
          <w:lang w:val="en-US" w:eastAsia="zh-CN"/>
        </w:rPr>
        <w:t>中双方共同生活两年多，期间女方经历两次引产、一次生育，且男方存在“网络招嫖”等过错，法院最终酌定返还比例为35%，下调了10%。而在曾某1刘某等与尹某二审民事判决书</w:t>
      </w:r>
      <w:r>
        <w:rPr>
          <w:rStyle w:val="24"/>
          <w:rFonts w:hint="eastAsia" w:ascii="Times New Roman" w:hAnsi="Times New Roman" w:cs="Times New Roman"/>
          <w:sz w:val="24"/>
          <w:lang w:val="en-US" w:eastAsia="zh-CN"/>
        </w:rPr>
        <w:footnoteReference w:id="48"/>
      </w:r>
      <w:r>
        <w:rPr>
          <w:rFonts w:hint="eastAsia" w:ascii="Times New Roman" w:hAnsi="Times New Roman" w:cs="Times New Roman"/>
          <w:sz w:val="24"/>
          <w:lang w:val="en-US" w:eastAsia="zh-CN"/>
        </w:rPr>
        <w:t>中双方共同生活两年多，女方曾怀孕流产，因女方拒绝办理结婚登记，一审法院认定其为主要过错方，二审法院在一审基础上将80%的返还比例调整至70%，上调了25%。</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笔者认为女方拒绝办理结婚登记的参考要素权重明显不大于女方经历一次引产、一次生育加男方存在“网络招嫖”参考要素权重的两倍，女方经历一次引产、一次生育加男方存在“网络招嫖”参考要素权重也不能等同5个月的要素减去女方流产的要素所得权重。</w:t>
      </w:r>
      <w:bookmarkStart w:id="149" w:name="OLE_LINK28"/>
      <w:r>
        <w:rPr>
          <w:rFonts w:hint="eastAsia" w:ascii="Times New Roman" w:hAnsi="Times New Roman" w:cs="Times New Roman"/>
          <w:sz w:val="24"/>
          <w:lang w:val="en-US" w:eastAsia="zh-CN"/>
        </w:rPr>
        <w:t>并且邹某1案和曾某1案返还比例相同意味着共同生活一月加女方流产等于双方共同生活两年多加女方拒绝办理结婚登记加女方流产。这意味着，在司法实践中，较短的共同生活时间可以被等量齐观为较长的共同生活加上女方自身的缔约过错。</w:t>
      </w:r>
      <w:bookmarkEnd w:id="138"/>
      <w:bookmarkEnd w:id="142"/>
      <w:bookmarkEnd w:id="147"/>
      <w:bookmarkEnd w:id="149"/>
      <w:r>
        <w:rPr>
          <w:rFonts w:hint="eastAsia" w:ascii="Times New Roman" w:hAnsi="Times New Roman" w:cs="Times New Roman"/>
          <w:sz w:val="24"/>
          <w:lang w:val="en-US" w:eastAsia="zh-CN"/>
        </w:rPr>
        <w:t>可见，共同生活、过错与孕育等核心要素，在法官的个案权衡中并不具备相对固定的换算权重，而是被高度灵活的裁量所吸附，缺乏清晰标准。</w:t>
      </w:r>
    </w:p>
    <w:p>
      <w:pPr>
        <w:keepNext w:val="0"/>
        <w:keepLines w:val="0"/>
        <w:pageBreakBefore w:val="0"/>
        <w:widowControl w:val="0"/>
        <w:numPr>
          <w:ilvl w:val="0"/>
          <w:numId w:val="0"/>
        </w:numPr>
        <w:kinsoku/>
        <w:wordWrap/>
        <w:overflowPunct/>
        <w:topLinePunct w:val="0"/>
        <w:autoSpaceDE/>
        <w:autoSpaceDN/>
        <w:bidi w:val="0"/>
        <w:adjustRightInd/>
        <w:snapToGrid/>
        <w:spacing w:before="480" w:after="360" w:line="400" w:lineRule="exact"/>
        <w:ind w:left="0" w:leftChars="0" w:firstLine="314" w:firstLineChars="131"/>
        <w:textAlignment w:val="auto"/>
        <w:outlineLvl w:val="0"/>
        <w:rPr>
          <w:rFonts w:hint="eastAsia" w:ascii="Times New Roman" w:hAnsi="Times New Roman"/>
          <w:b/>
          <w:bCs/>
          <w:color w:val="000000"/>
          <w:sz w:val="32"/>
          <w:szCs w:val="32"/>
          <w:shd w:val="clear" w:color="auto" w:fill="FFFFFF"/>
        </w:rPr>
      </w:pPr>
      <w:r>
        <w:rPr>
          <w:rFonts w:hint="eastAsia" w:ascii="Times New Roman" w:hAnsi="Times New Roman" w:cs="Times New Roman"/>
          <w:sz w:val="24"/>
          <w:lang w:val="en-US" w:eastAsia="zh-CN"/>
        </w:rPr>
        <w:br w:type="page"/>
      </w:r>
      <w:bookmarkStart w:id="150" w:name="_Toc4833"/>
      <w:bookmarkStart w:id="151" w:name="OLE_LINK10"/>
      <w:bookmarkStart w:id="152" w:name="_Toc3925"/>
      <w:r>
        <w:rPr>
          <w:rFonts w:hint="eastAsia" w:ascii="Times New Roman" w:hAnsi="Times New Roman" w:cs="Times New Roman"/>
          <w:b/>
          <w:bCs/>
          <w:sz w:val="32"/>
          <w:szCs w:val="32"/>
          <w:lang w:val="en-US" w:eastAsia="zh-CN"/>
        </w:rPr>
        <w:t>五、</w:t>
      </w:r>
      <w:r>
        <w:rPr>
          <w:rFonts w:hint="eastAsia" w:ascii="Times New Roman" w:hAnsi="Times New Roman"/>
          <w:b/>
          <w:bCs/>
          <w:color w:val="000000"/>
          <w:sz w:val="32"/>
          <w:szCs w:val="32"/>
          <w:shd w:val="clear" w:color="auto" w:fill="FFFFFF"/>
        </w:rPr>
        <w:t>彩礼返还规则完善建议</w:t>
      </w:r>
      <w:bookmarkEnd w:id="150"/>
      <w:bookmarkEnd w:id="151"/>
      <w:bookmarkEnd w:id="152"/>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彩礼是带有浓厚中华传统文化色彩的婚俗，它包含着双方对于婚姻长久稳定的深厚情感。尽管《民法典》婚姻家庭编解释（一）第五条及《彩礼适用规定》已经对相关争议进行了初步的规范，但是在诉讼主体资格认定、财产范围界定以及返还比例确定等各方面仍然存在着法律适用上的模糊之处。因此本文以完善彩礼返还制度为研究对象，试图给司法裁判提供有实用价值的理论支持和决策参考。</w:t>
      </w:r>
    </w:p>
    <w:p>
      <w:pPr>
        <w:keepNext w:val="0"/>
        <w:keepLines w:val="0"/>
        <w:pageBreakBefore w:val="0"/>
        <w:widowControl w:val="0"/>
        <w:kinsoku/>
        <w:wordWrap/>
        <w:overflowPunct/>
        <w:topLinePunct w:val="0"/>
        <w:autoSpaceDE/>
        <w:autoSpaceDN/>
        <w:bidi w:val="0"/>
        <w:adjustRightInd/>
        <w:snapToGrid/>
        <w:spacing w:before="480" w:after="120" w:line="400" w:lineRule="exact"/>
        <w:ind w:firstLine="562" w:firstLineChars="200"/>
        <w:textAlignment w:val="auto"/>
        <w:outlineLvl w:val="1"/>
        <w:rPr>
          <w:rFonts w:hint="eastAsia" w:ascii="Times New Roman" w:hAnsi="Times New Roman"/>
          <w:b/>
          <w:sz w:val="28"/>
          <w:szCs w:val="30"/>
          <w:shd w:val="clear" w:color="auto" w:fill="FFFFFF"/>
        </w:rPr>
      </w:pPr>
      <w:bookmarkStart w:id="153" w:name="_Toc13181"/>
      <w:bookmarkStart w:id="154" w:name="_Toc22371"/>
      <w:bookmarkStart w:id="155" w:name="_Toc13370"/>
      <w:bookmarkStart w:id="156" w:name="_Toc387"/>
      <w:bookmarkStart w:id="157" w:name="_Toc22844"/>
      <w:bookmarkStart w:id="158" w:name="_Toc28228"/>
      <w:bookmarkStart w:id="159" w:name="_Toc23535_WPSOffice_Level2"/>
      <w:bookmarkStart w:id="160" w:name="_Toc25882"/>
      <w:bookmarkStart w:id="161" w:name="_Toc890"/>
      <w:bookmarkStart w:id="162" w:name="_Toc24474"/>
      <w:r>
        <w:rPr>
          <w:rFonts w:hint="eastAsia" w:ascii="Times New Roman" w:hAnsi="Times New Roman"/>
          <w:b/>
          <w:sz w:val="28"/>
          <w:szCs w:val="30"/>
          <w:shd w:val="clear" w:color="auto" w:fill="FFFFFF"/>
        </w:rPr>
        <w:t>（一）</w:t>
      </w:r>
      <w:bookmarkEnd w:id="153"/>
      <w:bookmarkEnd w:id="154"/>
      <w:bookmarkEnd w:id="155"/>
      <w:bookmarkEnd w:id="156"/>
      <w:bookmarkEnd w:id="157"/>
      <w:bookmarkEnd w:id="158"/>
      <w:bookmarkEnd w:id="159"/>
      <w:bookmarkEnd w:id="160"/>
      <w:r>
        <w:rPr>
          <w:rFonts w:hint="eastAsia" w:ascii="Times New Roman" w:hAnsi="Times New Roman"/>
          <w:b/>
          <w:sz w:val="28"/>
          <w:szCs w:val="30"/>
          <w:shd w:val="clear" w:color="auto" w:fill="FFFFFF"/>
        </w:rPr>
        <w:t>扩大诉讼主体范围</w:t>
      </w:r>
      <w:bookmarkEnd w:id="161"/>
      <w:bookmarkEnd w:id="162"/>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婚约的本质是男女双方自主订立的身份预约，彩礼给付是依附于婚约的目的性赠与，婚约的相对方仅为男女双方，父母并非婚约主体。若允许父母脱离婚约当事人单独参与诉讼，实质是变相认可“父母之命、媒妁之言”的优先效力，与《民法典》第1042条禁止包办婚姻、第1046条结婚应当男女双方完全自愿的规定直接冲突。</w:t>
      </w:r>
      <w:r>
        <w:rPr>
          <w:rStyle w:val="24"/>
          <w:rFonts w:hint="eastAsia" w:ascii="Times New Roman" w:hAnsi="Times New Roman" w:cs="Times New Roman"/>
          <w:sz w:val="24"/>
          <w:lang w:val="en-US" w:eastAsia="zh-CN"/>
        </w:rPr>
        <w:footnoteReference w:id="49"/>
      </w:r>
      <w:r>
        <w:rPr>
          <w:rFonts w:hint="default" w:ascii="Times New Roman" w:hAnsi="Times New Roman" w:cs="Times New Roman"/>
          <w:sz w:val="24"/>
          <w:lang w:val="en-US" w:eastAsia="zh-CN"/>
        </w:rPr>
        <w:t>“</w:t>
      </w:r>
      <w:r>
        <w:rPr>
          <w:rFonts w:hint="eastAsia" w:ascii="Times New Roman" w:hAnsi="Times New Roman" w:cs="Times New Roman"/>
          <w:sz w:val="24"/>
          <w:lang w:val="en-US" w:eastAsia="zh-CN"/>
        </w:rPr>
        <w:t>《彩礼纠纷规定》第4条未将诉讼主体扩大到除父母之外的其他亲属，是考虑到过多人涉诉会严重影响诉讼效率并激化社会矛盾，但并不意味着司法实践中绝对禁止其他近亲属作为彩礼的实际给付人及接收人参与诉讼。如果婚约一方父母早亡，其他亲属抚养长大并在彩礼给付接收中代行父母职责，可以参照适用《彩礼纠纷规定》第4条</w:t>
      </w:r>
      <w:r>
        <w:rPr>
          <w:rFonts w:hint="default" w:ascii="Times New Roman" w:hAnsi="Times New Roman" w:cs="Times New Roman"/>
          <w:sz w:val="24"/>
          <w:lang w:val="en-US" w:eastAsia="zh-CN"/>
        </w:rPr>
        <w:t>”</w:t>
      </w:r>
      <w:r>
        <w:rPr>
          <w:rStyle w:val="24"/>
          <w:rFonts w:hint="eastAsia" w:ascii="Times New Roman" w:hAnsi="Times New Roman" w:cs="Times New Roman"/>
          <w:sz w:val="24"/>
          <w:lang w:val="en-US" w:eastAsia="zh-CN"/>
        </w:rPr>
        <w:footnoteReference w:id="50"/>
      </w:r>
      <w:r>
        <w:rPr>
          <w:rFonts w:hint="eastAsia" w:ascii="Times New Roman" w:hAnsi="Times New Roman" w:cs="Times New Roman"/>
          <w:sz w:val="24"/>
          <w:lang w:val="en-US" w:eastAsia="zh-CN"/>
        </w:rPr>
        <w:t>。之所以将父母纳入共同主体，是基于习俗中父母参与给付接收的现实，而非承认其婚约主体地位。从主体适格的逻辑来看，婚约财产纠纷的请求权基础是婚约解除后的目的不达不当得利，而婚约的双方当事人是男女双方，父母仅为彩礼的实际给付或接收方，并非婚约关系的相对方。彩礼给付的意思表示是向婚约相对方作出，即便由父母代为交付，法律效果也归属于婚约当事人，父母并非法律关系的直接主体，仅在实际给付/接收且婚约当事人无行为能力等例外情形下，才可作为单独主体参与诉讼</w:t>
      </w:r>
      <w:r>
        <w:rPr>
          <w:rStyle w:val="24"/>
          <w:rFonts w:hint="eastAsia" w:ascii="Times New Roman" w:hAnsi="Times New Roman" w:cs="Times New Roman"/>
          <w:sz w:val="24"/>
          <w:lang w:val="en-US" w:eastAsia="zh-CN"/>
        </w:rPr>
        <w:footnoteReference w:id="51"/>
      </w:r>
      <w:r>
        <w:rPr>
          <w:rFonts w:hint="eastAsia" w:ascii="Times New Roman" w:hAnsi="Times New Roman" w:cs="Times New Roman"/>
          <w:sz w:val="24"/>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对于彩礼返还纠纷中诉讼主体的认定问题，要根据具体的案情事实作出相应的调整，以适应新的情况。主要涉及以下情况，在婚约当事人去世或者宣告失踪的时候，由于婚姻关系随着主体的消失而终止，如果彩礼的实际支配者是双方的父母，那么可以作为独立的原告主张权利；对于不满十八周岁或者丧失行为能力的当事人，法定代理人（父母）有权代为提起诉讼；如果彩礼款被近亲属非法占有，权利人下落不明无法维权的，可以通过司法程序确认其应当得到的份额，责令相关责任人承担连带赔偿责任；如果彩礼已经转给除配偶之外的其他人名下的，应当追加这些人作为共同被告，并根据各自的收益比例来确定具体的法律责任范围。</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综上，确立了原则性禁止、例外性许可的法律规范框架，即一般情况下诉讼主体为婚约当事人及其实际收受或者支付彩礼的父母，以共同原告身份参加诉讼；只有在特殊情况下，才可以将父母作为独立的诉讼主体。</w:t>
      </w:r>
    </w:p>
    <w:p>
      <w:pPr>
        <w:keepNext w:val="0"/>
        <w:keepLines w:val="0"/>
        <w:pageBreakBefore w:val="0"/>
        <w:widowControl w:val="0"/>
        <w:numPr>
          <w:ilvl w:val="0"/>
          <w:numId w:val="0"/>
        </w:numPr>
        <w:kinsoku/>
        <w:wordWrap/>
        <w:overflowPunct/>
        <w:topLinePunct w:val="0"/>
        <w:autoSpaceDE/>
        <w:autoSpaceDN/>
        <w:bidi w:val="0"/>
        <w:adjustRightInd/>
        <w:snapToGrid/>
        <w:spacing w:before="480" w:after="120" w:line="400" w:lineRule="exact"/>
        <w:ind w:left="0" w:leftChars="0" w:firstLine="562" w:firstLineChars="200"/>
        <w:textAlignment w:val="auto"/>
        <w:outlineLvl w:val="1"/>
        <w:rPr>
          <w:rFonts w:hint="eastAsia" w:ascii="Times New Roman" w:hAnsi="Times New Roman" w:eastAsia="宋体" w:cs="Times New Roman"/>
          <w:b/>
          <w:sz w:val="28"/>
          <w:szCs w:val="30"/>
          <w:shd w:val="clear" w:color="auto" w:fill="FFFFFF"/>
        </w:rPr>
      </w:pPr>
      <w:bookmarkStart w:id="163" w:name="_Toc29853"/>
      <w:bookmarkStart w:id="164" w:name="_Toc21483"/>
      <w:r>
        <w:rPr>
          <w:rFonts w:hint="eastAsia" w:ascii="Times New Roman" w:hAnsi="Times New Roman" w:eastAsia="宋体" w:cs="Times New Roman"/>
          <w:b/>
          <w:kern w:val="2"/>
          <w:sz w:val="28"/>
          <w:szCs w:val="30"/>
          <w:shd w:val="clear" w:color="auto" w:fill="FFFFFF"/>
          <w:lang w:val="en-US" w:eastAsia="zh-CN" w:bidi="ar-SA"/>
        </w:rPr>
        <w:t>（</w:t>
      </w:r>
      <w:r>
        <w:rPr>
          <w:rFonts w:hint="eastAsia" w:ascii="Times New Roman" w:hAnsi="Times New Roman" w:cs="Times New Roman"/>
          <w:b/>
          <w:kern w:val="2"/>
          <w:sz w:val="28"/>
          <w:szCs w:val="30"/>
          <w:shd w:val="clear" w:color="auto" w:fill="FFFFFF"/>
          <w:lang w:val="en-US" w:eastAsia="zh-CN" w:bidi="ar-SA"/>
        </w:rPr>
        <w:t>二</w:t>
      </w:r>
      <w:r>
        <w:rPr>
          <w:rFonts w:hint="eastAsia" w:ascii="Times New Roman" w:hAnsi="Times New Roman" w:eastAsia="宋体" w:cs="Times New Roman"/>
          <w:b/>
          <w:kern w:val="2"/>
          <w:sz w:val="28"/>
          <w:szCs w:val="30"/>
          <w:shd w:val="clear" w:color="auto" w:fill="FFFFFF"/>
          <w:lang w:val="en-US" w:eastAsia="zh-CN" w:bidi="ar-SA"/>
        </w:rPr>
        <w:t>）</w:t>
      </w:r>
      <w:r>
        <w:rPr>
          <w:rFonts w:hint="eastAsia" w:ascii="Times New Roman" w:hAnsi="Times New Roman" w:eastAsia="宋体" w:cs="Times New Roman"/>
          <w:b/>
          <w:sz w:val="28"/>
          <w:szCs w:val="30"/>
          <w:shd w:val="clear" w:color="auto" w:fill="FFFFFF"/>
        </w:rPr>
        <w:t>彩礼及返还范围的界定</w:t>
      </w:r>
      <w:bookmarkEnd w:id="163"/>
      <w:bookmarkEnd w:id="164"/>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将缔结婚姻为目的的行为属性作为彩礼认定标准受司法实践中普遍认可。如订婚仪式、迎亲活动或者双方家长协商婚约等传统习俗节点所支付的财物，一般会被认定为彩礼，除非当事人能够提供充分的证据证明其有其他的用途；因订立婚约而购买的价值较高、具有特殊纪念意义的物品（金银饰品、高端电子产品等），即使没有直接交给对方个人，但如果已经被对方家庭成员长期实际使用，那么就应该将其计入彩礼总额之中，并扣除合理的折旧费用后确定最终金额等。</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对于缔结婚姻目的，应当界定为婚约中的男女双方建立家庭成员关系，形成稳定的共同生活体，而非缔结婚姻（登记结婚）</w:t>
      </w:r>
      <w:r>
        <w:rPr>
          <w:rStyle w:val="24"/>
          <w:rFonts w:hint="eastAsia" w:ascii="Times New Roman" w:hAnsi="Times New Roman" w:cs="Times New Roman"/>
          <w:sz w:val="24"/>
          <w:lang w:val="en-US" w:eastAsia="zh-CN"/>
        </w:rPr>
        <w:footnoteReference w:id="52"/>
      </w:r>
      <w:r>
        <w:rPr>
          <w:rFonts w:hint="eastAsia" w:ascii="Times New Roman" w:hAnsi="Times New Roman" w:cs="Times New Roman"/>
          <w:sz w:val="24"/>
          <w:lang w:val="en-US" w:eastAsia="zh-CN"/>
        </w:rPr>
        <w:t>。即婚姻目的不应被简单等同于“缔结婚姻”这一程序性瞬间，而应被理解为一种动态的、持续性的“共同生活共同体”建构过程。传统观念往往将婚姻目的窄化为完成结婚登记或举办婚礼，但现代婚姻的本质在于双方在情感互依、经济互助、家庭责任共担以及精神成长等多维度上实现深度融合。对于婚姻目的的实现应当看双方是否真正进入并维持着一种“共享生活、共担风险、共建命运”的实质性状态。</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《彩礼</w:t>
      </w:r>
      <w:r>
        <w:rPr>
          <w:rFonts w:hint="eastAsia" w:ascii="Times New Roman" w:hAnsi="Times New Roman" w:cs="Times New Roman"/>
          <w:sz w:val="24"/>
          <w:lang w:val="en-US" w:eastAsia="zh-CN"/>
        </w:rPr>
        <w:t>适用</w:t>
      </w:r>
      <w:r>
        <w:rPr>
          <w:rFonts w:hint="default" w:ascii="Times New Roman" w:hAnsi="Times New Roman" w:cs="Times New Roman"/>
          <w:sz w:val="24"/>
          <w:lang w:val="en-US" w:eastAsia="zh-CN"/>
        </w:rPr>
        <w:t>规定》第三条明确三类财物不属于彩礼，实务中需</w:t>
      </w:r>
      <w:r>
        <w:rPr>
          <w:rFonts w:hint="eastAsia" w:ascii="Times New Roman" w:hAnsi="Times New Roman" w:cs="Times New Roman"/>
          <w:sz w:val="24"/>
          <w:lang w:val="en-US" w:eastAsia="zh-CN"/>
        </w:rPr>
        <w:t>基于2025年湖南居民人均可支配收入39545元</w:t>
      </w:r>
      <w:r>
        <w:rPr>
          <w:rStyle w:val="24"/>
          <w:rFonts w:hint="eastAsia" w:ascii="Times New Roman" w:hAnsi="Times New Roman" w:cs="Times New Roman"/>
          <w:sz w:val="24"/>
          <w:lang w:val="en-US" w:eastAsia="zh-CN"/>
        </w:rPr>
        <w:footnoteReference w:id="53"/>
      </w:r>
      <w:r>
        <w:rPr>
          <w:rFonts w:hint="default" w:ascii="Times New Roman" w:hAnsi="Times New Roman" w:cs="Times New Roman"/>
          <w:sz w:val="24"/>
          <w:lang w:val="en-US" w:eastAsia="zh-CN"/>
        </w:rPr>
        <w:t>设置量化上限，</w:t>
      </w:r>
      <w:r>
        <w:rPr>
          <w:rFonts w:hint="eastAsia" w:ascii="Times New Roman" w:hAnsi="Times New Roman" w:cs="Times New Roman"/>
          <w:sz w:val="24"/>
          <w:lang w:val="en-US" w:eastAsia="zh-CN"/>
        </w:rPr>
        <w:t>减少</w:t>
      </w:r>
      <w:r>
        <w:rPr>
          <w:rFonts w:hint="default" w:ascii="Times New Roman" w:hAnsi="Times New Roman" w:cs="Times New Roman"/>
          <w:sz w:val="24"/>
          <w:lang w:val="en-US" w:eastAsia="zh-CN"/>
        </w:rPr>
        <w:t>当事人举证</w:t>
      </w:r>
      <w:r>
        <w:rPr>
          <w:rFonts w:hint="eastAsia" w:ascii="Times New Roman" w:hAnsi="Times New Roman" w:cs="Times New Roman"/>
          <w:sz w:val="24"/>
          <w:lang w:val="en-US" w:eastAsia="zh-CN"/>
        </w:rPr>
        <w:t>压力</w:t>
      </w:r>
      <w:r>
        <w:rPr>
          <w:rFonts w:hint="default" w:ascii="Times New Roman" w:hAnsi="Times New Roman" w:cs="Times New Roman"/>
          <w:sz w:val="24"/>
          <w:lang w:val="en-US" w:eastAsia="zh-CN"/>
        </w:rPr>
        <w:t>，有效地解决案件审理过程中存在的事实认定难题；对于超过此标准的情形，要求相关当事人提交充分的证据来证明其具体的性质，以防止机械裁判所造成的法律风险。</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在某些情况下，如果转账行为主要是为了加强感情而并非是为了缔结婚姻目的，那么就很难符合传统彩礼法律关系的本质特征。对于小额转账的判断标准一般以客观条件为主，即单笔转账金额少于人民币2000元或者当地居民月均收入的50%，一般采取推定规则来认定不属于彩礼范围；反之，如果单笔转账金额超过这个标准，则需要接收方承担举证责任，证明该笔款项不是非金钱性质的情感赠与，否则会被认定为彩礼。日常小额转账也要遵循类似的逻辑分析，单笔转账不超过人民币1000元、年度累计总额不超过当地居民月平均收入的20%、全年接收总金额不超过5000元的情况一般不被认定为彩礼。对于某个时间段内的转账行为，如果单笔转账金额不超过人民币1000元，年度累计总额不超过当地居民月平均收入的20%，且全年收到总额不超过5000元，则一般认为是不属于彩礼范畴的。根据地方习俗形成的礼节性往来，即婚前见面礼、节日红包或者媒人酬金等，一般被视作双方自愿的表示善意，属于非彩礼范畴。夫妻共同生活期间因日常生活开销而产生的合理费用（住宿费、水电煤气费、餐饮费、小额购物等），由于双方均有分担义务且单次金额一般不会超过个人月收入的一定比例，因此不属于彩礼范围。而作为女方家庭对于新婚生活支持形式的嫁妆，在原定用途不能实现的时候，可以在评估彩礼总额的时候适当扣除相应的价值，防止出现过度的利益获取。</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经由创建起“正面要素剖析-分类归纳整理-反向排除界定-数量上限划定”这一个层次的法律适用架构，司法人员可以较好地弄清彩礼概念的内涵，达成湖南省内同类案件裁判标准的一致性，而且有益于法律规范同社会伦理价值形成良好的互动。</w:t>
      </w:r>
    </w:p>
    <w:p>
      <w:pPr>
        <w:keepNext w:val="0"/>
        <w:keepLines w:val="0"/>
        <w:pageBreakBefore w:val="0"/>
        <w:widowControl w:val="0"/>
        <w:numPr>
          <w:ilvl w:val="0"/>
          <w:numId w:val="3"/>
        </w:numPr>
        <w:kinsoku/>
        <w:wordWrap/>
        <w:overflowPunct/>
        <w:topLinePunct w:val="0"/>
        <w:autoSpaceDE/>
        <w:autoSpaceDN/>
        <w:bidi w:val="0"/>
        <w:adjustRightInd/>
        <w:snapToGrid/>
        <w:spacing w:before="480" w:after="120" w:line="400" w:lineRule="exact"/>
        <w:ind w:left="0" w:leftChars="0" w:firstLine="562" w:firstLineChars="200"/>
        <w:textAlignment w:val="auto"/>
        <w:outlineLvl w:val="1"/>
        <w:rPr>
          <w:rFonts w:hint="eastAsia" w:ascii="Times New Roman" w:hAnsi="Times New Roman" w:cs="Times New Roman"/>
          <w:b/>
          <w:sz w:val="28"/>
          <w:szCs w:val="30"/>
          <w:shd w:val="clear" w:color="auto" w:fill="FFFFFF"/>
          <w:lang w:val="en-US" w:eastAsia="zh-CN"/>
        </w:rPr>
      </w:pPr>
      <w:bookmarkStart w:id="165" w:name="_Toc28953"/>
      <w:bookmarkStart w:id="166" w:name="_Toc16329"/>
      <w:r>
        <w:rPr>
          <w:rFonts w:hint="eastAsia" w:ascii="Times New Roman" w:hAnsi="Times New Roman" w:cs="Times New Roman"/>
          <w:b/>
          <w:sz w:val="28"/>
          <w:szCs w:val="30"/>
          <w:shd w:val="clear" w:color="auto" w:fill="FFFFFF"/>
          <w:lang w:val="en-US" w:eastAsia="zh-CN"/>
        </w:rPr>
        <w:t>彩礼返还的动态体系构建</w:t>
      </w:r>
      <w:bookmarkEnd w:id="165"/>
      <w:bookmarkEnd w:id="166"/>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我国现行彩礼返还制度的核心要义，主要依靠《民法典婚姻家庭编解释（一）》第5条所确定的基本规则，即以结婚登记为节点进行法律调整。虽然2024年颁布的《彩礼适用规定》对“未登记但共同生活”“已登记但共同生活较短”两类情形进行了规定，但是整体框架上仍然沿用了传统的以结婚登记为唯一判断标准的思想。动态体系构建的首要前提，是破除“结婚登记=彩礼给付目的实现”的形式主义逻辑，重新聚焦彩礼给付“组建稳定家庭共同体”的本质目的。</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lang w:val="en-US" w:eastAsia="zh-CN"/>
        </w:rPr>
      </w:pPr>
      <w:r>
        <w:rPr>
          <w:rFonts w:hint="default" w:ascii="Times New Roman" w:hAnsi="Times New Roman" w:cs="Times New Roman"/>
          <w:sz w:val="24"/>
          <w:lang w:val="en-US" w:eastAsia="zh-CN"/>
        </w:rPr>
        <w:t>结婚登记是我国法律规定的婚姻关系生效的形式要件，但将其作为彩礼返还的唯一或首要前提，既不符合彩礼的习俗本质，也与司法实践的实际运行脱节。结婚登记并不等同于婚姻本身，应当以家庭成员要素重塑结婚登记要素，建立家庭成员和彩礼金额的双层构造模式</w:t>
      </w:r>
      <w:r>
        <w:rPr>
          <w:rFonts w:hint="default" w:ascii="Times New Roman" w:hAnsi="Times New Roman" w:cs="Times New Roman"/>
          <w:sz w:val="24"/>
          <w:vertAlign w:val="superscript"/>
          <w:lang w:val="en-US" w:eastAsia="zh-CN"/>
        </w:rPr>
        <w:fldChar w:fldCharType="begin"/>
      </w:r>
      <w:r>
        <w:rPr>
          <w:rFonts w:hint="default" w:ascii="Times New Roman" w:hAnsi="Times New Roman" w:cs="Times New Roman"/>
          <w:sz w:val="24"/>
          <w:vertAlign w:val="superscript"/>
          <w:lang w:val="en-US" w:eastAsia="zh-CN"/>
        </w:rPr>
        <w:instrText xml:space="preserve"> NOTEREF _Ref17563 \h </w:instrText>
      </w:r>
      <w:r>
        <w:rPr>
          <w:rFonts w:hint="default" w:ascii="Times New Roman" w:hAnsi="Times New Roman" w:cs="Times New Roman"/>
          <w:sz w:val="24"/>
          <w:vertAlign w:val="superscript"/>
          <w:lang w:val="en-US" w:eastAsia="zh-CN"/>
        </w:rPr>
        <w:fldChar w:fldCharType="separate"/>
      </w:r>
      <w:r>
        <w:rPr>
          <w:rFonts w:hint="default" w:ascii="Times New Roman" w:hAnsi="Times New Roman" w:cs="Times New Roman"/>
          <w:sz w:val="24"/>
          <w:vertAlign w:val="superscript"/>
          <w:lang w:val="en-US" w:eastAsia="zh-CN"/>
        </w:rPr>
        <w:t>①</w:t>
      </w:r>
      <w:r>
        <w:rPr>
          <w:rFonts w:hint="default" w:ascii="Times New Roman" w:hAnsi="Times New Roman" w:cs="Times New Roman"/>
          <w:sz w:val="24"/>
          <w:vertAlign w:val="superscript"/>
          <w:lang w:val="en-US" w:eastAsia="zh-CN"/>
        </w:rPr>
        <w:fldChar w:fldCharType="end"/>
      </w:r>
      <w:r>
        <w:rPr>
          <w:rFonts w:hint="eastAsia" w:ascii="Times New Roman" w:hAnsi="Times New Roman"/>
          <w:sz w:val="24"/>
          <w:lang w:val="en-US" w:eastAsia="zh-CN"/>
        </w:rPr>
        <w:t>。有观点认为彩礼给付的最终目的应仅限于“办理结婚登记”这一身份关系变动的决定性要件，“共同生活”不具备决定身份关系变动的效力，不应纳入彩礼给付目的范畴，否则会弱化结婚登记的法定效力，过度约束受领方</w:t>
      </w:r>
      <w:r>
        <w:rPr>
          <w:rStyle w:val="24"/>
          <w:rFonts w:hint="eastAsia" w:ascii="Times New Roman" w:hAnsi="Times New Roman"/>
          <w:sz w:val="24"/>
          <w:lang w:val="en-US" w:eastAsia="zh-CN"/>
        </w:rPr>
        <w:footnoteReference w:id="54"/>
      </w:r>
      <w:r>
        <w:rPr>
          <w:rFonts w:hint="eastAsia" w:ascii="Times New Roman" w:hAnsi="Times New Roman"/>
          <w:sz w:val="24"/>
          <w:lang w:val="en-US" w:eastAsia="zh-CN"/>
        </w:rPr>
        <w:t>。虽强调了登记的法定效力，但忽略了近年来我国非婚同居在一定范围内呈现上升趋势</w:t>
      </w:r>
      <w:r>
        <w:rPr>
          <w:rStyle w:val="24"/>
          <w:rFonts w:hint="eastAsia" w:ascii="Times New Roman" w:hAnsi="Times New Roman"/>
          <w:sz w:val="24"/>
          <w:lang w:val="en-US" w:eastAsia="zh-CN"/>
        </w:rPr>
        <w:footnoteReference w:id="55"/>
      </w:r>
      <w:r>
        <w:rPr>
          <w:rFonts w:hint="eastAsia" w:ascii="Times New Roman" w:hAnsi="Times New Roman"/>
          <w:sz w:val="24"/>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lang w:val="en-US" w:eastAsia="zh-CN"/>
        </w:rPr>
      </w:pPr>
      <w:r>
        <w:rPr>
          <w:rFonts w:hint="default" w:ascii="Times New Roman" w:hAnsi="Times New Roman"/>
          <w:sz w:val="24"/>
          <w:lang w:val="en-US" w:eastAsia="zh-CN"/>
        </w:rPr>
        <w:t>彩礼返还请求权的成立应以“双方是否长期共同生活”为核心，未办理结婚登记并非独立的成立要件，即使已办理结婚登记，若未长期共同生活，仍可触发返还请求权；反之若已长期共同生活，即使未登记，也可排除返还请求权</w:t>
      </w:r>
      <w:r>
        <w:rPr>
          <w:rStyle w:val="24"/>
          <w:rFonts w:hint="default" w:ascii="Times New Roman" w:hAnsi="Times New Roman"/>
          <w:sz w:val="24"/>
          <w:lang w:val="en-US" w:eastAsia="zh-CN"/>
        </w:rPr>
        <w:footnoteReference w:id="56"/>
      </w:r>
      <w:r>
        <w:rPr>
          <w:rFonts w:hint="default" w:ascii="Times New Roman" w:hAnsi="Times New Roman"/>
          <w:sz w:val="24"/>
          <w:lang w:val="en-US" w:eastAsia="zh-CN"/>
        </w:rPr>
        <w:t>。</w:t>
      </w:r>
      <w:r>
        <w:rPr>
          <w:rFonts w:hint="eastAsia" w:ascii="Times New Roman" w:hAnsi="Times New Roman"/>
          <w:sz w:val="24"/>
          <w:lang w:val="en-US" w:eastAsia="zh-CN"/>
        </w:rPr>
        <w:t>实践中，法官也并非机械性适用结婚登记这一法定前提，而是通过多方面因素考量。</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放弃登记作为首要判断标准，并非完全否定登记的效力，而是构建以多要素协同的动态体系以适应现实生活中错综复杂的案件。共同生活及孕育情况因素作为第一顺位，具备稳定的家庭成员关系通常不再返还彩礼，此时判断标准包括共同生活、孕育情况、结婚登记情况等，仅在高额彩礼时例外成立返还请求权</w:t>
      </w:r>
      <w:bookmarkStart w:id="167" w:name="_Ref7242"/>
      <w:r>
        <w:rPr>
          <w:rStyle w:val="24"/>
          <w:rFonts w:hint="eastAsia" w:ascii="Times New Roman" w:hAnsi="Times New Roman"/>
          <w:sz w:val="24"/>
          <w:lang w:val="en-US" w:eastAsia="zh-CN"/>
        </w:rPr>
        <w:footnoteReference w:id="57"/>
      </w:r>
      <w:bookmarkEnd w:id="167"/>
      <w:r>
        <w:rPr>
          <w:rFonts w:hint="eastAsia" w:ascii="Times New Roman" w:hAnsi="Times New Roman"/>
          <w:sz w:val="24"/>
          <w:lang w:val="en-US" w:eastAsia="zh-CN"/>
        </w:rPr>
        <w:t>。作为一种例外情况赋予法官一定自由裁量权，结合具体情况确定返还比例。从案例来看，高于当地人均收入3倍的彩礼即属于高价彩礼。若彩礼数额远超当地居民人均可支配收入或给付方家庭经济承受能力时，其性质往往会异化，从“资助”变成了“剥削”，因此，将彩礼数额因素作为第二顺位，使得法官可以对其矫正。与“家庭成员关系”和“高额彩礼”相比，“双方过错”这一要素的权重应被置于最低层级，即第三顺位。其功能应当被严格限定在“返还比例”的调整上，而不能作为确定“是否返还”的依据。过错要素具有高度的主观性和不确定性。何为“过错”？悔婚是否算过错？性格不合是否算过错？不同的认知会导致截然不同的判决。若允许过错要素独立影响返还请求权的成立，极易与“婚姻自由”原则产生冲突，因为婚姻自由本身就包含了“悔婚”的自由</w:t>
      </w:r>
      <w:r>
        <w:rPr>
          <w:rFonts w:hint="eastAsia" w:ascii="Times New Roman" w:hAnsi="Times New Roman"/>
          <w:sz w:val="24"/>
          <w:vertAlign w:val="superscript"/>
          <w:lang w:val="en-US" w:eastAsia="zh-CN"/>
        </w:rPr>
        <w:fldChar w:fldCharType="begin"/>
      </w:r>
      <w:r>
        <w:rPr>
          <w:rFonts w:hint="eastAsia" w:ascii="Times New Roman" w:hAnsi="Times New Roman"/>
          <w:sz w:val="24"/>
          <w:vertAlign w:val="superscript"/>
          <w:lang w:val="en-US" w:eastAsia="zh-CN"/>
        </w:rPr>
        <w:instrText xml:space="preserve"> NOTEREF _Ref7242 \h </w:instrText>
      </w:r>
      <w:r>
        <w:rPr>
          <w:rFonts w:hint="eastAsia" w:ascii="Times New Roman" w:hAnsi="Times New Roman"/>
          <w:sz w:val="24"/>
          <w:vertAlign w:val="superscript"/>
          <w:lang w:val="en-US" w:eastAsia="zh-CN"/>
        </w:rPr>
        <w:fldChar w:fldCharType="separate"/>
      </w:r>
      <w:r>
        <w:rPr>
          <w:rFonts w:hint="eastAsia" w:ascii="Times New Roman" w:hAnsi="Times New Roman"/>
          <w:sz w:val="24"/>
          <w:vertAlign w:val="superscript"/>
          <w:lang w:val="en-US" w:eastAsia="zh-CN"/>
        </w:rPr>
        <w:t>①</w:t>
      </w:r>
      <w:r>
        <w:rPr>
          <w:rFonts w:hint="eastAsia" w:ascii="Times New Roman" w:hAnsi="Times New Roman"/>
          <w:sz w:val="24"/>
          <w:vertAlign w:val="superscript"/>
          <w:lang w:val="en-US" w:eastAsia="zh-CN"/>
        </w:rPr>
        <w:fldChar w:fldCharType="end"/>
      </w:r>
      <w:r>
        <w:rPr>
          <w:rFonts w:hint="eastAsia" w:ascii="Times New Roman" w:hAnsi="Times New Roman"/>
          <w:sz w:val="24"/>
          <w:lang w:val="en-US" w:eastAsia="zh-CN"/>
        </w:rPr>
        <w:t>。若给付方存在重大过错（如家庭暴力、恶意隐瞒重大疾病等），应当降低其应得的返还比例，甚至不予返还。若接受方存在重大过错（如借婚姻骗取大额彩礼后携款潜逃、在短期内与多人订立婚约等），应当提高返还比例。反之，若双方均无显著过错，或只有一般性摩擦，则应当按照其他要素（如共同生活时长、孕育情况）所决定的基准比例进行返还，无过错介入的余地。</w:t>
      </w:r>
    </w:p>
    <w:p>
      <w:pPr>
        <w:keepNext w:val="0"/>
        <w:keepLines w:val="0"/>
        <w:pageBreakBefore w:val="0"/>
        <w:widowControl w:val="0"/>
        <w:numPr>
          <w:ilvl w:val="0"/>
          <w:numId w:val="0"/>
        </w:numPr>
        <w:kinsoku/>
        <w:wordWrap/>
        <w:overflowPunct/>
        <w:topLinePunct w:val="0"/>
        <w:autoSpaceDE/>
        <w:autoSpaceDN/>
        <w:bidi w:val="0"/>
        <w:adjustRightInd/>
        <w:snapToGrid/>
        <w:spacing w:before="480" w:after="360" w:line="400" w:lineRule="exact"/>
        <w:ind w:left="0" w:leftChars="0" w:firstLine="643" w:firstLineChars="200"/>
        <w:textAlignment w:val="auto"/>
        <w:outlineLvl w:val="0"/>
        <w:rPr>
          <w:rFonts w:hint="eastAsia" w:ascii="Times New Roman" w:hAnsi="Times New Roman" w:eastAsia="宋体" w:cs="Times New Roman"/>
          <w:b/>
          <w:bCs/>
          <w:kern w:val="2"/>
          <w:sz w:val="32"/>
          <w:szCs w:val="32"/>
          <w:lang w:val="en-US" w:eastAsia="zh-CN" w:bidi="ar-SA"/>
        </w:rPr>
      </w:pPr>
    </w:p>
    <w:p>
      <w:pPr>
        <w:keepNext w:val="0"/>
        <w:keepLines w:val="0"/>
        <w:pageBreakBefore w:val="0"/>
        <w:widowControl w:val="0"/>
        <w:numPr>
          <w:ilvl w:val="0"/>
          <w:numId w:val="0"/>
        </w:numPr>
        <w:kinsoku/>
        <w:wordWrap/>
        <w:overflowPunct/>
        <w:topLinePunct w:val="0"/>
        <w:autoSpaceDE/>
        <w:autoSpaceDN/>
        <w:bidi w:val="0"/>
        <w:adjustRightInd/>
        <w:snapToGrid/>
        <w:spacing w:before="480" w:after="360" w:line="400" w:lineRule="exact"/>
        <w:ind w:firstLine="643" w:firstLineChars="200"/>
        <w:textAlignment w:val="auto"/>
        <w:outlineLvl w:val="0"/>
        <w:rPr>
          <w:rFonts w:hint="eastAsia" w:ascii="Times New Roman" w:hAnsi="Times New Roman"/>
          <w:b/>
          <w:bCs/>
          <w:sz w:val="32"/>
          <w:szCs w:val="32"/>
          <w:lang w:val="en-US" w:eastAsia="zh-CN"/>
        </w:rPr>
      </w:pPr>
      <w:r>
        <w:rPr>
          <w:rFonts w:hint="eastAsia" w:ascii="Times New Roman" w:hAnsi="Times New Roman" w:eastAsia="宋体" w:cs="Times New Roman"/>
          <w:b/>
          <w:bCs/>
          <w:kern w:val="2"/>
          <w:sz w:val="32"/>
          <w:szCs w:val="32"/>
          <w:lang w:val="en-US" w:eastAsia="zh-CN" w:bidi="ar-SA"/>
        </w:rPr>
        <w:br w:type="page"/>
      </w:r>
      <w:bookmarkStart w:id="168" w:name="_Toc31025"/>
      <w:r>
        <w:rPr>
          <w:rFonts w:hint="eastAsia" w:ascii="Times New Roman" w:hAnsi="Times New Roman" w:cs="Times New Roman"/>
          <w:b/>
          <w:bCs/>
          <w:kern w:val="2"/>
          <w:sz w:val="32"/>
          <w:szCs w:val="32"/>
          <w:lang w:val="en-US" w:eastAsia="zh-CN" w:bidi="ar-SA"/>
        </w:rPr>
        <w:t>六</w:t>
      </w:r>
      <w:r>
        <w:rPr>
          <w:rFonts w:hint="eastAsia" w:ascii="Times New Roman" w:hAnsi="Times New Roman" w:eastAsia="宋体" w:cs="Times New Roman"/>
          <w:b/>
          <w:bCs/>
          <w:kern w:val="2"/>
          <w:sz w:val="32"/>
          <w:szCs w:val="32"/>
          <w:lang w:val="en-US" w:eastAsia="zh-CN" w:bidi="ar-SA"/>
        </w:rPr>
        <w:t>、</w:t>
      </w:r>
      <w:r>
        <w:rPr>
          <w:rFonts w:hint="eastAsia" w:ascii="Times New Roman" w:hAnsi="Times New Roman"/>
          <w:b/>
          <w:bCs/>
          <w:sz w:val="32"/>
          <w:szCs w:val="32"/>
          <w:lang w:val="en-US" w:eastAsia="zh-CN"/>
        </w:rPr>
        <w:t>结论</w:t>
      </w:r>
      <w:bookmarkEnd w:id="168"/>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彩礼是中国传统文化中不可缺少的一部分，它既有着丰富的文化内涵，又带有明显的财产交易性质。近些年来，由于彩礼纠纷案件数量急剧增多，在司法实践中也出现了裁判标准不统一的现象，因此建立符合本土特色的规范化制度势在必行。本文以湖南省2025年公开审判的78份婚约财产纠纷判决书为样本，就诉讼主体资格确认、彩礼范围界定和返还额度确定这三个主要问题进行实证分析。经过研究发现，目前湖南地区的法院对于此类案件一般都把共同生活的时间作为主要依据，再结合双方的过错程度、彩礼的实际用途、嫁妆的价值等来做出综合的判断；同时存在彩礼返还诉讼主体范围偏小、彩礼的认定混乱、彩礼返还比例的认定标准模糊等问题。就以上问题而言，本文有如下几点建议，即设置例外情形对主体范围作适当的扩大、彩礼的婚姻目的实现标准，为不属于彩礼的三类财物设置量化上限、建立动态返还体系要素顺位。由于本研究样本主要是从湖南省域内裁判文书数据库中抽取的，所以结论可能存在着一定的局限性，不能完全适用于其他地区类似案件的研究。法官在处理有关案件时，应该考虑到法律规定和地方民俗习惯，在保证当事人合法权益的基础上，对人情关系进行考虑。通过广泛的调研工作来制定出更加有针对性的地方性司法指导意见，使同类型案件的裁判尺度趋于一致，从而达到社会公平正义的目的。</w:t>
      </w:r>
    </w:p>
    <w:p>
      <w:pPr>
        <w:keepNext w:val="0"/>
        <w:keepLines w:val="0"/>
        <w:pageBreakBefore w:val="0"/>
        <w:widowControl w:val="0"/>
        <w:numPr>
          <w:ilvl w:val="0"/>
          <w:numId w:val="0"/>
        </w:numPr>
        <w:kinsoku/>
        <w:wordWrap/>
        <w:overflowPunct/>
        <w:topLinePunct w:val="0"/>
        <w:autoSpaceDE/>
        <w:autoSpaceDN/>
        <w:bidi w:val="0"/>
        <w:adjustRightInd/>
        <w:snapToGrid/>
        <w:spacing w:before="480" w:after="360" w:line="400" w:lineRule="exact"/>
        <w:ind w:leftChars="0" w:firstLine="0" w:firstLineChars="0"/>
        <w:jc w:val="center"/>
        <w:textAlignment w:val="auto"/>
        <w:outlineLvl w:val="0"/>
        <w:rPr>
          <w:rFonts w:hint="default" w:ascii="Times New Roman" w:hAnsi="Times New Roman"/>
          <w:b/>
          <w:bCs/>
          <w:sz w:val="32"/>
          <w:szCs w:val="32"/>
          <w:lang w:val="en-US" w:eastAsia="zh-CN"/>
        </w:rPr>
      </w:pPr>
      <w:r>
        <w:rPr>
          <w:rFonts w:hint="eastAsia" w:ascii="Times New Roman" w:hAnsi="Times New Roman"/>
          <w:b/>
          <w:bCs/>
          <w:sz w:val="32"/>
          <w:szCs w:val="32"/>
          <w:lang w:val="en-US" w:eastAsia="zh-CN"/>
        </w:rPr>
        <w:br w:type="page"/>
      </w:r>
      <w:bookmarkStart w:id="169" w:name="_Toc4001"/>
      <w:r>
        <w:rPr>
          <w:rFonts w:hint="eastAsia" w:ascii="Times New Roman" w:hAnsi="Times New Roman"/>
          <w:b/>
          <w:bCs/>
          <w:sz w:val="32"/>
          <w:szCs w:val="32"/>
          <w:lang w:val="en-US" w:eastAsia="zh-CN"/>
        </w:rPr>
        <w:t>参考文献</w:t>
      </w:r>
      <w:bookmarkEnd w:id="169"/>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刘清生,谢梅</w:t>
      </w:r>
      <w:r>
        <w:rPr>
          <w:rFonts w:hint="eastAsia" w:ascii="Times New Roman" w:hAnsi="Times New Roman"/>
          <w:sz w:val="24"/>
          <w:lang w:val="en-US" w:eastAsia="zh-CN"/>
        </w:rPr>
        <w:t>：《</w:t>
      </w:r>
      <w:r>
        <w:rPr>
          <w:rFonts w:hint="default" w:ascii="Times New Roman" w:hAnsi="Times New Roman"/>
          <w:sz w:val="24"/>
          <w:lang w:val="en-US" w:eastAsia="zh-CN"/>
        </w:rPr>
        <w:t>论婚约彩礼的返还</w:t>
      </w:r>
      <w:r>
        <w:rPr>
          <w:rFonts w:hint="eastAsia" w:ascii="Times New Roman" w:hAnsi="Times New Roman"/>
          <w:sz w:val="24"/>
          <w:lang w:val="en-US" w:eastAsia="zh-CN"/>
        </w:rPr>
        <w:t>》，载《</w:t>
      </w:r>
      <w:r>
        <w:rPr>
          <w:rFonts w:hint="default" w:ascii="Times New Roman" w:hAnsi="Times New Roman"/>
          <w:sz w:val="24"/>
          <w:lang w:val="en-US" w:eastAsia="zh-CN"/>
        </w:rPr>
        <w:t>西南交通大学学报(社会科学版)</w:t>
      </w:r>
      <w:r>
        <w:rPr>
          <w:rFonts w:hint="eastAsia" w:ascii="Times New Roman" w:hAnsi="Times New Roman"/>
          <w:sz w:val="24"/>
          <w:lang w:val="en-US" w:eastAsia="zh-CN"/>
        </w:rPr>
        <w:t>》</w:t>
      </w:r>
      <w:r>
        <w:rPr>
          <w:rFonts w:hint="default" w:ascii="Times New Roman" w:hAnsi="Times New Roman"/>
          <w:sz w:val="24"/>
          <w:lang w:val="en-US" w:eastAsia="zh-CN"/>
        </w:rPr>
        <w:t>2011</w:t>
      </w:r>
      <w:r>
        <w:rPr>
          <w:rFonts w:hint="eastAsia" w:ascii="Times New Roman" w:hAnsi="Times New Roman"/>
          <w:sz w:val="24"/>
          <w:lang w:val="en-US" w:eastAsia="zh-CN"/>
        </w:rPr>
        <w:t>年第</w:t>
      </w:r>
      <w:r>
        <w:rPr>
          <w:rFonts w:hint="default" w:ascii="Times New Roman" w:hAnsi="Times New Roman"/>
          <w:sz w:val="24"/>
          <w:lang w:val="en-US" w:eastAsia="zh-CN"/>
        </w:rPr>
        <w:t>1</w:t>
      </w:r>
      <w:r>
        <w:rPr>
          <w:rFonts w:hint="eastAsia" w:ascii="Times New Roman" w:hAnsi="Times New Roman"/>
          <w:sz w:val="24"/>
          <w:lang w:val="en-US" w:eastAsia="zh-CN"/>
        </w:rPr>
        <w:t>期</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薛宁兰,崔丹</w:t>
      </w:r>
      <w:r>
        <w:rPr>
          <w:rFonts w:hint="eastAsia" w:ascii="Times New Roman" w:hAnsi="Times New Roman"/>
          <w:sz w:val="24"/>
          <w:lang w:val="en-US" w:eastAsia="zh-CN"/>
        </w:rPr>
        <w:t>：《</w:t>
      </w:r>
      <w:r>
        <w:rPr>
          <w:rFonts w:hint="default" w:ascii="Times New Roman" w:hAnsi="Times New Roman"/>
          <w:sz w:val="24"/>
          <w:lang w:val="en-US" w:eastAsia="zh-CN"/>
        </w:rPr>
        <w:t>论彩礼的给付性质与返还规则</w:t>
      </w:r>
      <w:r>
        <w:rPr>
          <w:rFonts w:hint="eastAsia" w:ascii="Times New Roman" w:hAnsi="Times New Roman"/>
          <w:sz w:val="24"/>
          <w:lang w:val="en-US" w:eastAsia="zh-CN"/>
        </w:rPr>
        <w:t>》，载《</w:t>
      </w:r>
      <w:r>
        <w:rPr>
          <w:rFonts w:hint="default" w:ascii="Times New Roman" w:hAnsi="Times New Roman"/>
          <w:sz w:val="24"/>
          <w:lang w:val="en-US" w:eastAsia="zh-CN"/>
        </w:rPr>
        <w:t>妇女研究论丛</w:t>
      </w:r>
      <w:r>
        <w:rPr>
          <w:rFonts w:hint="eastAsia" w:ascii="Times New Roman" w:hAnsi="Times New Roman"/>
          <w:sz w:val="24"/>
          <w:lang w:val="en-US" w:eastAsia="zh-CN"/>
        </w:rPr>
        <w:t>》</w:t>
      </w:r>
      <w:r>
        <w:rPr>
          <w:rFonts w:hint="default" w:ascii="Times New Roman" w:hAnsi="Times New Roman"/>
          <w:sz w:val="24"/>
          <w:lang w:val="en-US" w:eastAsia="zh-CN"/>
        </w:rPr>
        <w:t>2024</w:t>
      </w:r>
      <w:r>
        <w:rPr>
          <w:rFonts w:hint="eastAsia" w:ascii="Times New Roman" w:hAnsi="Times New Roman"/>
          <w:sz w:val="24"/>
          <w:lang w:val="en-US" w:eastAsia="zh-CN"/>
        </w:rPr>
        <w:t>年第</w:t>
      </w:r>
      <w:r>
        <w:rPr>
          <w:rFonts w:hint="default" w:ascii="Times New Roman" w:hAnsi="Times New Roman"/>
          <w:sz w:val="24"/>
          <w:lang w:val="en-US" w:eastAsia="zh-CN"/>
        </w:rPr>
        <w:t>5</w:t>
      </w:r>
      <w:r>
        <w:rPr>
          <w:rFonts w:hint="eastAsia" w:ascii="Times New Roman" w:hAnsi="Times New Roman"/>
          <w:sz w:val="24"/>
          <w:lang w:val="en-US" w:eastAsia="zh-CN"/>
        </w:rPr>
        <w:t>期</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姚明斌,刘亦婷</w:t>
      </w:r>
      <w:r>
        <w:rPr>
          <w:rFonts w:hint="eastAsia" w:ascii="Times New Roman" w:hAnsi="Times New Roman"/>
          <w:sz w:val="24"/>
          <w:lang w:val="en-US" w:eastAsia="zh-CN"/>
        </w:rPr>
        <w:t>：《</w:t>
      </w:r>
      <w:r>
        <w:rPr>
          <w:rFonts w:hint="default" w:ascii="Times New Roman" w:hAnsi="Times New Roman"/>
          <w:sz w:val="24"/>
          <w:lang w:val="en-US" w:eastAsia="zh-CN"/>
        </w:rPr>
        <w:t>彩礼返还请求权的规范构造</w:t>
      </w:r>
      <w:r>
        <w:rPr>
          <w:rFonts w:hint="eastAsia" w:ascii="Times New Roman" w:hAnsi="Times New Roman"/>
          <w:sz w:val="24"/>
          <w:lang w:val="en-US" w:eastAsia="zh-CN"/>
        </w:rPr>
        <w:t>》，载《</w:t>
      </w:r>
      <w:r>
        <w:rPr>
          <w:rFonts w:hint="default" w:ascii="Times New Roman" w:hAnsi="Times New Roman"/>
          <w:sz w:val="24"/>
          <w:lang w:val="en-US" w:eastAsia="zh-CN"/>
        </w:rPr>
        <w:t>南大法学</w:t>
      </w:r>
      <w:r>
        <w:rPr>
          <w:rFonts w:hint="eastAsia" w:ascii="Times New Roman" w:hAnsi="Times New Roman"/>
          <w:sz w:val="24"/>
          <w:lang w:val="en-US" w:eastAsia="zh-CN"/>
        </w:rPr>
        <w:t>》</w:t>
      </w:r>
      <w:r>
        <w:rPr>
          <w:rFonts w:hint="default" w:ascii="Times New Roman" w:hAnsi="Times New Roman"/>
          <w:sz w:val="24"/>
          <w:lang w:val="en-US" w:eastAsia="zh-CN"/>
        </w:rPr>
        <w:t>2023</w:t>
      </w:r>
      <w:r>
        <w:rPr>
          <w:rFonts w:hint="eastAsia" w:ascii="Times New Roman" w:hAnsi="Times New Roman"/>
          <w:sz w:val="24"/>
          <w:lang w:val="en-US" w:eastAsia="zh-CN"/>
        </w:rPr>
        <w:t>年第</w:t>
      </w:r>
      <w:r>
        <w:rPr>
          <w:rFonts w:hint="default" w:ascii="Times New Roman" w:hAnsi="Times New Roman"/>
          <w:sz w:val="24"/>
          <w:lang w:val="en-US" w:eastAsia="zh-CN"/>
        </w:rPr>
        <w:t>4</w:t>
      </w:r>
      <w:r>
        <w:rPr>
          <w:rFonts w:hint="eastAsia" w:ascii="Times New Roman" w:hAnsi="Times New Roman"/>
          <w:sz w:val="24"/>
          <w:lang w:val="en-US" w:eastAsia="zh-CN"/>
        </w:rPr>
        <w:t>期</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汪洋</w:t>
      </w:r>
      <w:r>
        <w:rPr>
          <w:rFonts w:hint="eastAsia" w:ascii="Times New Roman" w:hAnsi="Times New Roman"/>
          <w:sz w:val="24"/>
          <w:lang w:val="en-US" w:eastAsia="zh-CN"/>
        </w:rPr>
        <w:t>：《</w:t>
      </w:r>
      <w:r>
        <w:rPr>
          <w:rFonts w:hint="default" w:ascii="Times New Roman" w:hAnsi="Times New Roman"/>
          <w:sz w:val="24"/>
          <w:lang w:val="en-US" w:eastAsia="zh-CN"/>
        </w:rPr>
        <w:t>彩礼范围与返还事由的体系再造——最高人民法院《彩礼纠纷规定》释评</w:t>
      </w:r>
      <w:r>
        <w:rPr>
          <w:rFonts w:hint="eastAsia" w:ascii="Times New Roman" w:hAnsi="Times New Roman"/>
          <w:sz w:val="24"/>
          <w:lang w:val="en-US" w:eastAsia="zh-CN"/>
        </w:rPr>
        <w:t>》</w:t>
      </w:r>
      <w:r>
        <w:rPr>
          <w:rFonts w:hint="default" w:ascii="Times New Roman" w:hAnsi="Times New Roman"/>
          <w:sz w:val="24"/>
          <w:lang w:val="en-US" w:eastAsia="zh-CN"/>
        </w:rPr>
        <w:t>，载</w:t>
      </w:r>
      <w:r>
        <w:rPr>
          <w:rFonts w:hint="eastAsia" w:ascii="Times New Roman" w:hAnsi="Times New Roman"/>
          <w:sz w:val="24"/>
          <w:lang w:val="en-US" w:eastAsia="zh-CN"/>
        </w:rPr>
        <w:t>《</w:t>
      </w:r>
      <w:r>
        <w:rPr>
          <w:rFonts w:hint="default" w:ascii="Times New Roman" w:hAnsi="Times New Roman"/>
          <w:sz w:val="24"/>
          <w:lang w:val="en-US" w:eastAsia="zh-CN"/>
        </w:rPr>
        <w:t>妇女研究论丛</w:t>
      </w:r>
      <w:r>
        <w:rPr>
          <w:rFonts w:hint="eastAsia" w:ascii="Times New Roman" w:hAnsi="Times New Roman"/>
          <w:sz w:val="24"/>
          <w:lang w:val="en-US" w:eastAsia="zh-CN"/>
        </w:rPr>
        <w:t>》</w:t>
      </w:r>
      <w:r>
        <w:rPr>
          <w:rFonts w:hint="default" w:ascii="Times New Roman" w:hAnsi="Times New Roman"/>
          <w:sz w:val="24"/>
          <w:lang w:val="en-US" w:eastAsia="zh-CN"/>
        </w:rPr>
        <w:t>2024年第2期</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王宝庆</w:t>
      </w:r>
      <w:r>
        <w:rPr>
          <w:rFonts w:hint="eastAsia" w:ascii="Times New Roman" w:hAnsi="Times New Roman"/>
          <w:sz w:val="24"/>
          <w:lang w:val="en-US" w:eastAsia="zh-CN"/>
        </w:rPr>
        <w:t>：《</w:t>
      </w:r>
      <w:r>
        <w:rPr>
          <w:rFonts w:hint="default" w:ascii="Times New Roman" w:hAnsi="Times New Roman"/>
          <w:sz w:val="24"/>
          <w:lang w:val="en-US" w:eastAsia="zh-CN"/>
        </w:rPr>
        <w:t>彩礼的法律性质及返还规则探析</w:t>
      </w:r>
      <w:r>
        <w:rPr>
          <w:rFonts w:hint="eastAsia" w:ascii="Times New Roman" w:hAnsi="Times New Roman"/>
          <w:sz w:val="24"/>
          <w:lang w:val="en-US" w:eastAsia="zh-CN"/>
        </w:rPr>
        <w:t>》</w:t>
      </w:r>
      <w:r>
        <w:rPr>
          <w:rFonts w:hint="default" w:ascii="Times New Roman" w:hAnsi="Times New Roman"/>
          <w:sz w:val="24"/>
          <w:lang w:val="en-US" w:eastAsia="zh-CN"/>
        </w:rPr>
        <w:t>，载</w:t>
      </w:r>
      <w:r>
        <w:rPr>
          <w:rFonts w:hint="eastAsia" w:ascii="Times New Roman" w:hAnsi="Times New Roman"/>
          <w:sz w:val="24"/>
          <w:lang w:val="en-US" w:eastAsia="zh-CN"/>
        </w:rPr>
        <w:t>《</w:t>
      </w:r>
      <w:r>
        <w:rPr>
          <w:rFonts w:hint="default" w:ascii="Times New Roman" w:hAnsi="Times New Roman"/>
          <w:sz w:val="24"/>
          <w:lang w:val="en-US" w:eastAsia="zh-CN"/>
        </w:rPr>
        <w:t>法制与社会</w:t>
      </w:r>
      <w:r>
        <w:rPr>
          <w:rFonts w:hint="eastAsia" w:ascii="Times New Roman" w:hAnsi="Times New Roman"/>
          <w:sz w:val="24"/>
          <w:lang w:val="en-US" w:eastAsia="zh-CN"/>
        </w:rPr>
        <w:t>》</w:t>
      </w:r>
      <w:r>
        <w:rPr>
          <w:rFonts w:hint="default" w:ascii="Times New Roman" w:hAnsi="Times New Roman"/>
          <w:sz w:val="24"/>
          <w:lang w:val="en-US" w:eastAsia="zh-CN"/>
        </w:rPr>
        <w:t>2015年第16期</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金眉</w:t>
      </w:r>
      <w:r>
        <w:rPr>
          <w:rFonts w:hint="eastAsia" w:ascii="Times New Roman" w:hAnsi="Times New Roman"/>
          <w:sz w:val="24"/>
          <w:lang w:val="en-US" w:eastAsia="zh-CN"/>
        </w:rPr>
        <w:t>：《</w:t>
      </w:r>
      <w:r>
        <w:rPr>
          <w:rFonts w:hint="default" w:ascii="Times New Roman" w:hAnsi="Times New Roman"/>
          <w:sz w:val="24"/>
          <w:lang w:val="en-US" w:eastAsia="zh-CN"/>
        </w:rPr>
        <w:t>论彩礼返还的请求权基础重建</w:t>
      </w:r>
      <w:r>
        <w:rPr>
          <w:rFonts w:hint="eastAsia" w:ascii="Times New Roman" w:hAnsi="Times New Roman"/>
          <w:sz w:val="24"/>
          <w:lang w:val="en-US" w:eastAsia="zh-CN"/>
        </w:rPr>
        <w:t>》</w:t>
      </w:r>
      <w:r>
        <w:rPr>
          <w:rFonts w:hint="default" w:ascii="Times New Roman" w:hAnsi="Times New Roman"/>
          <w:sz w:val="24"/>
          <w:lang w:val="en-US" w:eastAsia="zh-CN"/>
        </w:rPr>
        <w:t>，载</w:t>
      </w:r>
      <w:r>
        <w:rPr>
          <w:rFonts w:hint="eastAsia" w:ascii="Times New Roman" w:hAnsi="Times New Roman"/>
          <w:sz w:val="24"/>
          <w:lang w:val="en-US" w:eastAsia="zh-CN"/>
        </w:rPr>
        <w:t>《</w:t>
      </w:r>
      <w:r>
        <w:rPr>
          <w:rFonts w:hint="default" w:ascii="Times New Roman" w:hAnsi="Times New Roman"/>
          <w:sz w:val="24"/>
          <w:lang w:val="en-US" w:eastAsia="zh-CN"/>
        </w:rPr>
        <w:t>政法论坛</w:t>
      </w:r>
      <w:r>
        <w:rPr>
          <w:rFonts w:hint="eastAsia" w:ascii="Times New Roman" w:hAnsi="Times New Roman"/>
          <w:sz w:val="24"/>
          <w:lang w:val="en-US" w:eastAsia="zh-CN"/>
        </w:rPr>
        <w:t>》</w:t>
      </w:r>
      <w:r>
        <w:rPr>
          <w:rFonts w:hint="default" w:ascii="Times New Roman" w:hAnsi="Times New Roman"/>
          <w:sz w:val="24"/>
          <w:lang w:val="en-US" w:eastAsia="zh-CN"/>
        </w:rPr>
        <w:t>2019年第5</w:t>
      </w:r>
      <w:r>
        <w:rPr>
          <w:rFonts w:hint="eastAsia" w:ascii="Times New Roman" w:hAnsi="Times New Roman"/>
          <w:sz w:val="24"/>
          <w:lang w:val="en-US" w:eastAsia="zh-CN"/>
        </w:rPr>
        <w:t>期</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刘凝</w:t>
      </w:r>
      <w:r>
        <w:rPr>
          <w:rFonts w:hint="eastAsia" w:ascii="Times New Roman" w:hAnsi="Times New Roman"/>
          <w:sz w:val="24"/>
          <w:lang w:val="en-US" w:eastAsia="zh-CN"/>
        </w:rPr>
        <w:t>：《</w:t>
      </w:r>
      <w:r>
        <w:rPr>
          <w:rFonts w:hint="default" w:ascii="Times New Roman" w:hAnsi="Times New Roman"/>
          <w:sz w:val="24"/>
          <w:lang w:val="en-US" w:eastAsia="zh-CN"/>
        </w:rPr>
        <w:t>情事变更视角下彩礼返还规则的重构</w:t>
      </w:r>
      <w:r>
        <w:rPr>
          <w:rFonts w:hint="eastAsia" w:ascii="Times New Roman" w:hAnsi="Times New Roman"/>
          <w:sz w:val="24"/>
          <w:lang w:val="en-US" w:eastAsia="zh-CN"/>
        </w:rPr>
        <w:t>》，载《</w:t>
      </w:r>
      <w:r>
        <w:rPr>
          <w:rFonts w:hint="default" w:ascii="Times New Roman" w:hAnsi="Times New Roman"/>
          <w:sz w:val="24"/>
          <w:lang w:val="en-US" w:eastAsia="zh-CN"/>
        </w:rPr>
        <w:t>政治与法律</w:t>
      </w:r>
      <w:r>
        <w:rPr>
          <w:rFonts w:hint="eastAsia" w:ascii="Times New Roman" w:hAnsi="Times New Roman"/>
          <w:sz w:val="24"/>
          <w:lang w:val="en-US" w:eastAsia="zh-CN"/>
        </w:rPr>
        <w:t>》</w:t>
      </w:r>
      <w:r>
        <w:rPr>
          <w:rFonts w:hint="default" w:ascii="Times New Roman" w:hAnsi="Times New Roman"/>
          <w:sz w:val="24"/>
          <w:lang w:val="en-US" w:eastAsia="zh-CN"/>
        </w:rPr>
        <w:t>2025年第5期</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项焱,隋欣鸿</w:t>
      </w:r>
      <w:r>
        <w:rPr>
          <w:rFonts w:hint="eastAsia" w:ascii="Times New Roman" w:hAnsi="Times New Roman"/>
          <w:sz w:val="24"/>
          <w:lang w:val="en-US" w:eastAsia="zh-CN"/>
        </w:rPr>
        <w:t>：《</w:t>
      </w:r>
      <w:r>
        <w:rPr>
          <w:rFonts w:hint="default" w:ascii="Times New Roman" w:hAnsi="Times New Roman"/>
          <w:sz w:val="24"/>
          <w:lang w:val="en-US" w:eastAsia="zh-CN"/>
        </w:rPr>
        <w:t>过错主义在婚约财产纠纷领域的司法适用——以《彩礼返还规定》第6条为视角</w:t>
      </w:r>
      <w:r>
        <w:rPr>
          <w:rFonts w:hint="eastAsia" w:ascii="Times New Roman" w:hAnsi="Times New Roman"/>
          <w:sz w:val="24"/>
          <w:lang w:val="en-US" w:eastAsia="zh-CN"/>
        </w:rPr>
        <w:t>》</w:t>
      </w:r>
      <w:r>
        <w:rPr>
          <w:rFonts w:hint="default" w:ascii="Times New Roman" w:hAnsi="Times New Roman"/>
          <w:sz w:val="24"/>
          <w:lang w:val="en-US" w:eastAsia="zh-CN"/>
        </w:rPr>
        <w:t>，载</w:t>
      </w:r>
      <w:r>
        <w:rPr>
          <w:rFonts w:hint="eastAsia" w:ascii="Times New Roman" w:hAnsi="Times New Roman"/>
          <w:sz w:val="24"/>
          <w:lang w:val="en-US" w:eastAsia="zh-CN"/>
        </w:rPr>
        <w:t>《</w:t>
      </w:r>
      <w:r>
        <w:rPr>
          <w:rFonts w:hint="default" w:ascii="Times New Roman" w:hAnsi="Times New Roman"/>
          <w:sz w:val="24"/>
          <w:lang w:val="en-US" w:eastAsia="zh-CN"/>
        </w:rPr>
        <w:t>北京理工大学学报(社会科学版)</w:t>
      </w:r>
      <w:r>
        <w:rPr>
          <w:rFonts w:hint="eastAsia" w:ascii="Times New Roman" w:hAnsi="Times New Roman"/>
          <w:sz w:val="24"/>
          <w:lang w:val="en-US" w:eastAsia="zh-CN"/>
        </w:rPr>
        <w:t>》</w:t>
      </w:r>
      <w:r>
        <w:rPr>
          <w:rFonts w:hint="default" w:ascii="Times New Roman" w:hAnsi="Times New Roman"/>
          <w:sz w:val="24"/>
          <w:lang w:val="en-US" w:eastAsia="zh-CN"/>
        </w:rPr>
        <w:t>2025年第5期</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胡云红,宋天一</w:t>
      </w:r>
      <w:r>
        <w:rPr>
          <w:rFonts w:hint="eastAsia" w:ascii="Times New Roman" w:hAnsi="Times New Roman"/>
          <w:sz w:val="24"/>
          <w:lang w:val="en-US" w:eastAsia="zh-CN"/>
        </w:rPr>
        <w:t>：《</w:t>
      </w:r>
      <w:r>
        <w:rPr>
          <w:rFonts w:hint="default" w:ascii="Times New Roman" w:hAnsi="Times New Roman"/>
          <w:sz w:val="24"/>
          <w:lang w:val="en-US" w:eastAsia="zh-CN"/>
        </w:rPr>
        <w:t>彩礼返还纠纷法律适用研究——以全国法院158份问卷调查和相关裁判文书为对象</w:t>
      </w:r>
      <w:r>
        <w:rPr>
          <w:rFonts w:hint="eastAsia" w:ascii="Times New Roman" w:hAnsi="Times New Roman"/>
          <w:sz w:val="24"/>
          <w:lang w:val="en-US" w:eastAsia="zh-CN"/>
        </w:rPr>
        <w:t>》</w:t>
      </w:r>
      <w:r>
        <w:rPr>
          <w:rFonts w:hint="default" w:ascii="Times New Roman" w:hAnsi="Times New Roman"/>
          <w:sz w:val="24"/>
          <w:lang w:val="en-US" w:eastAsia="zh-CN"/>
        </w:rPr>
        <w:t>，载</w:t>
      </w:r>
      <w:r>
        <w:rPr>
          <w:rFonts w:hint="eastAsia" w:ascii="Times New Roman" w:hAnsi="Times New Roman"/>
          <w:sz w:val="24"/>
          <w:lang w:val="en-US" w:eastAsia="zh-CN"/>
        </w:rPr>
        <w:t>《</w:t>
      </w:r>
      <w:r>
        <w:rPr>
          <w:rFonts w:hint="default" w:ascii="Times New Roman" w:hAnsi="Times New Roman"/>
          <w:sz w:val="24"/>
          <w:lang w:val="en-US" w:eastAsia="zh-CN"/>
        </w:rPr>
        <w:t>中国政法大学学报</w:t>
      </w:r>
      <w:r>
        <w:rPr>
          <w:rFonts w:hint="eastAsia" w:ascii="Times New Roman" w:hAnsi="Times New Roman"/>
          <w:sz w:val="24"/>
          <w:lang w:val="en-US" w:eastAsia="zh-CN"/>
        </w:rPr>
        <w:t>》</w:t>
      </w:r>
      <w:r>
        <w:rPr>
          <w:rFonts w:hint="default" w:ascii="Times New Roman" w:hAnsi="Times New Roman"/>
          <w:sz w:val="24"/>
          <w:lang w:val="en-US" w:eastAsia="zh-CN"/>
        </w:rPr>
        <w:t>2022年第6期</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Nwatu,SamuelIhuoma;Nwogugu,EdwinIfeanyi</w:t>
      </w:r>
      <w:r>
        <w:rPr>
          <w:rFonts w:hint="eastAsia" w:ascii="Times New Roman" w:hAnsi="Times New Roman"/>
          <w:sz w:val="24"/>
          <w:lang w:val="en-US" w:eastAsia="zh-CN"/>
        </w:rPr>
        <w:t>,CommonwealthLawBulletin,44Commw.L.Bull,182(2018)</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HindAhmedZaki,Law,Culture,andMobilization:LegalPluralismandWomen'sAccesstoDivorceinEgypt,MuslimWorldJournalofHumanRights,p.1(2017)</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BarbaraFrazier,ButICan'tMarryYou:WhoisEntitledtotheEngagementRingwhentheConditionalPerformanceFallsShortoftheAltar,JournaloftheAmericanAcademyofMatrimonialLawyers,p.419</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王璨</w:t>
      </w:r>
      <w:r>
        <w:rPr>
          <w:rFonts w:hint="eastAsia" w:ascii="Times New Roman" w:hAnsi="Times New Roman"/>
          <w:sz w:val="24"/>
          <w:lang w:val="en-US" w:eastAsia="zh-CN"/>
        </w:rPr>
        <w:t>：《</w:t>
      </w:r>
      <w:r>
        <w:rPr>
          <w:rFonts w:hint="default" w:ascii="Times New Roman" w:hAnsi="Times New Roman"/>
          <w:sz w:val="24"/>
          <w:lang w:val="en-US" w:eastAsia="zh-CN"/>
        </w:rPr>
        <w:t>《民法典》下的彩礼返还规则研究</w:t>
      </w:r>
      <w:r>
        <w:rPr>
          <w:rFonts w:hint="eastAsia" w:ascii="Times New Roman" w:hAnsi="Times New Roman"/>
          <w:sz w:val="24"/>
          <w:lang w:val="en-US" w:eastAsia="zh-CN"/>
        </w:rPr>
        <w:t>》</w:t>
      </w:r>
      <w:r>
        <w:rPr>
          <w:rFonts w:hint="default" w:ascii="Times New Roman" w:hAnsi="Times New Roman"/>
          <w:sz w:val="24"/>
          <w:lang w:val="en-US" w:eastAsia="zh-CN"/>
        </w:rPr>
        <w:t>，载</w:t>
      </w:r>
      <w:r>
        <w:rPr>
          <w:rFonts w:hint="eastAsia" w:ascii="Times New Roman" w:hAnsi="Times New Roman"/>
          <w:sz w:val="24"/>
          <w:lang w:val="en-US" w:eastAsia="zh-CN"/>
        </w:rPr>
        <w:t>《</w:t>
      </w:r>
      <w:r>
        <w:rPr>
          <w:rFonts w:hint="default" w:ascii="Times New Roman" w:hAnsi="Times New Roman"/>
          <w:sz w:val="24"/>
          <w:lang w:val="en-US" w:eastAsia="zh-CN"/>
        </w:rPr>
        <w:t>鞍山师范学院学报</w:t>
      </w:r>
      <w:r>
        <w:rPr>
          <w:rFonts w:hint="eastAsia" w:ascii="Times New Roman" w:hAnsi="Times New Roman"/>
          <w:sz w:val="24"/>
          <w:lang w:val="en-US" w:eastAsia="zh-CN"/>
        </w:rPr>
        <w:t>》</w:t>
      </w:r>
      <w:r>
        <w:rPr>
          <w:rFonts w:hint="default" w:ascii="Times New Roman" w:hAnsi="Times New Roman"/>
          <w:sz w:val="24"/>
          <w:lang w:val="en-US" w:eastAsia="zh-CN"/>
        </w:rPr>
        <w:t>2023年第5期</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何政泉,何琴</w:t>
      </w:r>
      <w:r>
        <w:rPr>
          <w:rFonts w:hint="eastAsia" w:ascii="Times New Roman" w:hAnsi="Times New Roman"/>
          <w:sz w:val="24"/>
          <w:lang w:val="en-US" w:eastAsia="zh-CN"/>
        </w:rPr>
        <w:t>：《</w:t>
      </w:r>
      <w:r>
        <w:rPr>
          <w:rFonts w:hint="default" w:ascii="Times New Roman" w:hAnsi="Times New Roman"/>
          <w:sz w:val="24"/>
          <w:lang w:val="en-US" w:eastAsia="zh-CN"/>
        </w:rPr>
        <w:t>彩礼返还规则司法适用的困境与突破</w:t>
      </w:r>
      <w:r>
        <w:rPr>
          <w:rFonts w:hint="eastAsia" w:ascii="Times New Roman" w:hAnsi="Times New Roman"/>
          <w:sz w:val="24"/>
          <w:lang w:val="en-US" w:eastAsia="zh-CN"/>
        </w:rPr>
        <w:t>》</w:t>
      </w:r>
      <w:r>
        <w:rPr>
          <w:rFonts w:hint="default" w:ascii="Times New Roman" w:hAnsi="Times New Roman"/>
          <w:sz w:val="24"/>
          <w:lang w:val="en-US" w:eastAsia="zh-CN"/>
        </w:rPr>
        <w:t>，载</w:t>
      </w:r>
      <w:r>
        <w:rPr>
          <w:rFonts w:hint="eastAsia" w:ascii="Times New Roman" w:hAnsi="Times New Roman"/>
          <w:sz w:val="24"/>
          <w:lang w:val="en-US" w:eastAsia="zh-CN"/>
        </w:rPr>
        <w:t>《</w:t>
      </w:r>
      <w:r>
        <w:rPr>
          <w:rFonts w:hint="default" w:ascii="Times New Roman" w:hAnsi="Times New Roman"/>
          <w:sz w:val="24"/>
          <w:lang w:val="en-US" w:eastAsia="zh-CN"/>
        </w:rPr>
        <w:t>西南石油大学学报(社会科学版)</w:t>
      </w:r>
      <w:r>
        <w:rPr>
          <w:rFonts w:hint="eastAsia" w:ascii="Times New Roman" w:hAnsi="Times New Roman"/>
          <w:sz w:val="24"/>
          <w:lang w:val="en-US" w:eastAsia="zh-CN"/>
        </w:rPr>
        <w:t>》</w:t>
      </w:r>
      <w:r>
        <w:rPr>
          <w:rFonts w:hint="default" w:ascii="Times New Roman" w:hAnsi="Times New Roman"/>
          <w:sz w:val="24"/>
          <w:lang w:val="en-US" w:eastAsia="zh-CN"/>
        </w:rPr>
        <w:t>2024年第2期</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张学军</w:t>
      </w:r>
      <w:r>
        <w:rPr>
          <w:rFonts w:hint="eastAsia" w:ascii="Times New Roman" w:hAnsi="Times New Roman"/>
          <w:sz w:val="24"/>
          <w:lang w:val="en-US" w:eastAsia="zh-CN"/>
        </w:rPr>
        <w:t>：《</w:t>
      </w:r>
      <w:r>
        <w:rPr>
          <w:rFonts w:hint="default" w:ascii="Times New Roman" w:hAnsi="Times New Roman"/>
          <w:sz w:val="24"/>
          <w:lang w:val="en-US" w:eastAsia="zh-CN"/>
        </w:rPr>
        <w:t>彩礼返还制度研究——兼论禁止买卖婚姻和禁止借婚姻索取财物</w:t>
      </w:r>
      <w:r>
        <w:rPr>
          <w:rFonts w:hint="eastAsia" w:ascii="Times New Roman" w:hAnsi="Times New Roman"/>
          <w:sz w:val="24"/>
          <w:lang w:val="en-US" w:eastAsia="zh-CN"/>
        </w:rPr>
        <w:t>》</w:t>
      </w:r>
      <w:r>
        <w:rPr>
          <w:rFonts w:hint="default" w:ascii="Times New Roman" w:hAnsi="Times New Roman"/>
          <w:sz w:val="24"/>
          <w:lang w:val="en-US" w:eastAsia="zh-CN"/>
        </w:rPr>
        <w:t>，载</w:t>
      </w:r>
      <w:r>
        <w:rPr>
          <w:rFonts w:hint="eastAsia" w:ascii="Times New Roman" w:hAnsi="Times New Roman"/>
          <w:sz w:val="24"/>
          <w:lang w:val="en-US" w:eastAsia="zh-CN"/>
        </w:rPr>
        <w:t>《</w:t>
      </w:r>
      <w:r>
        <w:rPr>
          <w:rFonts w:hint="default" w:ascii="Times New Roman" w:hAnsi="Times New Roman"/>
          <w:sz w:val="24"/>
          <w:lang w:val="en-US" w:eastAsia="zh-CN"/>
        </w:rPr>
        <w:t>中外法学</w:t>
      </w:r>
      <w:r>
        <w:rPr>
          <w:rFonts w:hint="eastAsia" w:ascii="Times New Roman" w:hAnsi="Times New Roman"/>
          <w:sz w:val="24"/>
          <w:lang w:val="en-US" w:eastAsia="zh-CN"/>
        </w:rPr>
        <w:t>》</w:t>
      </w:r>
      <w:r>
        <w:rPr>
          <w:rFonts w:hint="default" w:ascii="Times New Roman" w:hAnsi="Times New Roman"/>
          <w:sz w:val="24"/>
          <w:lang w:val="en-US" w:eastAsia="zh-CN"/>
        </w:rPr>
        <w:t>2006年第5期</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李霞</w:t>
      </w:r>
      <w:r>
        <w:rPr>
          <w:rFonts w:hint="eastAsia" w:ascii="Times New Roman" w:hAnsi="Times New Roman"/>
          <w:sz w:val="24"/>
          <w:lang w:val="en-US" w:eastAsia="zh-CN"/>
        </w:rPr>
        <w:t>：《</w:t>
      </w:r>
      <w:r>
        <w:rPr>
          <w:rFonts w:hint="default" w:ascii="Times New Roman" w:hAnsi="Times New Roman"/>
          <w:sz w:val="24"/>
          <w:lang w:val="en-US" w:eastAsia="zh-CN"/>
        </w:rPr>
        <w:t>民间习俗中的彩礼及其流变</w:t>
      </w:r>
      <w:r>
        <w:rPr>
          <w:rFonts w:hint="eastAsia" w:ascii="Times New Roman" w:hAnsi="Times New Roman"/>
          <w:sz w:val="24"/>
          <w:lang w:val="en-US" w:eastAsia="zh-CN"/>
        </w:rPr>
        <w:t>》</w:t>
      </w:r>
      <w:r>
        <w:rPr>
          <w:rFonts w:hint="default" w:ascii="Times New Roman" w:hAnsi="Times New Roman"/>
          <w:sz w:val="24"/>
          <w:lang w:val="en-US" w:eastAsia="zh-CN"/>
        </w:rPr>
        <w:t>，载</w:t>
      </w:r>
      <w:r>
        <w:rPr>
          <w:rFonts w:hint="eastAsia" w:ascii="Times New Roman" w:hAnsi="Times New Roman"/>
          <w:sz w:val="24"/>
          <w:lang w:val="en-US" w:eastAsia="zh-CN"/>
        </w:rPr>
        <w:t>《</w:t>
      </w:r>
      <w:r>
        <w:rPr>
          <w:rFonts w:hint="default" w:ascii="Times New Roman" w:hAnsi="Times New Roman"/>
          <w:sz w:val="24"/>
          <w:lang w:val="en-US" w:eastAsia="zh-CN"/>
        </w:rPr>
        <w:t>民俗研究</w:t>
      </w:r>
      <w:r>
        <w:rPr>
          <w:rFonts w:hint="eastAsia" w:ascii="Times New Roman" w:hAnsi="Times New Roman"/>
          <w:sz w:val="24"/>
          <w:lang w:val="en-US" w:eastAsia="zh-CN"/>
        </w:rPr>
        <w:t>》</w:t>
      </w:r>
      <w:r>
        <w:rPr>
          <w:rFonts w:hint="default" w:ascii="Times New Roman" w:hAnsi="Times New Roman"/>
          <w:sz w:val="24"/>
          <w:lang w:val="en-US" w:eastAsia="zh-CN"/>
        </w:rPr>
        <w:t>2008年第3期</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景汉朝</w:t>
      </w:r>
      <w:r>
        <w:rPr>
          <w:rFonts w:hint="eastAsia" w:ascii="Times New Roman" w:hAnsi="Times New Roman"/>
          <w:sz w:val="24"/>
          <w:lang w:val="en-US" w:eastAsia="zh-CN"/>
        </w:rPr>
        <w:t>：《</w:t>
      </w:r>
      <w:r>
        <w:rPr>
          <w:rFonts w:hint="default" w:ascii="Times New Roman" w:hAnsi="Times New Roman"/>
          <w:sz w:val="24"/>
          <w:lang w:val="en-US" w:eastAsia="zh-CN"/>
        </w:rPr>
        <w:t>民事案件案由新释新解与适用指南</w:t>
      </w:r>
      <w:r>
        <w:rPr>
          <w:rFonts w:hint="eastAsia" w:ascii="Times New Roman" w:hAnsi="Times New Roman"/>
          <w:sz w:val="24"/>
          <w:lang w:val="en-US" w:eastAsia="zh-CN"/>
        </w:rPr>
        <w:t>》</w:t>
      </w:r>
      <w:bookmarkStart w:id="170" w:name="OLE_LINK13"/>
      <w:r>
        <w:rPr>
          <w:rFonts w:hint="eastAsia" w:ascii="Times New Roman" w:hAnsi="Times New Roman"/>
          <w:sz w:val="24"/>
          <w:lang w:val="en-US" w:eastAsia="zh-CN"/>
        </w:rPr>
        <w:t>，</w:t>
      </w:r>
      <w:r>
        <w:rPr>
          <w:rFonts w:hint="default" w:ascii="Times New Roman" w:hAnsi="Times New Roman"/>
          <w:sz w:val="24"/>
          <w:lang w:val="en-US" w:eastAsia="zh-CN"/>
        </w:rPr>
        <w:t>中国法制出版社</w:t>
      </w:r>
      <w:bookmarkEnd w:id="170"/>
      <w:r>
        <w:rPr>
          <w:rFonts w:hint="default" w:ascii="Times New Roman" w:hAnsi="Times New Roman"/>
          <w:sz w:val="24"/>
          <w:lang w:val="en-US" w:eastAsia="zh-CN"/>
        </w:rPr>
        <w:t>2018</w:t>
      </w:r>
      <w:r>
        <w:rPr>
          <w:rFonts w:hint="eastAsia" w:ascii="Times New Roman" w:hAnsi="Times New Roman"/>
          <w:sz w:val="24"/>
          <w:lang w:val="en-US" w:eastAsia="zh-CN"/>
        </w:rPr>
        <w:t>年版</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滕佳一</w:t>
      </w:r>
      <w:r>
        <w:rPr>
          <w:rFonts w:hint="eastAsia" w:ascii="Times New Roman" w:hAnsi="Times New Roman"/>
          <w:sz w:val="24"/>
          <w:lang w:val="en-US" w:eastAsia="zh-CN"/>
        </w:rPr>
        <w:t>：《</w:t>
      </w:r>
      <w:r>
        <w:rPr>
          <w:rFonts w:hint="default" w:ascii="Times New Roman" w:hAnsi="Times New Roman"/>
          <w:sz w:val="24"/>
          <w:lang w:val="en-US" w:eastAsia="zh-CN"/>
        </w:rPr>
        <w:t>彩礼返还要素的动态调整</w:t>
      </w:r>
      <w:r>
        <w:rPr>
          <w:rFonts w:hint="eastAsia" w:ascii="Times New Roman" w:hAnsi="Times New Roman"/>
          <w:sz w:val="24"/>
          <w:lang w:val="en-US" w:eastAsia="zh-CN"/>
        </w:rPr>
        <w:t>》，载《</w:t>
      </w:r>
      <w:r>
        <w:rPr>
          <w:rFonts w:hint="default" w:ascii="Times New Roman" w:hAnsi="Times New Roman"/>
          <w:sz w:val="24"/>
          <w:lang w:val="en-US" w:eastAsia="zh-CN"/>
        </w:rPr>
        <w:t>中国法律评论</w:t>
      </w:r>
      <w:r>
        <w:rPr>
          <w:rFonts w:hint="eastAsia" w:ascii="Times New Roman" w:hAnsi="Times New Roman"/>
          <w:sz w:val="24"/>
          <w:lang w:val="en-US" w:eastAsia="zh-CN"/>
        </w:rPr>
        <w:t>》</w:t>
      </w:r>
      <w:r>
        <w:rPr>
          <w:rFonts w:hint="default" w:ascii="Times New Roman" w:hAnsi="Times New Roman"/>
          <w:sz w:val="24"/>
          <w:lang w:val="en-US" w:eastAsia="zh-CN"/>
        </w:rPr>
        <w:t>2026</w:t>
      </w:r>
      <w:r>
        <w:rPr>
          <w:rFonts w:hint="eastAsia" w:ascii="Times New Roman" w:hAnsi="Times New Roman"/>
          <w:sz w:val="24"/>
          <w:lang w:val="en-US" w:eastAsia="zh-CN"/>
        </w:rPr>
        <w:t>年第</w:t>
      </w:r>
      <w:r>
        <w:rPr>
          <w:rFonts w:hint="default" w:ascii="Times New Roman" w:hAnsi="Times New Roman"/>
          <w:sz w:val="24"/>
          <w:lang w:val="en-US" w:eastAsia="zh-CN"/>
        </w:rPr>
        <w:t>5</w:t>
      </w:r>
      <w:r>
        <w:rPr>
          <w:rFonts w:hint="eastAsia" w:ascii="Times New Roman" w:hAnsi="Times New Roman"/>
          <w:sz w:val="24"/>
          <w:lang w:val="en-US" w:eastAsia="zh-CN"/>
        </w:rPr>
        <w:t>期</w:t>
      </w:r>
    </w:p>
    <w:p>
      <w:pPr>
        <w:keepNext w:val="0"/>
        <w:keepLines w:val="0"/>
        <w:pageBreakBefore w:val="0"/>
        <w:widowControl w:val="0"/>
        <w:numPr>
          <w:ilvl w:val="0"/>
          <w:numId w:val="4"/>
        </w:numPr>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Times New Roman" w:hAnsi="Times New Roman"/>
          <w:sz w:val="24"/>
          <w:lang w:val="en-US" w:eastAsia="zh-CN"/>
        </w:rPr>
        <w:t>王丹</w:t>
      </w:r>
      <w:r>
        <w:rPr>
          <w:rFonts w:hint="eastAsia" w:ascii="Times New Roman" w:hAnsi="Times New Roman"/>
          <w:sz w:val="24"/>
          <w:lang w:val="en-US" w:eastAsia="zh-CN"/>
        </w:rPr>
        <w:t>：《</w:t>
      </w:r>
      <w:r>
        <w:rPr>
          <w:rFonts w:hint="default" w:ascii="Times New Roman" w:hAnsi="Times New Roman"/>
          <w:sz w:val="24"/>
          <w:lang w:val="en-US" w:eastAsia="zh-CN"/>
        </w:rPr>
        <w:t>新形势下彩礼纠纷的司法应对</w:t>
      </w:r>
      <w:r>
        <w:rPr>
          <w:rFonts w:hint="eastAsia" w:ascii="Times New Roman" w:hAnsi="Times New Roman"/>
          <w:sz w:val="24"/>
          <w:lang w:val="en-US" w:eastAsia="zh-CN"/>
        </w:rPr>
        <w:t>》，载《</w:t>
      </w:r>
      <w:r>
        <w:rPr>
          <w:rFonts w:hint="default" w:ascii="Times New Roman" w:hAnsi="Times New Roman"/>
          <w:sz w:val="24"/>
          <w:lang w:val="en-US" w:eastAsia="zh-CN"/>
        </w:rPr>
        <w:t>中国应用法学</w:t>
      </w:r>
      <w:r>
        <w:rPr>
          <w:rFonts w:hint="eastAsia" w:ascii="Times New Roman" w:hAnsi="Times New Roman"/>
          <w:sz w:val="24"/>
          <w:lang w:val="en-US" w:eastAsia="zh-CN"/>
        </w:rPr>
        <w:t>》</w:t>
      </w:r>
      <w:r>
        <w:rPr>
          <w:rFonts w:hint="default" w:ascii="Times New Roman" w:hAnsi="Times New Roman"/>
          <w:sz w:val="24"/>
          <w:lang w:val="en-US" w:eastAsia="zh-CN"/>
        </w:rPr>
        <w:t>2024</w:t>
      </w:r>
      <w:r>
        <w:rPr>
          <w:rFonts w:hint="eastAsia" w:ascii="Times New Roman" w:hAnsi="Times New Roman"/>
          <w:sz w:val="24"/>
          <w:lang w:val="en-US" w:eastAsia="zh-CN"/>
        </w:rPr>
        <w:t>年第</w:t>
      </w:r>
      <w:r>
        <w:rPr>
          <w:rFonts w:hint="default" w:ascii="Times New Roman" w:hAnsi="Times New Roman"/>
          <w:sz w:val="24"/>
          <w:lang w:val="en-US" w:eastAsia="zh-CN"/>
        </w:rPr>
        <w:t>1</w:t>
      </w:r>
      <w:r>
        <w:rPr>
          <w:rFonts w:hint="eastAsia" w:ascii="Times New Roman" w:hAnsi="Times New Roman"/>
          <w:sz w:val="24"/>
          <w:lang w:val="en-US" w:eastAsia="zh-CN"/>
        </w:rPr>
        <w:t>期</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Times New Roman" w:hAnsi="Times New Roman"/>
          <w:sz w:val="24"/>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p>
    <w:sectPr>
      <w:footerReference r:id="rId7" w:type="default"/>
      <w:footnotePr>
        <w:numFmt w:val="decimalEnclosedCircleChinese"/>
        <w:numRestart w:val="eachPage"/>
      </w:footnotePr>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2700">
                        <a:noFill/>
                      </a:ln>
                    </wps:spPr>
                    <wps:txbx>
                      <w:txbxContent>
                        <w:p>
                          <w:pPr>
                            <w:pStyle w:val="14"/>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I</w:t>
                          </w:r>
                          <w:r>
                            <w:rPr>
                              <w:rFonts w:ascii="Times New Roman" w:hAnsi="Times New Roman"/>
                            </w:rPr>
                            <w:fldChar w:fldCharType="end"/>
                          </w:r>
                        </w:p>
                      </w:txbxContent>
                    </wps:txbx>
                    <wps:bodyPr vert="horz" wrap="none" lIns="0" tIns="0" rIns="0" bIns="0" anchor="t" anchorCtr="0" upright="1">
                      <a:spAutoFit/>
                    </wps:bodyPr>
                  </wps:wsp>
                </a:graphicData>
              </a:graphic>
            </wp:anchor>
          </w:drawing>
        </mc:Choice>
        <mc:Fallback>
          <w:pict>
            <v:shape id="文本框 40"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HIn3a/TAAAABQEAAA8A&#10;AAAAAAAAAQAgAAAAIgAAAGRycy9kb3ducmV2LnhtbFBLAQIUABQAAAAIAIdO4kDhQc1/4wEAAMkD&#10;AAAOAAAAAAAAAAEAIAAAACIBAABkcnMvZTJvRG9jLnhtbFBLBQYAAAAABgAGAFkBAAB3BQAAAAA=&#10;">
              <v:fill on="f" focussize="0,0"/>
              <v:stroke on="f" weight="1pt"/>
              <v:imagedata o:title=""/>
              <o:lock v:ext="edit" aspectratio="f"/>
              <v:textbox inset="0mm,0mm,0mm,0mm" style="mso-fit-shape-to-text:t;">
                <w:txbxContent>
                  <w:p>
                    <w:pPr>
                      <w:pStyle w:val="14"/>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I</w:t>
                    </w:r>
                    <w:r>
                      <w:rPr>
                        <w:rFonts w:ascii="Times New Roman" w:hAnsi="Times New Roma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2700">
                        <a:noFill/>
                      </a:ln>
                    </wps:spPr>
                    <wps:txbx>
                      <w:txbxContent>
                        <w:p>
                          <w:pPr>
                            <w:pStyle w:val="14"/>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I</w:t>
                          </w:r>
                          <w:r>
                            <w:rPr>
                              <w:rFonts w:ascii="Times New Roman" w:hAnsi="Times New Roman"/>
                            </w:rPr>
                            <w:fldChar w:fldCharType="end"/>
                          </w:r>
                        </w:p>
                      </w:txbxContent>
                    </wps:txbx>
                    <wps:bodyPr wrap="none" lIns="0" tIns="0" rIns="0" bIns="0" upright="1">
                      <a:spAutoFit/>
                    </wps:bodyPr>
                  </wps:wsp>
                </a:graphicData>
              </a:graphic>
            </wp:anchor>
          </w:drawing>
        </mc:Choice>
        <mc:Fallback>
          <w:pict>
            <v:shape id="文本框 40"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cifdr9MAAAAFAQAADwAAAAAAAAABACAAAAAiAAAAZHJz&#10;L2Rvd25yZXYueG1sUEsBAhQAFAAAAAgAh07iQCleuB7QAQAApAMAAA4AAAAAAAAAAQAgAAAAIgEA&#10;AGRycy9lMm9Eb2MueG1sUEsFBgAAAAAGAAYAWQEAAGQFAAAAAA==&#10;">
              <v:fill on="f" focussize="0,0"/>
              <v:stroke on="f" weight="1pt"/>
              <v:imagedata o:title=""/>
              <o:lock v:ext="edit" aspectratio="f"/>
              <v:textbox inset="0mm,0mm,0mm,0mm" style="mso-fit-shape-to-text:t;">
                <w:txbxContent>
                  <w:p>
                    <w:pPr>
                      <w:pStyle w:val="14"/>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I</w:t>
                    </w:r>
                    <w:r>
                      <w:rPr>
                        <w:rFonts w:ascii="Times New Roman" w:hAnsi="Times New Roma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2700">
                        <a:noFill/>
                      </a:ln>
                    </wps:spPr>
                    <wps:txbx>
                      <w:txbxContent>
                        <w:p>
                          <w:pPr>
                            <w:pStyle w:val="14"/>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I</w:t>
                          </w:r>
                          <w:r>
                            <w:rPr>
                              <w:rFonts w:ascii="Times New Roman" w:hAnsi="Times New Roman"/>
                            </w:rPr>
                            <w:fldChar w:fldCharType="end"/>
                          </w:r>
                        </w:p>
                      </w:txbxContent>
                    </wps:txbx>
                    <wps:bodyPr wrap="none" lIns="0" tIns="0" rIns="0" bIns="0" upright="1">
                      <a:spAutoFit/>
                    </wps:bodyPr>
                  </wps:wsp>
                </a:graphicData>
              </a:graphic>
            </wp:anchor>
          </w:drawing>
        </mc:Choice>
        <mc:Fallback>
          <w:pict>
            <v:shape id="文本框 40"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HIn3a/TAAAABQEAAA8AAAAAAAAAAQAgAAAAIgAAAGRy&#10;cy9kb3ducmV2LnhtbFBLAQIUABQAAAAIAIdO4kCo+Zw70QEAAKQDAAAOAAAAAAAAAAEAIAAAACIB&#10;AABkcnMvZTJvRG9jLnhtbFBLBQYAAAAABgAGAFkBAABlBQAAAAA=&#10;">
              <v:fill on="f" focussize="0,0"/>
              <v:stroke on="f" weight="1pt"/>
              <v:imagedata o:title=""/>
              <o:lock v:ext="edit" aspectratio="f"/>
              <v:textbox inset="0mm,0mm,0mm,0mm" style="mso-fit-shape-to-text:t;">
                <w:txbxContent>
                  <w:p>
                    <w:pPr>
                      <w:pStyle w:val="14"/>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I</w:t>
                    </w:r>
                    <w:r>
                      <w:rPr>
                        <w:rFonts w:ascii="Times New Roman" w:hAnsi="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16">
    <w:p>
      <w:r>
        <w:separator/>
      </w:r>
    </w:p>
  </w:footnote>
  <w:footnote w:type="continuationSeparator" w:id="117">
    <w:p>
      <w:r>
        <w:continuationSeparator/>
      </w:r>
    </w:p>
  </w:footnote>
  <w:footnote w:id="0">
    <w:p>
      <w:pPr>
        <w:pStyle w:val="17"/>
        <w:snapToGrid w:val="0"/>
      </w:pPr>
      <w:r>
        <w:rPr>
          <w:rStyle w:val="24"/>
        </w:rPr>
        <w:footnoteRef/>
      </w:r>
      <w:r>
        <w:rPr>
          <w:rFonts w:hint="eastAsia"/>
        </w:rPr>
        <w:t>刘清生,谢梅：《论婚约彩礼的返还》，载《西南交通大学学报(社会科学版)》2011年第1期。</w:t>
      </w:r>
    </w:p>
  </w:footnote>
  <w:footnote w:id="1">
    <w:p>
      <w:pPr>
        <w:pStyle w:val="17"/>
        <w:snapToGrid w:val="0"/>
      </w:pPr>
      <w:r>
        <w:rPr>
          <w:rStyle w:val="24"/>
        </w:rPr>
        <w:footnoteRef/>
      </w:r>
      <w:r>
        <w:rPr>
          <w:rFonts w:hint="eastAsia"/>
        </w:rPr>
        <w:t>薛宁兰,崔丹：《论彩礼的给付性质与返还规则》，载《妇女研究论丛》2024年第5期。</w:t>
      </w:r>
    </w:p>
  </w:footnote>
  <w:footnote w:id="2">
    <w:p>
      <w:pPr>
        <w:pStyle w:val="17"/>
        <w:snapToGrid w:val="0"/>
      </w:pPr>
      <w:r>
        <w:rPr>
          <w:rStyle w:val="24"/>
        </w:rPr>
        <w:footnoteRef/>
      </w:r>
      <w:r>
        <w:rPr>
          <w:rFonts w:hint="eastAsia"/>
        </w:rPr>
        <w:t>姚明斌,刘亦婷：《彩礼返还请求权的规范构造》，载《南大法学》2023年第4期。</w:t>
      </w:r>
    </w:p>
  </w:footnote>
  <w:footnote w:id="3">
    <w:p>
      <w:pPr>
        <w:pStyle w:val="17"/>
        <w:snapToGrid w:val="0"/>
      </w:pPr>
      <w:r>
        <w:rPr>
          <w:rStyle w:val="24"/>
        </w:rPr>
        <w:footnoteRef/>
      </w:r>
      <w:r>
        <w:rPr>
          <w:rFonts w:hint="eastAsia"/>
        </w:rPr>
        <w:t>薛宁兰,崔丹：《论彩礼的给付性质与返还规则》，载《妇女研究论丛》2024年第5期。</w:t>
      </w:r>
    </w:p>
  </w:footnote>
  <w:footnote w:id="4">
    <w:p>
      <w:pPr>
        <w:pStyle w:val="17"/>
        <w:snapToGrid w:val="0"/>
      </w:pPr>
      <w:r>
        <w:rPr>
          <w:rStyle w:val="24"/>
        </w:rPr>
        <w:footnoteRef/>
      </w:r>
      <w:r>
        <w:rPr>
          <w:rFonts w:hint="eastAsia"/>
        </w:rPr>
        <w:t>汪洋：《彩礼范围与返还事由的体系再造——最高人民法院《彩礼纠纷规定》释评》，载《妇女研究论丛》2024年第2期</w:t>
      </w:r>
      <w:r>
        <w:rPr>
          <w:rFonts w:hint="eastAsia"/>
          <w:lang w:eastAsia="zh-CN"/>
        </w:rPr>
        <w:t>。</w:t>
      </w:r>
    </w:p>
  </w:footnote>
  <w:footnote w:id="5">
    <w:p>
      <w:pPr>
        <w:pStyle w:val="17"/>
        <w:snapToGrid w:val="0"/>
      </w:pPr>
      <w:r>
        <w:rPr>
          <w:rStyle w:val="24"/>
        </w:rPr>
        <w:footnoteRef/>
      </w:r>
      <w:r>
        <w:rPr>
          <w:rFonts w:hint="eastAsia"/>
        </w:rPr>
        <w:t>王宝庆：《彩礼的法律性质及返还规则探析》，载《法制与社会》2015年第16期。</w:t>
      </w:r>
    </w:p>
  </w:footnote>
  <w:footnote w:id="6">
    <w:p>
      <w:pPr>
        <w:pStyle w:val="17"/>
        <w:snapToGrid w:val="0"/>
      </w:pPr>
      <w:r>
        <w:rPr>
          <w:rStyle w:val="24"/>
        </w:rPr>
        <w:footnoteRef/>
      </w:r>
      <w:r>
        <w:rPr>
          <w:rFonts w:hint="eastAsia"/>
        </w:rPr>
        <w:t>金眉：《论彩礼返还的请求权基础重建》，载《政法论坛》2019年第5期。</w:t>
      </w:r>
    </w:p>
  </w:footnote>
  <w:footnote w:id="7">
    <w:p>
      <w:pPr>
        <w:pStyle w:val="17"/>
        <w:snapToGrid w:val="0"/>
      </w:pPr>
      <w:r>
        <w:rPr>
          <w:rStyle w:val="24"/>
        </w:rPr>
        <w:footnoteRef/>
      </w:r>
      <w:r>
        <w:rPr>
          <w:rFonts w:hint="eastAsia"/>
        </w:rPr>
        <w:t>刘凝：《情事变更视角下彩礼返还规则的重构》，载《政治与法律》2025年第5期。</w:t>
      </w:r>
    </w:p>
  </w:footnote>
  <w:footnote w:id="8">
    <w:p>
      <w:pPr>
        <w:pStyle w:val="17"/>
        <w:snapToGrid w:val="0"/>
      </w:pPr>
      <w:r>
        <w:rPr>
          <w:rStyle w:val="24"/>
        </w:rPr>
        <w:footnoteRef/>
      </w:r>
      <w:r>
        <w:rPr>
          <w:rFonts w:hint="eastAsia"/>
        </w:rPr>
        <w:t>胡云红,宋天一：《彩礼返还纠纷法律适用研究——以全国法院158份问卷调查和相关裁判文书为对象》，载《中国政法大学学报》2022年第6期。</w:t>
      </w:r>
    </w:p>
  </w:footnote>
  <w:footnote w:id="9">
    <w:p>
      <w:pPr>
        <w:pStyle w:val="17"/>
        <w:snapToGrid w:val="0"/>
      </w:pPr>
      <w:r>
        <w:rPr>
          <w:rStyle w:val="24"/>
        </w:rPr>
        <w:footnoteRef/>
      </w:r>
      <w:r>
        <w:rPr>
          <w:rFonts w:hint="eastAsia"/>
        </w:rPr>
        <w:t>Nwatu,SamuelIhuoma;Nwogugu,EdwinIfeanyi,CommonwealthLawBulletin,44Commw.L.Bull,p.182(2018).</w:t>
      </w:r>
    </w:p>
  </w:footnote>
  <w:footnote w:id="10">
    <w:p>
      <w:pPr>
        <w:pStyle w:val="17"/>
        <w:snapToGrid w:val="0"/>
        <w:rPr>
          <w:rFonts w:hint="default"/>
          <w:lang w:val="en-US"/>
        </w:rPr>
      </w:pPr>
      <w:r>
        <w:rPr>
          <w:rStyle w:val="24"/>
        </w:rPr>
        <w:footnoteRef/>
      </w:r>
      <w:r>
        <w:rPr>
          <w:rFonts w:hint="eastAsia"/>
        </w:rPr>
        <w:t>HindAhmedZaki,Law,Culture,andMobilization:LegalPluralismandWomen'sAccesstoDivorceinEgypt</w:t>
      </w:r>
      <w:r>
        <w:rPr>
          <w:rFonts w:hint="eastAsia"/>
          <w:lang w:val="en-US" w:eastAsia="zh-CN"/>
        </w:rPr>
        <w:t>,MuslimWorldJournalofHumanRights,p.1(2017).</w:t>
      </w:r>
    </w:p>
  </w:footnote>
  <w:footnote w:id="11">
    <w:p>
      <w:pPr>
        <w:pStyle w:val="17"/>
        <w:snapToGrid w:val="0"/>
      </w:pPr>
      <w:r>
        <w:rPr>
          <w:rStyle w:val="24"/>
        </w:rPr>
        <w:footnoteRef/>
      </w:r>
      <w:r>
        <w:rPr>
          <w:rFonts w:hint="default"/>
          <w:lang w:val="en-US"/>
        </w:rPr>
        <w:t>BarbaraFrazier,ButICan'tMarryYou:WhoisEntitledtotheEngagementRingwhentheConditionalPerformanceFallsShortoftheAltar,JournaloftheAmericanAcademyofMatrimonialLawyers,p.419.</w:t>
      </w:r>
    </w:p>
  </w:footnote>
  <w:footnote w:id="12">
    <w:p>
      <w:pPr>
        <w:pStyle w:val="17"/>
        <w:snapToGrid w:val="0"/>
      </w:pPr>
      <w:r>
        <w:rPr>
          <w:rStyle w:val="24"/>
        </w:rPr>
        <w:footnoteRef/>
      </w:r>
      <w:r>
        <w:rPr>
          <w:rFonts w:hint="eastAsia"/>
        </w:rPr>
        <w:t>王璨：民法典视域下彩礼返还规则的理论探究，载于鞍山师范学院学报2023年5期</w:t>
      </w:r>
    </w:p>
  </w:footnote>
  <w:footnote w:id="13">
    <w:p>
      <w:pPr>
        <w:pStyle w:val="17"/>
        <w:snapToGrid w:val="0"/>
      </w:pPr>
      <w:r>
        <w:rPr>
          <w:rStyle w:val="24"/>
        </w:rPr>
        <w:footnoteRef/>
      </w:r>
      <w:r>
        <w:rPr>
          <w:rFonts w:hint="eastAsia"/>
        </w:rPr>
        <w:t>何政泉、何琴：论我国现行法律框架下的彩礼返还机制，载于西南石油大学学报（社会科学版），2024年第二期</w:t>
      </w:r>
    </w:p>
  </w:footnote>
  <w:footnote w:id="14">
    <w:p>
      <w:pPr>
        <w:pStyle w:val="17"/>
        <w:snapToGrid w:val="0"/>
        <w:rPr>
          <w:rFonts w:hint="eastAsia" w:eastAsia="宋体"/>
          <w:lang w:eastAsia="zh-CN"/>
        </w:rPr>
      </w:pPr>
      <w:r>
        <w:rPr>
          <w:rStyle w:val="24"/>
        </w:rPr>
        <w:footnoteRef/>
      </w:r>
      <w:r>
        <w:rPr>
          <w:rFonts w:hint="eastAsia"/>
        </w:rPr>
        <w:t>张学军：《彩礼返还制度研究——兼论禁止买卖婚姻和禁止借婚姻索取财物》，载《中外法学》2006年第5期</w:t>
      </w:r>
      <w:r>
        <w:rPr>
          <w:rFonts w:hint="eastAsia"/>
          <w:lang w:eastAsia="zh-CN"/>
        </w:rPr>
        <w:t>。</w:t>
      </w:r>
    </w:p>
  </w:footnote>
  <w:footnote w:id="15">
    <w:p>
      <w:pPr>
        <w:pStyle w:val="17"/>
        <w:snapToGrid w:val="0"/>
        <w:rPr>
          <w:rFonts w:hint="eastAsia" w:eastAsia="宋体"/>
          <w:lang w:eastAsia="zh-CN"/>
        </w:rPr>
      </w:pPr>
      <w:r>
        <w:rPr>
          <w:rStyle w:val="24"/>
        </w:rPr>
        <w:footnoteRef/>
      </w:r>
      <w:r>
        <w:rPr>
          <w:rFonts w:hint="eastAsia"/>
        </w:rPr>
        <w:t>李霞：《民间习俗中的彩礼及其流变》，载《民俗研究》2008年第3期</w:t>
      </w:r>
      <w:r>
        <w:rPr>
          <w:rFonts w:hint="eastAsia"/>
          <w:lang w:eastAsia="zh-CN"/>
        </w:rPr>
        <w:t>。</w:t>
      </w:r>
    </w:p>
  </w:footnote>
  <w:footnote w:id="16">
    <w:p>
      <w:pPr>
        <w:pStyle w:val="17"/>
        <w:snapToGrid w:val="0"/>
        <w:rPr>
          <w:rFonts w:hint="default" w:eastAsia="宋体"/>
          <w:lang w:val="en-US" w:eastAsia="zh-CN"/>
        </w:rPr>
      </w:pPr>
      <w:r>
        <w:rPr>
          <w:rStyle w:val="24"/>
        </w:rPr>
        <w:footnoteRef/>
      </w:r>
      <w:r>
        <w:rPr>
          <w:rFonts w:hint="eastAsia"/>
        </w:rPr>
        <w:t>景汉朝：《民事案件案由新释新解与适用指南》，中国法制出版社2018年版</w:t>
      </w:r>
      <w:r>
        <w:rPr>
          <w:rFonts w:hint="eastAsia"/>
          <w:lang w:eastAsia="zh-CN"/>
        </w:rPr>
        <w:t>，</w:t>
      </w:r>
      <w:r>
        <w:rPr>
          <w:rFonts w:hint="eastAsia"/>
          <w:lang w:val="en-US" w:eastAsia="zh-CN"/>
        </w:rPr>
        <w:t>第99页。</w:t>
      </w:r>
    </w:p>
  </w:footnote>
  <w:footnote w:id="17">
    <w:p>
      <w:pPr>
        <w:pStyle w:val="17"/>
        <w:snapToGrid w:val="0"/>
        <w:rPr>
          <w:rFonts w:hint="eastAsia" w:eastAsia="宋体"/>
          <w:lang w:val="en-US" w:eastAsia="zh-CN"/>
        </w:rPr>
      </w:pPr>
      <w:r>
        <w:rPr>
          <w:rStyle w:val="24"/>
        </w:rPr>
        <w:footnoteRef/>
      </w:r>
      <w:r>
        <w:rPr>
          <w:rFonts w:hint="eastAsia"/>
          <w:lang w:val="en-US" w:eastAsia="zh-CN"/>
        </w:rPr>
        <w:t>参见</w:t>
      </w:r>
      <w:r>
        <w:rPr>
          <w:rFonts w:hint="eastAsia"/>
        </w:rPr>
        <w:t>（2025）湘11民终3459号</w:t>
      </w:r>
      <w:r>
        <w:rPr>
          <w:rFonts w:hint="eastAsia"/>
          <w:lang w:val="en-US" w:eastAsia="zh-CN"/>
        </w:rPr>
        <w:t>判决书</w:t>
      </w:r>
    </w:p>
  </w:footnote>
  <w:footnote w:id="18">
    <w:p>
      <w:pPr>
        <w:pStyle w:val="17"/>
        <w:snapToGrid w:val="0"/>
        <w:rPr>
          <w:rFonts w:hint="eastAsia" w:eastAsia="宋体"/>
          <w:lang w:val="en-US" w:eastAsia="zh-CN"/>
        </w:rPr>
      </w:pPr>
      <w:r>
        <w:rPr>
          <w:rStyle w:val="24"/>
        </w:rPr>
        <w:footnoteRef/>
      </w:r>
      <w:r>
        <w:rPr>
          <w:rFonts w:hint="eastAsia"/>
          <w:lang w:val="en-US" w:eastAsia="zh-CN"/>
        </w:rPr>
        <w:t>参见</w:t>
      </w:r>
      <w:r>
        <w:rPr>
          <w:rFonts w:hint="eastAsia"/>
        </w:rPr>
        <w:t>（2024）湘11民终4087号</w:t>
      </w:r>
      <w:r>
        <w:rPr>
          <w:rFonts w:hint="eastAsia"/>
          <w:lang w:val="en-US" w:eastAsia="zh-CN"/>
        </w:rPr>
        <w:t>判决书</w:t>
      </w:r>
    </w:p>
  </w:footnote>
  <w:footnote w:id="19">
    <w:p>
      <w:pPr>
        <w:pStyle w:val="17"/>
        <w:snapToGrid w:val="0"/>
        <w:rPr>
          <w:rFonts w:hint="eastAsia" w:eastAsia="宋体"/>
          <w:lang w:val="en-US" w:eastAsia="zh-CN"/>
        </w:rPr>
      </w:pPr>
      <w:r>
        <w:rPr>
          <w:rStyle w:val="24"/>
        </w:rPr>
        <w:footnoteRef/>
      </w:r>
      <w:r>
        <w:rPr>
          <w:rFonts w:hint="eastAsia"/>
          <w:lang w:val="en-US" w:eastAsia="zh-CN"/>
        </w:rPr>
        <w:t>参见</w:t>
      </w:r>
      <w:r>
        <w:rPr>
          <w:rFonts w:hint="eastAsia"/>
        </w:rPr>
        <w:t>（2025）湘0182民初10808号</w:t>
      </w:r>
      <w:r>
        <w:rPr>
          <w:rFonts w:hint="eastAsia"/>
          <w:lang w:val="en-US" w:eastAsia="zh-CN"/>
        </w:rPr>
        <w:t>判决书</w:t>
      </w:r>
    </w:p>
  </w:footnote>
  <w:footnote w:id="20">
    <w:p>
      <w:pPr>
        <w:pStyle w:val="17"/>
        <w:snapToGrid w:val="0"/>
        <w:rPr>
          <w:rFonts w:hint="default" w:eastAsia="宋体"/>
          <w:lang w:val="en-US" w:eastAsia="zh-CN"/>
        </w:rPr>
      </w:pPr>
      <w:r>
        <w:rPr>
          <w:rStyle w:val="24"/>
        </w:rPr>
        <w:footnoteRef/>
      </w:r>
      <w:r>
        <w:rPr>
          <w:rFonts w:hint="eastAsia"/>
          <w:lang w:val="en-US" w:eastAsia="zh-CN"/>
        </w:rPr>
        <w:t>参见（2024）湘0602民初8096号判决书</w:t>
      </w:r>
    </w:p>
  </w:footnote>
  <w:footnote w:id="21">
    <w:p>
      <w:pPr>
        <w:pStyle w:val="17"/>
        <w:snapToGrid w:val="0"/>
        <w:rPr>
          <w:rFonts w:hint="eastAsia" w:eastAsia="宋体"/>
          <w:lang w:val="en-US" w:eastAsia="zh-CN"/>
        </w:rPr>
      </w:pPr>
      <w:r>
        <w:rPr>
          <w:rStyle w:val="24"/>
        </w:rPr>
        <w:footnoteRef/>
      </w:r>
      <w:r>
        <w:rPr>
          <w:rFonts w:hint="eastAsia"/>
          <w:lang w:val="en-US" w:eastAsia="zh-CN"/>
        </w:rPr>
        <w:t>参见</w:t>
      </w:r>
      <w:r>
        <w:rPr>
          <w:rFonts w:hint="eastAsia"/>
        </w:rPr>
        <w:t>（2025）湘0482民初2254号</w:t>
      </w:r>
      <w:r>
        <w:rPr>
          <w:rFonts w:hint="eastAsia"/>
          <w:lang w:val="en-US" w:eastAsia="zh-CN"/>
        </w:rPr>
        <w:t>判决书</w:t>
      </w:r>
    </w:p>
  </w:footnote>
  <w:footnote w:id="22">
    <w:p>
      <w:pPr>
        <w:pStyle w:val="17"/>
        <w:snapToGrid w:val="0"/>
        <w:rPr>
          <w:rFonts w:hint="eastAsia" w:eastAsia="宋体"/>
          <w:lang w:val="en-US" w:eastAsia="zh-CN"/>
        </w:rPr>
      </w:pPr>
      <w:r>
        <w:rPr>
          <w:rStyle w:val="24"/>
        </w:rPr>
        <w:footnoteRef/>
      </w:r>
      <w:r>
        <w:rPr>
          <w:rFonts w:hint="eastAsia"/>
          <w:lang w:val="en-US" w:eastAsia="zh-CN"/>
        </w:rPr>
        <w:t>参见</w:t>
      </w:r>
      <w:r>
        <w:rPr>
          <w:rFonts w:hint="eastAsia"/>
        </w:rPr>
        <w:t>（2025）湘0424民初358号</w:t>
      </w:r>
      <w:r>
        <w:rPr>
          <w:rFonts w:hint="eastAsia"/>
          <w:lang w:val="en-US" w:eastAsia="zh-CN"/>
        </w:rPr>
        <w:t>判决书</w:t>
      </w:r>
    </w:p>
  </w:footnote>
  <w:footnote w:id="23">
    <w:p>
      <w:pPr>
        <w:pStyle w:val="17"/>
        <w:snapToGrid w:val="0"/>
        <w:rPr>
          <w:rFonts w:hint="default"/>
          <w:lang w:val="en-US"/>
        </w:rPr>
      </w:pPr>
      <w:r>
        <w:rPr>
          <w:rStyle w:val="24"/>
        </w:rPr>
        <w:footnoteRef/>
      </w:r>
      <w:r>
        <w:rPr>
          <w:rFonts w:hint="eastAsia"/>
          <w:lang w:val="en-US" w:eastAsia="zh-CN"/>
        </w:rPr>
        <w:t>参见（2024）湘0923民初4413号判决书</w:t>
      </w:r>
    </w:p>
  </w:footnote>
  <w:footnote w:id="24">
    <w:p>
      <w:pPr>
        <w:pStyle w:val="17"/>
        <w:snapToGrid w:val="0"/>
        <w:rPr>
          <w:rFonts w:hint="default" w:eastAsia="宋体"/>
          <w:lang w:val="en-US" w:eastAsia="zh-CN"/>
        </w:rPr>
      </w:pPr>
      <w:r>
        <w:rPr>
          <w:rStyle w:val="24"/>
        </w:rPr>
        <w:footnoteRef/>
      </w:r>
      <w:r>
        <w:rPr>
          <w:rFonts w:hint="eastAsia"/>
          <w:lang w:val="en-US" w:eastAsia="zh-CN"/>
        </w:rPr>
        <w:t>参见（2024）湘1124民初5079号判决书</w:t>
      </w:r>
    </w:p>
  </w:footnote>
  <w:footnote w:id="25">
    <w:p>
      <w:pPr>
        <w:pStyle w:val="17"/>
        <w:snapToGrid w:val="0"/>
        <w:rPr>
          <w:rFonts w:hint="default"/>
          <w:lang w:val="en-US"/>
        </w:rPr>
      </w:pPr>
      <w:r>
        <w:rPr>
          <w:rStyle w:val="24"/>
        </w:rPr>
        <w:footnoteRef/>
      </w:r>
      <w:r>
        <w:rPr>
          <w:rFonts w:hint="eastAsia"/>
          <w:lang w:val="en-US" w:eastAsia="zh-CN"/>
        </w:rPr>
        <w:t>参见（2025）湘3130民初999号判决书</w:t>
      </w:r>
    </w:p>
  </w:footnote>
  <w:footnote w:id="26">
    <w:p>
      <w:pPr>
        <w:pStyle w:val="17"/>
        <w:snapToGrid w:val="0"/>
        <w:rPr>
          <w:rFonts w:hint="default" w:eastAsia="宋体"/>
          <w:lang w:val="en-US" w:eastAsia="zh-CN"/>
        </w:rPr>
      </w:pPr>
      <w:r>
        <w:rPr>
          <w:rStyle w:val="24"/>
        </w:rPr>
        <w:footnoteRef/>
      </w:r>
      <w:r>
        <w:rPr>
          <w:rFonts w:hint="eastAsia"/>
          <w:lang w:val="en-US" w:eastAsia="zh-CN"/>
        </w:rPr>
        <w:t>参见（2024）湘1103民初9319号判决书</w:t>
      </w:r>
    </w:p>
  </w:footnote>
  <w:footnote w:id="27">
    <w:p>
      <w:pPr>
        <w:pStyle w:val="17"/>
        <w:snapToGrid w:val="0"/>
        <w:rPr>
          <w:rFonts w:hint="default"/>
          <w:lang w:val="en-US"/>
        </w:rPr>
      </w:pPr>
      <w:r>
        <w:rPr>
          <w:rStyle w:val="24"/>
        </w:rPr>
        <w:footnoteRef/>
      </w:r>
      <w:r>
        <w:rPr>
          <w:rFonts w:hint="eastAsia"/>
          <w:lang w:val="en-US" w:eastAsia="zh-CN"/>
        </w:rPr>
        <w:t>参见（2024）湘1022民初4360号判决书</w:t>
      </w:r>
    </w:p>
  </w:footnote>
  <w:footnote w:id="28">
    <w:p>
      <w:pPr>
        <w:pStyle w:val="17"/>
        <w:snapToGrid w:val="0"/>
        <w:rPr>
          <w:rFonts w:hint="default" w:eastAsia="宋体"/>
          <w:lang w:val="en-US" w:eastAsia="zh-CN"/>
        </w:rPr>
      </w:pPr>
      <w:r>
        <w:rPr>
          <w:rStyle w:val="24"/>
        </w:rPr>
        <w:footnoteRef/>
      </w:r>
      <w:r>
        <w:rPr>
          <w:rFonts w:hint="eastAsia"/>
          <w:lang w:val="en-US" w:eastAsia="zh-CN"/>
        </w:rPr>
        <w:t>参见（2025）湘0581民初1314号判决书</w:t>
      </w:r>
    </w:p>
  </w:footnote>
  <w:footnote w:id="29">
    <w:p>
      <w:pPr>
        <w:pStyle w:val="17"/>
        <w:snapToGrid w:val="0"/>
        <w:rPr>
          <w:rFonts w:hint="default"/>
          <w:lang w:val="en-US"/>
        </w:rPr>
      </w:pPr>
      <w:r>
        <w:rPr>
          <w:rStyle w:val="24"/>
        </w:rPr>
        <w:footnoteRef/>
      </w:r>
      <w:r>
        <w:rPr>
          <w:rFonts w:hint="eastAsia"/>
          <w:lang w:val="en-US" w:eastAsia="zh-CN"/>
        </w:rPr>
        <w:t>参见（2025）湘1103民初2663号判决书</w:t>
      </w:r>
    </w:p>
  </w:footnote>
  <w:footnote w:id="30">
    <w:p>
      <w:pPr>
        <w:pStyle w:val="17"/>
        <w:snapToGrid w:val="0"/>
        <w:rPr>
          <w:rFonts w:hint="default" w:eastAsia="宋体"/>
          <w:lang w:val="en-US" w:eastAsia="zh-CN"/>
        </w:rPr>
      </w:pPr>
      <w:r>
        <w:rPr>
          <w:rStyle w:val="24"/>
        </w:rPr>
        <w:footnoteRef/>
      </w:r>
      <w:r>
        <w:rPr>
          <w:rFonts w:hint="eastAsia"/>
          <w:lang w:val="en-US" w:eastAsia="zh-CN"/>
        </w:rPr>
        <w:t>参见（2025）湘1021民初2073号判决书</w:t>
      </w:r>
    </w:p>
  </w:footnote>
  <w:footnote w:id="31">
    <w:p>
      <w:pPr>
        <w:pStyle w:val="17"/>
        <w:snapToGrid w:val="0"/>
        <w:rPr>
          <w:rFonts w:hint="eastAsia" w:eastAsia="宋体"/>
          <w:lang w:val="en-US" w:eastAsia="zh-CN"/>
        </w:rPr>
      </w:pPr>
      <w:r>
        <w:rPr>
          <w:rStyle w:val="24"/>
        </w:rPr>
        <w:footnoteRef/>
      </w:r>
      <w:r>
        <w:rPr>
          <w:rFonts w:hint="eastAsia"/>
          <w:lang w:val="en-US" w:eastAsia="zh-CN"/>
        </w:rPr>
        <w:t>参见</w:t>
      </w:r>
      <w:r>
        <w:rPr>
          <w:rFonts w:hint="eastAsia"/>
        </w:rPr>
        <w:t>（2024）湘11民终4213号</w:t>
      </w:r>
      <w:r>
        <w:rPr>
          <w:rFonts w:hint="eastAsia"/>
          <w:lang w:val="en-US" w:eastAsia="zh-CN"/>
        </w:rPr>
        <w:t>判决书</w:t>
      </w:r>
    </w:p>
  </w:footnote>
  <w:footnote w:id="32">
    <w:p>
      <w:pPr>
        <w:pStyle w:val="17"/>
        <w:snapToGrid w:val="0"/>
        <w:rPr>
          <w:rFonts w:hint="default" w:eastAsia="宋体"/>
          <w:lang w:val="en-US" w:eastAsia="zh-CN"/>
        </w:rPr>
      </w:pPr>
      <w:r>
        <w:rPr>
          <w:rStyle w:val="24"/>
        </w:rPr>
        <w:footnoteRef/>
      </w:r>
      <w:r>
        <w:rPr>
          <w:rFonts w:hint="eastAsia"/>
          <w:lang w:val="en-US" w:eastAsia="zh-CN"/>
        </w:rPr>
        <w:t>参见（2024）湘0426民初 4033号判决书</w:t>
      </w:r>
    </w:p>
  </w:footnote>
  <w:footnote w:id="33">
    <w:p>
      <w:pPr>
        <w:pStyle w:val="17"/>
        <w:snapToGrid w:val="0"/>
        <w:rPr>
          <w:rFonts w:hint="default"/>
          <w:lang w:val="en-US"/>
        </w:rPr>
      </w:pPr>
      <w:r>
        <w:rPr>
          <w:rStyle w:val="24"/>
        </w:rPr>
        <w:footnoteRef/>
      </w:r>
      <w:r>
        <w:rPr>
          <w:rFonts w:hint="eastAsia"/>
          <w:lang w:val="en-US" w:eastAsia="zh-CN"/>
        </w:rPr>
        <w:t>参见（2024）湘10民终3367号判决书</w:t>
      </w:r>
    </w:p>
  </w:footnote>
  <w:footnote w:id="34">
    <w:p>
      <w:pPr>
        <w:pStyle w:val="17"/>
        <w:snapToGrid w:val="0"/>
        <w:rPr>
          <w:rFonts w:hint="default" w:eastAsia="宋体"/>
          <w:lang w:val="en-US" w:eastAsia="zh-CN"/>
        </w:rPr>
      </w:pPr>
      <w:r>
        <w:rPr>
          <w:rStyle w:val="24"/>
        </w:rPr>
        <w:footnoteRef/>
      </w:r>
      <w:r>
        <w:rPr>
          <w:rFonts w:hint="eastAsia"/>
          <w:lang w:val="en-US" w:eastAsia="zh-CN"/>
        </w:rPr>
        <w:t>参见（2024）湘11民终4087号判决书</w:t>
      </w:r>
    </w:p>
  </w:footnote>
  <w:footnote w:id="35">
    <w:p>
      <w:pPr>
        <w:pStyle w:val="17"/>
        <w:snapToGrid w:val="0"/>
        <w:rPr>
          <w:rFonts w:hint="default"/>
          <w:lang w:val="en-US"/>
        </w:rPr>
      </w:pPr>
      <w:r>
        <w:rPr>
          <w:rStyle w:val="24"/>
        </w:rPr>
        <w:footnoteRef/>
      </w:r>
      <w:r>
        <w:rPr>
          <w:rFonts w:hint="eastAsia"/>
          <w:lang w:val="en-US" w:eastAsia="zh-CN"/>
        </w:rPr>
        <w:t>参见（2025）湘0182民初10808号判决书</w:t>
      </w:r>
    </w:p>
  </w:footnote>
  <w:footnote w:id="36">
    <w:p>
      <w:pPr>
        <w:pStyle w:val="17"/>
        <w:snapToGrid w:val="0"/>
        <w:rPr>
          <w:rFonts w:hint="default" w:eastAsia="宋体"/>
          <w:lang w:val="en-US" w:eastAsia="zh-CN"/>
        </w:rPr>
      </w:pPr>
      <w:r>
        <w:rPr>
          <w:rStyle w:val="24"/>
        </w:rPr>
        <w:footnoteRef/>
      </w:r>
      <w:r>
        <w:rPr>
          <w:rFonts w:hint="eastAsia"/>
          <w:lang w:val="en-US" w:eastAsia="zh-CN"/>
        </w:rPr>
        <w:t>参见（2025）湘1225民初1129号判决书</w:t>
      </w:r>
    </w:p>
  </w:footnote>
  <w:footnote w:id="37">
    <w:p>
      <w:pPr>
        <w:pStyle w:val="17"/>
        <w:snapToGrid w:val="0"/>
        <w:rPr>
          <w:rFonts w:hint="eastAsia" w:eastAsia="宋体"/>
          <w:lang w:val="en-US" w:eastAsia="zh-CN"/>
        </w:rPr>
      </w:pPr>
      <w:r>
        <w:rPr>
          <w:rStyle w:val="24"/>
        </w:rPr>
        <w:footnoteRef/>
      </w:r>
      <w:r>
        <w:rPr>
          <w:rFonts w:hint="eastAsia"/>
          <w:lang w:val="en-US" w:eastAsia="zh-CN"/>
        </w:rPr>
        <w:t>参见</w:t>
      </w:r>
      <w:r>
        <w:rPr>
          <w:rFonts w:hint="eastAsia"/>
        </w:rPr>
        <w:t>（2025）湘1322民初5976号</w:t>
      </w:r>
      <w:r>
        <w:rPr>
          <w:rFonts w:hint="eastAsia"/>
          <w:lang w:val="en-US" w:eastAsia="zh-CN"/>
        </w:rPr>
        <w:t>判决书</w:t>
      </w:r>
    </w:p>
  </w:footnote>
  <w:footnote w:id="38">
    <w:p>
      <w:pPr>
        <w:pStyle w:val="17"/>
        <w:snapToGrid w:val="0"/>
        <w:rPr>
          <w:rFonts w:hint="default"/>
          <w:lang w:val="en-US"/>
        </w:rPr>
      </w:pPr>
      <w:r>
        <w:rPr>
          <w:rStyle w:val="24"/>
        </w:rPr>
        <w:footnoteRef/>
      </w:r>
      <w:r>
        <w:rPr>
          <w:rFonts w:hint="eastAsia"/>
          <w:lang w:val="en-US" w:eastAsia="zh-CN"/>
        </w:rPr>
        <w:t>参见（2024）湘11民终4087号判决书</w:t>
      </w:r>
    </w:p>
  </w:footnote>
  <w:footnote w:id="39">
    <w:p>
      <w:pPr>
        <w:pStyle w:val="17"/>
        <w:snapToGrid w:val="0"/>
        <w:rPr>
          <w:rFonts w:hint="default" w:eastAsia="宋体"/>
          <w:lang w:val="en-US" w:eastAsia="zh-CN"/>
        </w:rPr>
      </w:pPr>
      <w:r>
        <w:rPr>
          <w:rStyle w:val="24"/>
        </w:rPr>
        <w:footnoteRef/>
      </w:r>
      <w:r>
        <w:rPr>
          <w:rFonts w:hint="eastAsia"/>
          <w:lang w:val="en-US" w:eastAsia="zh-CN"/>
        </w:rPr>
        <w:t>参见（2025）湘11民终1450号判决书</w:t>
      </w:r>
    </w:p>
  </w:footnote>
  <w:footnote w:id="40">
    <w:p>
      <w:pPr>
        <w:pStyle w:val="17"/>
        <w:snapToGrid w:val="0"/>
        <w:rPr>
          <w:rFonts w:hint="default"/>
          <w:lang w:val="en-US"/>
        </w:rPr>
      </w:pPr>
      <w:r>
        <w:rPr>
          <w:rStyle w:val="24"/>
        </w:rPr>
        <w:footnoteRef/>
      </w:r>
      <w:r>
        <w:rPr>
          <w:rFonts w:hint="eastAsia"/>
          <w:lang w:val="en-US" w:eastAsia="zh-CN"/>
        </w:rPr>
        <w:t>参见（2025）湘0182民初10808号判决书</w:t>
      </w:r>
    </w:p>
  </w:footnote>
  <w:footnote w:id="41">
    <w:p>
      <w:pPr>
        <w:pStyle w:val="17"/>
        <w:snapToGrid w:val="0"/>
        <w:rPr>
          <w:rFonts w:hint="default" w:eastAsia="宋体"/>
          <w:lang w:val="en-US" w:eastAsia="zh-CN"/>
        </w:rPr>
      </w:pPr>
      <w:r>
        <w:rPr>
          <w:rStyle w:val="24"/>
        </w:rPr>
        <w:footnoteRef/>
      </w:r>
      <w:r>
        <w:rPr>
          <w:rFonts w:hint="eastAsia"/>
          <w:lang w:val="en-US" w:eastAsia="zh-CN"/>
        </w:rPr>
        <w:t>参见（2025）湘1225民初1129号判决书</w:t>
      </w:r>
    </w:p>
  </w:footnote>
  <w:footnote w:id="42">
    <w:p>
      <w:pPr>
        <w:pStyle w:val="17"/>
        <w:snapToGrid w:val="0"/>
        <w:rPr>
          <w:rFonts w:hint="default"/>
          <w:lang w:val="en-US"/>
        </w:rPr>
      </w:pPr>
      <w:r>
        <w:rPr>
          <w:rStyle w:val="24"/>
        </w:rPr>
        <w:footnoteRef/>
      </w:r>
      <w:r>
        <w:rPr>
          <w:rFonts w:hint="eastAsia"/>
          <w:lang w:val="en-US" w:eastAsia="zh-CN"/>
        </w:rPr>
        <w:t>参见（2024）湘1124民初5079号判决书</w:t>
      </w:r>
    </w:p>
  </w:footnote>
  <w:footnote w:id="43">
    <w:p>
      <w:pPr>
        <w:pStyle w:val="17"/>
        <w:snapToGrid w:val="0"/>
        <w:rPr>
          <w:rFonts w:hint="default" w:eastAsia="宋体"/>
          <w:lang w:val="en-US" w:eastAsia="zh-CN"/>
        </w:rPr>
      </w:pPr>
      <w:r>
        <w:rPr>
          <w:rStyle w:val="24"/>
        </w:rPr>
        <w:footnoteRef/>
      </w:r>
      <w:r>
        <w:rPr>
          <w:rFonts w:hint="eastAsia"/>
          <w:lang w:val="en-US" w:eastAsia="zh-CN"/>
        </w:rPr>
        <w:t>参见（2025）湘3130民初999号判决书</w:t>
      </w:r>
    </w:p>
  </w:footnote>
  <w:footnote w:id="44">
    <w:p>
      <w:pPr>
        <w:pStyle w:val="17"/>
        <w:snapToGrid w:val="0"/>
        <w:rPr>
          <w:rFonts w:hint="default"/>
          <w:lang w:val="en-US"/>
        </w:rPr>
      </w:pPr>
      <w:r>
        <w:rPr>
          <w:rStyle w:val="24"/>
        </w:rPr>
        <w:footnoteRef/>
      </w:r>
      <w:r>
        <w:rPr>
          <w:rFonts w:hint="eastAsia"/>
          <w:lang w:val="en-US" w:eastAsia="zh-CN"/>
        </w:rPr>
        <w:t>参见（2024）湘0923民初4413号判决书</w:t>
      </w:r>
    </w:p>
  </w:footnote>
  <w:footnote w:id="45">
    <w:p>
      <w:pPr>
        <w:pStyle w:val="17"/>
        <w:snapToGrid w:val="0"/>
        <w:rPr>
          <w:rFonts w:hint="default" w:eastAsia="宋体"/>
          <w:lang w:val="en-US" w:eastAsia="zh-CN"/>
        </w:rPr>
      </w:pPr>
      <w:r>
        <w:rPr>
          <w:rStyle w:val="24"/>
        </w:rPr>
        <w:footnoteRef/>
      </w:r>
      <w:r>
        <w:rPr>
          <w:rFonts w:hint="eastAsia"/>
          <w:lang w:val="en-US" w:eastAsia="zh-CN"/>
        </w:rPr>
        <w:t>参见（2024）湘1322民初8960号判决书</w:t>
      </w:r>
    </w:p>
  </w:footnote>
  <w:footnote w:id="46">
    <w:p>
      <w:pPr>
        <w:pStyle w:val="17"/>
        <w:snapToGrid w:val="0"/>
        <w:rPr>
          <w:rFonts w:hint="default"/>
          <w:lang w:val="en-US"/>
        </w:rPr>
      </w:pPr>
      <w:r>
        <w:rPr>
          <w:rStyle w:val="24"/>
        </w:rPr>
        <w:footnoteRef/>
      </w:r>
      <w:r>
        <w:rPr>
          <w:rFonts w:hint="default" w:eastAsia="宋体"/>
          <w:lang w:val="en-US" w:eastAsia="zh-CN"/>
        </w:rPr>
        <w:t>参见（2024）湘1322民初7785号判决书</w:t>
      </w:r>
    </w:p>
  </w:footnote>
  <w:footnote w:id="47">
    <w:p>
      <w:pPr>
        <w:pStyle w:val="17"/>
        <w:snapToGrid w:val="0"/>
        <w:rPr>
          <w:rFonts w:hint="default" w:eastAsia="宋体"/>
          <w:lang w:val="en-US" w:eastAsia="zh-CN"/>
        </w:rPr>
      </w:pPr>
      <w:r>
        <w:rPr>
          <w:rStyle w:val="24"/>
        </w:rPr>
        <w:footnoteRef/>
      </w:r>
      <w:r>
        <w:rPr>
          <w:rFonts w:hint="eastAsia"/>
          <w:lang w:val="en-US" w:eastAsia="zh-CN"/>
        </w:rPr>
        <w:t>参见（2025）湘1021民初2073号判决书</w:t>
      </w:r>
    </w:p>
  </w:footnote>
  <w:footnote w:id="48">
    <w:p>
      <w:pPr>
        <w:pStyle w:val="17"/>
        <w:snapToGrid w:val="0"/>
        <w:rPr>
          <w:rFonts w:hint="default"/>
          <w:lang w:val="en-US"/>
        </w:rPr>
      </w:pPr>
      <w:r>
        <w:rPr>
          <w:rStyle w:val="24"/>
        </w:rPr>
        <w:footnoteRef/>
      </w:r>
      <w:r>
        <w:rPr>
          <w:rFonts w:hint="eastAsia"/>
          <w:lang w:val="en-US" w:eastAsia="zh-CN"/>
        </w:rPr>
        <w:t>参见（2025）湘13民终384号判决书</w:t>
      </w:r>
    </w:p>
  </w:footnote>
  <w:footnote w:id="49">
    <w:p>
      <w:pPr>
        <w:pStyle w:val="17"/>
        <w:snapToGrid w:val="0"/>
        <w:rPr>
          <w:rFonts w:hint="eastAsia" w:eastAsia="宋体"/>
          <w:lang w:eastAsia="zh-CN"/>
        </w:rPr>
      </w:pPr>
      <w:r>
        <w:rPr>
          <w:rStyle w:val="24"/>
        </w:rPr>
        <w:footnoteRef/>
      </w:r>
      <w:r>
        <w:rPr>
          <w:rFonts w:hint="eastAsia"/>
        </w:rPr>
        <w:t>薛宁兰,崔丹：《论彩礼的给付性质与返还规则》，载《妇女研究论丛》2024年第5期</w:t>
      </w:r>
      <w:r>
        <w:rPr>
          <w:rFonts w:hint="eastAsia"/>
          <w:lang w:eastAsia="zh-CN"/>
        </w:rPr>
        <w:t>。</w:t>
      </w:r>
    </w:p>
  </w:footnote>
  <w:footnote w:id="50">
    <w:p>
      <w:pPr>
        <w:pStyle w:val="17"/>
        <w:snapToGrid w:val="0"/>
        <w:rPr>
          <w:rFonts w:hint="eastAsia" w:eastAsia="宋体"/>
          <w:lang w:eastAsia="zh-CN"/>
        </w:rPr>
      </w:pPr>
      <w:r>
        <w:rPr>
          <w:rStyle w:val="24"/>
        </w:rPr>
        <w:footnoteRef/>
      </w:r>
      <w:r>
        <w:rPr>
          <w:rFonts w:hint="eastAsia"/>
        </w:rPr>
        <w:t>汪洋：《彩礼范围与返还事由的体系再造——最高人民法院《彩礼纠纷规定》释评》，载《妇女研究论丛》2024年第2期</w:t>
      </w:r>
      <w:r>
        <w:rPr>
          <w:rFonts w:hint="eastAsia"/>
          <w:lang w:eastAsia="zh-CN"/>
        </w:rPr>
        <w:t>。</w:t>
      </w:r>
    </w:p>
  </w:footnote>
  <w:footnote w:id="51">
    <w:p>
      <w:pPr>
        <w:pStyle w:val="17"/>
        <w:snapToGrid w:val="0"/>
        <w:rPr>
          <w:rFonts w:hint="eastAsia" w:eastAsia="宋体"/>
          <w:lang w:eastAsia="zh-CN"/>
        </w:rPr>
      </w:pPr>
      <w:r>
        <w:rPr>
          <w:rStyle w:val="24"/>
        </w:rPr>
        <w:footnoteRef/>
      </w:r>
      <w:r>
        <w:rPr>
          <w:rFonts w:hint="eastAsia"/>
        </w:rPr>
        <w:t>姚明斌,刘亦婷：《彩礼返还请求权的规范构造》，载《南大法学》2023年第4期</w:t>
      </w:r>
      <w:r>
        <w:rPr>
          <w:rFonts w:hint="eastAsia"/>
          <w:lang w:eastAsia="zh-CN"/>
        </w:rPr>
        <w:t>。</w:t>
      </w:r>
    </w:p>
  </w:footnote>
  <w:footnote w:id="52">
    <w:p>
      <w:pPr>
        <w:pStyle w:val="17"/>
        <w:snapToGrid w:val="0"/>
      </w:pPr>
      <w:r>
        <w:rPr>
          <w:rStyle w:val="24"/>
        </w:rPr>
        <w:footnoteRef/>
      </w:r>
      <w:r>
        <w:rPr>
          <w:rFonts w:hint="eastAsia" w:eastAsia="宋体"/>
          <w:lang w:eastAsia="zh-CN"/>
        </w:rPr>
        <w:t>滕佳一：《彩礼返还要素的动态调整》，载《中国法律评论》2026年第5期。</w:t>
      </w:r>
    </w:p>
  </w:footnote>
  <w:footnote w:id="53">
    <w:p>
      <w:pPr>
        <w:pStyle w:val="17"/>
        <w:snapToGrid w:val="0"/>
        <w:rPr>
          <w:rFonts w:hint="default" w:eastAsia="宋体"/>
          <w:lang w:val="en-US" w:eastAsia="zh-CN"/>
        </w:rPr>
      </w:pPr>
      <w:r>
        <w:rPr>
          <w:rStyle w:val="24"/>
        </w:rPr>
        <w:footnoteRef/>
      </w:r>
      <w:r>
        <w:rPr>
          <w:rFonts w:hint="eastAsia"/>
          <w:lang w:eastAsia="zh-CN"/>
        </w:rPr>
        <w:t>《</w:t>
      </w:r>
      <w:r>
        <w:rPr>
          <w:rFonts w:hint="eastAsia"/>
          <w:lang w:val="en-US" w:eastAsia="zh-CN"/>
        </w:rPr>
        <w:t>900字速读湖南省政府工作报告要点</w:t>
      </w:r>
      <w:r>
        <w:rPr>
          <w:rFonts w:hint="eastAsia"/>
          <w:lang w:eastAsia="zh-CN"/>
        </w:rPr>
        <w:t>》</w:t>
      </w:r>
      <w:r>
        <w:rPr>
          <w:rFonts w:hint="eastAsia"/>
          <w:lang w:val="en-US" w:eastAsia="zh-CN"/>
        </w:rPr>
        <w:t>，载湖南省人民政府服务网站，https://www.hunan.gov.cn/topic/2026slh/slhdbg/2026bgjd/202602/t20260203_33908801.html，2026年5月7日访问。</w:t>
      </w:r>
    </w:p>
  </w:footnote>
  <w:footnote w:id="54">
    <w:p>
      <w:pPr>
        <w:pStyle w:val="17"/>
        <w:snapToGrid w:val="0"/>
        <w:rPr>
          <w:rFonts w:hint="eastAsia" w:eastAsia="宋体"/>
          <w:lang w:eastAsia="zh-CN"/>
        </w:rPr>
      </w:pPr>
      <w:r>
        <w:rPr>
          <w:rStyle w:val="24"/>
        </w:rPr>
        <w:footnoteRef/>
      </w:r>
      <w:r>
        <w:rPr>
          <w:rFonts w:hint="eastAsia"/>
        </w:rPr>
        <w:t>薛宁兰,崔丹：《论彩礼的给付性质与返还规则》，载《妇女研究论丛》2024年第5期</w:t>
      </w:r>
      <w:r>
        <w:rPr>
          <w:rFonts w:hint="eastAsia"/>
          <w:lang w:eastAsia="zh-CN"/>
        </w:rPr>
        <w:t>。</w:t>
      </w:r>
    </w:p>
  </w:footnote>
  <w:footnote w:id="55">
    <w:p>
      <w:pPr>
        <w:pStyle w:val="17"/>
        <w:snapToGrid w:val="0"/>
        <w:rPr>
          <w:rFonts w:hint="default" w:eastAsia="宋体"/>
          <w:lang w:val="en-US" w:eastAsia="zh-CN"/>
        </w:rPr>
      </w:pPr>
      <w:r>
        <w:rPr>
          <w:rStyle w:val="24"/>
        </w:rPr>
        <w:footnoteRef/>
      </w:r>
      <w:r>
        <w:rPr>
          <w:rFonts w:hint="eastAsia"/>
        </w:rPr>
        <w:t>《</w:t>
      </w:r>
      <w:bookmarkStart w:id="171" w:name="OLE_LINK14"/>
      <w:r>
        <w:rPr>
          <w:rFonts w:hint="eastAsia"/>
        </w:rPr>
        <w:t>育娲人口研究：中国婚姻家庭报告（2023版）</w:t>
      </w:r>
      <w:bookmarkEnd w:id="171"/>
      <w:r>
        <w:rPr>
          <w:rFonts w:hint="eastAsia"/>
        </w:rPr>
        <w:t>》，载中国社会保障学会网2024年3月28日，https://caoss.org.cn/news/html?id=14155</w:t>
      </w:r>
      <w:r>
        <w:rPr>
          <w:rFonts w:hint="eastAsia"/>
          <w:lang w:eastAsia="zh-CN"/>
        </w:rPr>
        <w:t>，</w:t>
      </w:r>
      <w:r>
        <w:rPr>
          <w:rFonts w:hint="eastAsia"/>
          <w:lang w:val="en-US" w:eastAsia="zh-CN"/>
        </w:rPr>
        <w:t>2026年5月7日访问。</w:t>
      </w:r>
    </w:p>
  </w:footnote>
  <w:footnote w:id="56">
    <w:p>
      <w:pPr>
        <w:pStyle w:val="17"/>
        <w:snapToGrid w:val="0"/>
        <w:rPr>
          <w:rFonts w:hint="eastAsia" w:eastAsia="宋体"/>
          <w:lang w:eastAsia="zh-CN"/>
        </w:rPr>
      </w:pPr>
      <w:r>
        <w:rPr>
          <w:rStyle w:val="24"/>
        </w:rPr>
        <w:footnoteRef/>
      </w:r>
      <w:r>
        <w:rPr>
          <w:rFonts w:hint="eastAsia"/>
        </w:rPr>
        <w:t>刘凝：《情事变更视角下彩礼返还规则的重构》，载《政治与法律》2025年第5期</w:t>
      </w:r>
      <w:r>
        <w:rPr>
          <w:rFonts w:hint="eastAsia"/>
          <w:lang w:eastAsia="zh-CN"/>
        </w:rPr>
        <w:t>。</w:t>
      </w:r>
    </w:p>
  </w:footnote>
  <w:footnote w:id="57">
    <w:p>
      <w:pPr>
        <w:pStyle w:val="17"/>
        <w:snapToGrid w:val="0"/>
        <w:rPr>
          <w:rFonts w:hint="eastAsia" w:eastAsia="宋体"/>
          <w:lang w:eastAsia="zh-CN"/>
        </w:rPr>
      </w:pPr>
      <w:r>
        <w:rPr>
          <w:rStyle w:val="24"/>
        </w:rPr>
        <w:footnoteRef/>
      </w:r>
      <w:r>
        <w:rPr>
          <w:rFonts w:hint="eastAsia"/>
        </w:rPr>
        <w:t>滕佳一：《彩礼返还要素的动态调整》，载《中国法律评论》2026年第5期</w:t>
      </w:r>
      <w:r>
        <w:rPr>
          <w:rFonts w:hint="eastAsia"/>
          <w:lang w:eastAsia="zh-CN"/>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single" w:color="auto" w:sz="4" w:space="1"/>
      </w:pBdr>
      <w:rPr>
        <w:rFonts w:ascii="Times New Roman" w:hAnsi="Times New Roman"/>
        <w:sz w:val="21"/>
      </w:rPr>
    </w:pPr>
    <w:r>
      <w:rPr>
        <w:rFonts w:hint="eastAsia" w:ascii="Times New Roman" w:hAnsi="Times New Roman"/>
        <w:sz w:val="21"/>
      </w:rPr>
      <w:t>湘潭大学毕业论文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596518"/>
    <w:multiLevelType w:val="multilevel"/>
    <w:tmpl w:val="AF596518"/>
    <w:lvl w:ilvl="0" w:tentative="0">
      <w:start w:val="1"/>
      <w:numFmt w:val="chineseCounting"/>
      <w:pStyle w:val="2"/>
      <w:suff w:val="nothing"/>
      <w:lvlText w:val="%1、"/>
      <w:lvlJc w:val="left"/>
      <w:pPr>
        <w:ind w:left="0" w:firstLine="0"/>
      </w:pPr>
      <w:rPr>
        <w:rFonts w:hint="eastAsia"/>
      </w:rPr>
    </w:lvl>
    <w:lvl w:ilvl="1" w:tentative="0">
      <w:start w:val="1"/>
      <w:numFmt w:val="chineseCounting"/>
      <w:pStyle w:val="4"/>
      <w:suff w:val="nothing"/>
      <w:lvlText w:val="（%2）"/>
      <w:lvlJc w:val="left"/>
      <w:pPr>
        <w:ind w:left="0" w:firstLine="0"/>
      </w:pPr>
      <w:rPr>
        <w:rFonts w:hint="eastAsia"/>
      </w:rPr>
    </w:lvl>
    <w:lvl w:ilvl="2" w:tentative="0">
      <w:start w:val="1"/>
      <w:numFmt w:val="decimal"/>
      <w:pStyle w:val="5"/>
      <w:suff w:val="nothing"/>
      <w:lvlText w:val="%3．"/>
      <w:lvlJc w:val="left"/>
      <w:pPr>
        <w:ind w:left="0" w:firstLine="400"/>
      </w:pPr>
      <w:rPr>
        <w:rFonts w:hint="eastAsia"/>
      </w:rPr>
    </w:lvl>
    <w:lvl w:ilvl="3" w:tentative="0">
      <w:start w:val="1"/>
      <w:numFmt w:val="decimal"/>
      <w:pStyle w:val="6"/>
      <w:suff w:val="nothing"/>
      <w:lvlText w:val="（%4）"/>
      <w:lvlJc w:val="left"/>
      <w:pPr>
        <w:ind w:left="0" w:firstLine="402"/>
      </w:pPr>
      <w:rPr>
        <w:rFonts w:hint="eastAsia"/>
      </w:rPr>
    </w:lvl>
    <w:lvl w:ilvl="4" w:tentative="0">
      <w:start w:val="1"/>
      <w:numFmt w:val="decimalEnclosedCircleChinese"/>
      <w:pStyle w:val="7"/>
      <w:suff w:val="nothing"/>
      <w:lvlText w:val="%5"/>
      <w:lvlJc w:val="left"/>
      <w:pPr>
        <w:ind w:left="0" w:firstLine="402"/>
      </w:pPr>
      <w:rPr>
        <w:rFonts w:hint="eastAsia"/>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
    <w:nsid w:val="B7F36FBB"/>
    <w:multiLevelType w:val="singleLevel"/>
    <w:tmpl w:val="B7F36FBB"/>
    <w:lvl w:ilvl="0" w:tentative="0">
      <w:start w:val="2"/>
      <w:numFmt w:val="chineseCounting"/>
      <w:suff w:val="nothing"/>
      <w:lvlText w:val="（%1）"/>
      <w:lvlJc w:val="left"/>
      <w:rPr>
        <w:rFonts w:hint="eastAsia"/>
      </w:rPr>
    </w:lvl>
  </w:abstractNum>
  <w:abstractNum w:abstractNumId="2">
    <w:nsid w:val="166D5CCF"/>
    <w:multiLevelType w:val="singleLevel"/>
    <w:tmpl w:val="166D5CCF"/>
    <w:lvl w:ilvl="0" w:tentative="0">
      <w:start w:val="1"/>
      <w:numFmt w:val="chineseCounting"/>
      <w:suff w:val="nothing"/>
      <w:lvlText w:val="第%1，"/>
      <w:lvlJc w:val="left"/>
      <w:rPr>
        <w:rFonts w:hint="eastAsia"/>
      </w:rPr>
    </w:lvl>
  </w:abstractNum>
  <w:abstractNum w:abstractNumId="3">
    <w:nsid w:val="2BF0C1C2"/>
    <w:multiLevelType w:val="singleLevel"/>
    <w:tmpl w:val="2BF0C1C2"/>
    <w:lvl w:ilvl="0" w:tentative="0">
      <w:start w:val="1"/>
      <w:numFmt w:val="decimal"/>
      <w:lvlText w:val="[%1]"/>
      <w:lvlJc w:val="left"/>
      <w:pPr>
        <w:tabs>
          <w:tab w:val="left" w:pos="312"/>
        </w:tabs>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footnotePr>
    <w:numFmt w:val="decimalEnclosedCircleChinese"/>
    <w:numRestart w:val="eachPage"/>
    <w:footnote w:id="116"/>
    <w:footnote w:id="117"/>
  </w:footnotePr>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zOTU1YjY3OGYwOWI2MzBjOWZmMDJkNmIyMmViNTgifQ=="/>
  </w:docVars>
  <w:rsids>
    <w:rsidRoot w:val="34491075"/>
    <w:rsid w:val="0065590E"/>
    <w:rsid w:val="01203FAE"/>
    <w:rsid w:val="02474342"/>
    <w:rsid w:val="026305B0"/>
    <w:rsid w:val="02B70AD3"/>
    <w:rsid w:val="02DA719F"/>
    <w:rsid w:val="03425CD6"/>
    <w:rsid w:val="038424E0"/>
    <w:rsid w:val="049B7A0A"/>
    <w:rsid w:val="050E5965"/>
    <w:rsid w:val="05824251"/>
    <w:rsid w:val="05B46D70"/>
    <w:rsid w:val="063842C8"/>
    <w:rsid w:val="0645753C"/>
    <w:rsid w:val="081E45D5"/>
    <w:rsid w:val="083E11BD"/>
    <w:rsid w:val="08DA17EF"/>
    <w:rsid w:val="08FE21A7"/>
    <w:rsid w:val="09D72C99"/>
    <w:rsid w:val="0A7F50C0"/>
    <w:rsid w:val="0B670BE4"/>
    <w:rsid w:val="0D217F39"/>
    <w:rsid w:val="0D44684D"/>
    <w:rsid w:val="0D7A67F4"/>
    <w:rsid w:val="0D9A3652"/>
    <w:rsid w:val="0E741495"/>
    <w:rsid w:val="0E747D3C"/>
    <w:rsid w:val="0FEA384E"/>
    <w:rsid w:val="1078530F"/>
    <w:rsid w:val="109D1778"/>
    <w:rsid w:val="11B57E6D"/>
    <w:rsid w:val="132342B1"/>
    <w:rsid w:val="150A2030"/>
    <w:rsid w:val="153E0E58"/>
    <w:rsid w:val="16626ABB"/>
    <w:rsid w:val="16AE2943"/>
    <w:rsid w:val="16DC43DA"/>
    <w:rsid w:val="16E2365D"/>
    <w:rsid w:val="16EA46F2"/>
    <w:rsid w:val="16F070E1"/>
    <w:rsid w:val="18017EF2"/>
    <w:rsid w:val="181D674E"/>
    <w:rsid w:val="185E22F3"/>
    <w:rsid w:val="187D53EA"/>
    <w:rsid w:val="198C4CB3"/>
    <w:rsid w:val="19923117"/>
    <w:rsid w:val="199E1ABC"/>
    <w:rsid w:val="19E40F30"/>
    <w:rsid w:val="1A0965FD"/>
    <w:rsid w:val="1A8279C0"/>
    <w:rsid w:val="1BC7503C"/>
    <w:rsid w:val="1BDF60C0"/>
    <w:rsid w:val="1C166281"/>
    <w:rsid w:val="1CA13D9D"/>
    <w:rsid w:val="1D5C0E05"/>
    <w:rsid w:val="1D664248"/>
    <w:rsid w:val="1DA2006A"/>
    <w:rsid w:val="1DDF7481"/>
    <w:rsid w:val="1E580B9C"/>
    <w:rsid w:val="1F15637C"/>
    <w:rsid w:val="1F900D6B"/>
    <w:rsid w:val="20323FE8"/>
    <w:rsid w:val="20FB6E64"/>
    <w:rsid w:val="217C74D1"/>
    <w:rsid w:val="218B501C"/>
    <w:rsid w:val="21AB39AD"/>
    <w:rsid w:val="22963C78"/>
    <w:rsid w:val="22A77BBE"/>
    <w:rsid w:val="237301CA"/>
    <w:rsid w:val="256F3770"/>
    <w:rsid w:val="25B26A4D"/>
    <w:rsid w:val="25F67216"/>
    <w:rsid w:val="260A6A19"/>
    <w:rsid w:val="266122C8"/>
    <w:rsid w:val="269B3DD9"/>
    <w:rsid w:val="269F7882"/>
    <w:rsid w:val="26BA7419"/>
    <w:rsid w:val="27E4741B"/>
    <w:rsid w:val="282910BD"/>
    <w:rsid w:val="28640F56"/>
    <w:rsid w:val="287E4ED6"/>
    <w:rsid w:val="29634188"/>
    <w:rsid w:val="296827A1"/>
    <w:rsid w:val="29D50780"/>
    <w:rsid w:val="2AA622C8"/>
    <w:rsid w:val="2CDC497D"/>
    <w:rsid w:val="2CFD444F"/>
    <w:rsid w:val="2E581465"/>
    <w:rsid w:val="2ECF496E"/>
    <w:rsid w:val="2FEF0859"/>
    <w:rsid w:val="302451C4"/>
    <w:rsid w:val="30521352"/>
    <w:rsid w:val="30E23DDF"/>
    <w:rsid w:val="31422495"/>
    <w:rsid w:val="323A4620"/>
    <w:rsid w:val="323A6AAC"/>
    <w:rsid w:val="32401441"/>
    <w:rsid w:val="32F40571"/>
    <w:rsid w:val="3324253C"/>
    <w:rsid w:val="33614469"/>
    <w:rsid w:val="342B36C9"/>
    <w:rsid w:val="34491075"/>
    <w:rsid w:val="348257DA"/>
    <w:rsid w:val="350937FA"/>
    <w:rsid w:val="35A42914"/>
    <w:rsid w:val="35B5357D"/>
    <w:rsid w:val="361E145A"/>
    <w:rsid w:val="38155D5E"/>
    <w:rsid w:val="3881268B"/>
    <w:rsid w:val="38B3265D"/>
    <w:rsid w:val="39360C44"/>
    <w:rsid w:val="398272A4"/>
    <w:rsid w:val="39A21008"/>
    <w:rsid w:val="3AB45179"/>
    <w:rsid w:val="3AF42518"/>
    <w:rsid w:val="3C3A5E97"/>
    <w:rsid w:val="3CFF3E0D"/>
    <w:rsid w:val="3D09391C"/>
    <w:rsid w:val="3D6E2140"/>
    <w:rsid w:val="3D700368"/>
    <w:rsid w:val="3D754664"/>
    <w:rsid w:val="3D9E20F3"/>
    <w:rsid w:val="3DA15887"/>
    <w:rsid w:val="3DD811ED"/>
    <w:rsid w:val="3E4753E9"/>
    <w:rsid w:val="3EEB052E"/>
    <w:rsid w:val="40662181"/>
    <w:rsid w:val="408565BE"/>
    <w:rsid w:val="40C84C03"/>
    <w:rsid w:val="41142046"/>
    <w:rsid w:val="411D38F5"/>
    <w:rsid w:val="422C4DD0"/>
    <w:rsid w:val="43051503"/>
    <w:rsid w:val="444C12D1"/>
    <w:rsid w:val="44DE0615"/>
    <w:rsid w:val="44F06345"/>
    <w:rsid w:val="45017BA9"/>
    <w:rsid w:val="467E3F85"/>
    <w:rsid w:val="4697181E"/>
    <w:rsid w:val="48090381"/>
    <w:rsid w:val="48671089"/>
    <w:rsid w:val="494F0FD7"/>
    <w:rsid w:val="49A1275B"/>
    <w:rsid w:val="4A376617"/>
    <w:rsid w:val="4A587278"/>
    <w:rsid w:val="4A9F6F4F"/>
    <w:rsid w:val="4C794A22"/>
    <w:rsid w:val="4CEC2E7A"/>
    <w:rsid w:val="4DE87F32"/>
    <w:rsid w:val="4E6C5D89"/>
    <w:rsid w:val="4E8C5DAC"/>
    <w:rsid w:val="4EBE6F47"/>
    <w:rsid w:val="4F075EDA"/>
    <w:rsid w:val="4F6651D6"/>
    <w:rsid w:val="4FF07700"/>
    <w:rsid w:val="501C199C"/>
    <w:rsid w:val="5026588C"/>
    <w:rsid w:val="506024DD"/>
    <w:rsid w:val="5089752D"/>
    <w:rsid w:val="50F80683"/>
    <w:rsid w:val="5246052D"/>
    <w:rsid w:val="52A34680"/>
    <w:rsid w:val="53132DCE"/>
    <w:rsid w:val="53B724FA"/>
    <w:rsid w:val="53EC109A"/>
    <w:rsid w:val="53F50B69"/>
    <w:rsid w:val="552D54D2"/>
    <w:rsid w:val="55637D1E"/>
    <w:rsid w:val="55C30E9C"/>
    <w:rsid w:val="576378C6"/>
    <w:rsid w:val="57EC79AC"/>
    <w:rsid w:val="5A41272F"/>
    <w:rsid w:val="5AB64868"/>
    <w:rsid w:val="5ACF3815"/>
    <w:rsid w:val="5B647B21"/>
    <w:rsid w:val="5B7D7ED2"/>
    <w:rsid w:val="5BE417F7"/>
    <w:rsid w:val="5CB32488"/>
    <w:rsid w:val="5CDE7060"/>
    <w:rsid w:val="5E5B645C"/>
    <w:rsid w:val="5F69359F"/>
    <w:rsid w:val="6017456C"/>
    <w:rsid w:val="60742EAF"/>
    <w:rsid w:val="60A63F94"/>
    <w:rsid w:val="60B855D1"/>
    <w:rsid w:val="60FB0586"/>
    <w:rsid w:val="612043C7"/>
    <w:rsid w:val="61425A64"/>
    <w:rsid w:val="61C277CE"/>
    <w:rsid w:val="61FC694D"/>
    <w:rsid w:val="62047DD1"/>
    <w:rsid w:val="628C1CFD"/>
    <w:rsid w:val="62974B39"/>
    <w:rsid w:val="62B80F09"/>
    <w:rsid w:val="6425175A"/>
    <w:rsid w:val="64377583"/>
    <w:rsid w:val="646E6E53"/>
    <w:rsid w:val="64A3595F"/>
    <w:rsid w:val="65AD479D"/>
    <w:rsid w:val="65DA6491"/>
    <w:rsid w:val="66384FBC"/>
    <w:rsid w:val="664C5ED4"/>
    <w:rsid w:val="6684624E"/>
    <w:rsid w:val="66ED0F5A"/>
    <w:rsid w:val="66F43114"/>
    <w:rsid w:val="67331453"/>
    <w:rsid w:val="678737D1"/>
    <w:rsid w:val="6901614A"/>
    <w:rsid w:val="693B477C"/>
    <w:rsid w:val="6A1A2D92"/>
    <w:rsid w:val="6A4164EE"/>
    <w:rsid w:val="6A904B65"/>
    <w:rsid w:val="6B581FC0"/>
    <w:rsid w:val="6B897CF7"/>
    <w:rsid w:val="6BCA1E8D"/>
    <w:rsid w:val="6C6F75E5"/>
    <w:rsid w:val="6D0A67BB"/>
    <w:rsid w:val="6E4A26B1"/>
    <w:rsid w:val="6E7B6FD2"/>
    <w:rsid w:val="6F7107B4"/>
    <w:rsid w:val="703457C4"/>
    <w:rsid w:val="73713B6D"/>
    <w:rsid w:val="74761AE1"/>
    <w:rsid w:val="75190908"/>
    <w:rsid w:val="75A902EB"/>
    <w:rsid w:val="767E1BCE"/>
    <w:rsid w:val="76D42084"/>
    <w:rsid w:val="773A0904"/>
    <w:rsid w:val="780905FC"/>
    <w:rsid w:val="785A5AA3"/>
    <w:rsid w:val="78F624EE"/>
    <w:rsid w:val="790F1795"/>
    <w:rsid w:val="792038E5"/>
    <w:rsid w:val="793D0B96"/>
    <w:rsid w:val="79C66CD5"/>
    <w:rsid w:val="79CE33EF"/>
    <w:rsid w:val="79F87406"/>
    <w:rsid w:val="7A7B7385"/>
    <w:rsid w:val="7A944A4B"/>
    <w:rsid w:val="7B5C2F6E"/>
    <w:rsid w:val="7C225452"/>
    <w:rsid w:val="7C8B3315"/>
    <w:rsid w:val="7CE756A5"/>
    <w:rsid w:val="7D415375"/>
    <w:rsid w:val="7D467080"/>
    <w:rsid w:val="7DBF1FAA"/>
    <w:rsid w:val="7E265B09"/>
    <w:rsid w:val="7F0B0B56"/>
    <w:rsid w:val="7F0D421A"/>
    <w:rsid w:val="7F463E9F"/>
    <w:rsid w:val="7FA81F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3"/>
    <w:next w:val="1"/>
    <w:link w:val="25"/>
    <w:qFormat/>
    <w:uiPriority w:val="0"/>
    <w:pPr>
      <w:keepNext/>
      <w:keepLines/>
      <w:numPr>
        <w:ilvl w:val="0"/>
        <w:numId w:val="1"/>
      </w:numPr>
      <w:spacing w:line="400" w:lineRule="exact"/>
      <w:ind w:left="0" w:firstLine="0" w:firstLineChars="0"/>
      <w:outlineLvl w:val="0"/>
    </w:pPr>
    <w:rPr>
      <w:rFonts w:ascii="等线" w:hAnsi="等线" w:eastAsia="宋体"/>
      <w:b w:val="0"/>
      <w:bCs/>
      <w:kern w:val="44"/>
      <w:szCs w:val="44"/>
    </w:rPr>
  </w:style>
  <w:style w:type="paragraph" w:styleId="4">
    <w:name w:val="heading 2"/>
    <w:basedOn w:val="2"/>
    <w:next w:val="1"/>
    <w:unhideWhenUsed/>
    <w:qFormat/>
    <w:uiPriority w:val="0"/>
    <w:pPr>
      <w:keepNext/>
      <w:keepLines/>
      <w:numPr>
        <w:ilvl w:val="1"/>
      </w:numPr>
      <w:spacing w:before="480" w:beforeLines="0" w:beforeAutospacing="0" w:after="120" w:afterLines="0" w:afterAutospacing="0" w:line="400" w:lineRule="exact"/>
      <w:ind w:left="573" w:firstLine="0" w:firstLineChars="0"/>
      <w:outlineLvl w:val="1"/>
    </w:pPr>
    <w:rPr>
      <w:rFonts w:eastAsia="黑体"/>
      <w:sz w:val="28"/>
    </w:rPr>
  </w:style>
  <w:style w:type="paragraph" w:styleId="5">
    <w:name w:val="heading 3"/>
    <w:basedOn w:val="2"/>
    <w:next w:val="1"/>
    <w:link w:val="26"/>
    <w:unhideWhenUsed/>
    <w:qFormat/>
    <w:uiPriority w:val="0"/>
    <w:pPr>
      <w:keepNext/>
      <w:keepLines/>
      <w:numPr>
        <w:ilvl w:val="2"/>
      </w:numPr>
      <w:spacing w:beforeLines="0" w:beforeAutospacing="0" w:afterLines="0" w:afterAutospacing="0" w:line="360" w:lineRule="auto"/>
      <w:ind w:left="0" w:firstLine="643" w:firstLineChars="200"/>
      <w:jc w:val="left"/>
      <w:outlineLvl w:val="2"/>
    </w:pPr>
    <w:rPr>
      <w:b/>
      <w:sz w:val="24"/>
    </w:rPr>
  </w:style>
  <w:style w:type="paragraph" w:styleId="6">
    <w:name w:val="heading 4"/>
    <w:basedOn w:val="1"/>
    <w:next w:val="1"/>
    <w:unhideWhenUsed/>
    <w:qFormat/>
    <w:uiPriority w:val="0"/>
    <w:pPr>
      <w:keepNext/>
      <w:keepLines/>
      <w:numPr>
        <w:ilvl w:val="3"/>
        <w:numId w:val="1"/>
      </w:numPr>
      <w:spacing w:beforeLines="0" w:beforeAutospacing="0" w:afterLines="0" w:afterAutospacing="0" w:line="360" w:lineRule="auto"/>
      <w:ind w:left="0" w:firstLine="402" w:firstLineChars="0"/>
      <w:outlineLvl w:val="3"/>
    </w:pPr>
    <w:rPr>
      <w:b/>
    </w:rPr>
  </w:style>
  <w:style w:type="paragraph" w:styleId="7">
    <w:name w:val="heading 5"/>
    <w:basedOn w:val="1"/>
    <w:next w:val="1"/>
    <w:unhideWhenUsed/>
    <w:qFormat/>
    <w:uiPriority w:val="0"/>
    <w:pPr>
      <w:keepNext/>
      <w:keepLines/>
      <w:numPr>
        <w:ilvl w:val="4"/>
        <w:numId w:val="1"/>
      </w:numPr>
      <w:spacing w:before="280" w:beforeLines="0" w:beforeAutospacing="0" w:after="290" w:afterLines="0" w:afterAutospacing="0" w:line="372" w:lineRule="auto"/>
      <w:ind w:left="0" w:firstLine="402" w:firstLineChars="0"/>
      <w:outlineLvl w:val="4"/>
    </w:pPr>
    <w:rPr>
      <w:b/>
      <w:sz w:val="28"/>
    </w:rPr>
  </w:style>
  <w:style w:type="paragraph" w:styleId="8">
    <w:name w:val="heading 6"/>
    <w:basedOn w:val="1"/>
    <w:next w:val="1"/>
    <w:unhideWhenUsed/>
    <w:qFormat/>
    <w:uiPriority w:val="0"/>
    <w:pPr>
      <w:keepNext/>
      <w:keepLines/>
      <w:numPr>
        <w:ilvl w:val="5"/>
        <w:numId w:val="1"/>
      </w:numPr>
      <w:spacing w:before="240" w:beforeLines="0" w:beforeAutospacing="0" w:after="64" w:afterLines="0" w:afterAutospacing="0" w:line="317" w:lineRule="auto"/>
      <w:ind w:left="0" w:firstLine="402" w:firstLineChars="0"/>
      <w:outlineLvl w:val="5"/>
    </w:pPr>
    <w:rPr>
      <w:rFonts w:ascii="Arial" w:hAnsi="Arial" w:eastAsia="黑体"/>
      <w:b/>
      <w:sz w:val="24"/>
    </w:rPr>
  </w:style>
  <w:style w:type="paragraph" w:styleId="9">
    <w:name w:val="heading 7"/>
    <w:basedOn w:val="1"/>
    <w:next w:val="1"/>
    <w:unhideWhenUsed/>
    <w:qFormat/>
    <w:uiPriority w:val="0"/>
    <w:pPr>
      <w:keepNext/>
      <w:keepLines/>
      <w:numPr>
        <w:ilvl w:val="6"/>
        <w:numId w:val="1"/>
      </w:numPr>
      <w:spacing w:before="240" w:beforeLines="0" w:beforeAutospacing="0" w:after="64" w:afterLines="0" w:afterAutospacing="0" w:line="317" w:lineRule="auto"/>
      <w:ind w:left="0" w:firstLine="402" w:firstLineChars="0"/>
      <w:outlineLvl w:val="6"/>
    </w:pPr>
    <w:rPr>
      <w:b/>
      <w:sz w:val="24"/>
    </w:rPr>
  </w:style>
  <w:style w:type="paragraph" w:styleId="10">
    <w:name w:val="heading 8"/>
    <w:basedOn w:val="1"/>
    <w:next w:val="1"/>
    <w:unhideWhenUsed/>
    <w:qFormat/>
    <w:uiPriority w:val="0"/>
    <w:pPr>
      <w:keepNext/>
      <w:keepLines/>
      <w:numPr>
        <w:ilvl w:val="7"/>
        <w:numId w:val="1"/>
      </w:numPr>
      <w:spacing w:before="240" w:beforeLines="0" w:beforeAutospacing="0" w:after="64" w:afterLines="0" w:afterAutospacing="0" w:line="317" w:lineRule="auto"/>
      <w:ind w:left="0" w:firstLine="402" w:firstLineChars="0"/>
      <w:outlineLvl w:val="7"/>
    </w:pPr>
    <w:rPr>
      <w:rFonts w:ascii="Arial" w:hAnsi="Arial" w:eastAsia="黑体"/>
      <w:sz w:val="24"/>
    </w:rPr>
  </w:style>
  <w:style w:type="paragraph" w:styleId="11">
    <w:name w:val="heading 9"/>
    <w:basedOn w:val="1"/>
    <w:next w:val="1"/>
    <w:unhideWhenUsed/>
    <w:qFormat/>
    <w:uiPriority w:val="0"/>
    <w:pPr>
      <w:keepNext/>
      <w:keepLines/>
      <w:numPr>
        <w:ilvl w:val="8"/>
        <w:numId w:val="1"/>
      </w:numPr>
      <w:spacing w:before="240" w:beforeLines="0" w:beforeAutospacing="0" w:after="64" w:afterLines="0" w:afterAutospacing="0" w:line="317" w:lineRule="auto"/>
      <w:ind w:left="0" w:firstLine="402" w:firstLineChars="0"/>
      <w:outlineLvl w:val="8"/>
    </w:pPr>
    <w:rPr>
      <w:rFonts w:ascii="Arial" w:hAnsi="Arial" w:eastAsia="黑体"/>
      <w:sz w:val="21"/>
    </w:rPr>
  </w:style>
  <w:style w:type="character" w:default="1" w:styleId="21">
    <w:name w:val="Default Paragraph Font"/>
    <w:semiHidden/>
    <w:qFormat/>
    <w:uiPriority w:val="0"/>
  </w:style>
  <w:style w:type="table" w:default="1" w:styleId="20">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12">
    <w:name w:val="annotation text"/>
    <w:link w:val="27"/>
    <w:qFormat/>
    <w:uiPriority w:val="0"/>
    <w:pPr>
      <w:widowControl w:val="0"/>
      <w:jc w:val="left"/>
    </w:pPr>
    <w:rPr>
      <w:rFonts w:ascii="Times New Roman" w:hAnsi="Times New Roman" w:eastAsia="宋体" w:cs="Times New Roman"/>
      <w:kern w:val="2"/>
      <w:sz w:val="21"/>
      <w:szCs w:val="24"/>
      <w:lang w:val="en-US" w:eastAsia="zh-CN" w:bidi="ar-SA"/>
    </w:rPr>
  </w:style>
  <w:style w:type="paragraph" w:styleId="13">
    <w:name w:val="toc 3"/>
    <w:basedOn w:val="1"/>
    <w:next w:val="1"/>
    <w:qFormat/>
    <w:uiPriority w:val="0"/>
    <w:pPr>
      <w:ind w:left="840" w:leftChars="400"/>
    </w:pPr>
  </w:style>
  <w:style w:type="paragraph" w:styleId="14">
    <w:name w:val="footer"/>
    <w:qFormat/>
    <w:uiPriority w:val="0"/>
    <w:pPr>
      <w:widowControl w:val="0"/>
      <w:tabs>
        <w:tab w:val="center" w:pos="4153"/>
        <w:tab w:val="right" w:pos="8306"/>
      </w:tabs>
      <w:snapToGrid w:val="0"/>
      <w:jc w:val="left"/>
    </w:pPr>
    <w:rPr>
      <w:rFonts w:ascii="Calibri" w:hAnsi="Calibri" w:eastAsia="宋体" w:cs="Times New Roman"/>
      <w:kern w:val="2"/>
      <w:sz w:val="18"/>
      <w:szCs w:val="18"/>
      <w:lang w:val="en-US" w:eastAsia="zh-CN" w:bidi="ar-SA"/>
    </w:rPr>
  </w:style>
  <w:style w:type="paragraph" w:styleId="15">
    <w:name w:val="header"/>
    <w:qFormat/>
    <w:uiPriority w:val="0"/>
    <w:pPr>
      <w:widowControl w:val="0"/>
      <w:pBdr>
        <w:bottom w:val="single" w:color="auto" w:sz="6" w:space="1"/>
      </w:pBdr>
      <w:tabs>
        <w:tab w:val="center" w:pos="4153"/>
        <w:tab w:val="right" w:pos="8306"/>
      </w:tabs>
      <w:snapToGrid w:val="0"/>
      <w:jc w:val="center"/>
    </w:pPr>
    <w:rPr>
      <w:rFonts w:ascii="Calibri" w:hAnsi="Calibri" w:eastAsia="宋体" w:cs="Times New Roman"/>
      <w:kern w:val="2"/>
      <w:sz w:val="18"/>
      <w:szCs w:val="18"/>
      <w:lang w:val="en-US" w:eastAsia="zh-CN" w:bidi="ar-SA"/>
    </w:rPr>
  </w:style>
  <w:style w:type="paragraph" w:styleId="16">
    <w:name w:val="toc 1"/>
    <w:basedOn w:val="1"/>
    <w:next w:val="1"/>
    <w:qFormat/>
    <w:uiPriority w:val="0"/>
  </w:style>
  <w:style w:type="paragraph" w:styleId="17">
    <w:name w:val="footnote text"/>
    <w:basedOn w:val="1"/>
    <w:qFormat/>
    <w:uiPriority w:val="0"/>
    <w:pPr>
      <w:snapToGrid w:val="0"/>
      <w:jc w:val="left"/>
    </w:pPr>
    <w:rPr>
      <w:sz w:val="18"/>
    </w:rPr>
  </w:style>
  <w:style w:type="paragraph" w:styleId="18">
    <w:name w:val="toc 2"/>
    <w:basedOn w:val="1"/>
    <w:next w:val="1"/>
    <w:qFormat/>
    <w:uiPriority w:val="0"/>
    <w:pPr>
      <w:ind w:left="420" w:leftChars="200"/>
    </w:pPr>
  </w:style>
  <w:style w:type="paragraph" w:styleId="19">
    <w:name w:val="Normal (Web)"/>
    <w:basedOn w:val="1"/>
    <w:qFormat/>
    <w:uiPriority w:val="0"/>
    <w:rPr>
      <w:sz w:val="24"/>
    </w:rPr>
  </w:style>
  <w:style w:type="character" w:styleId="22">
    <w:name w:val="Hyperlink"/>
    <w:basedOn w:val="21"/>
    <w:qFormat/>
    <w:uiPriority w:val="0"/>
    <w:rPr>
      <w:color w:val="0000FF"/>
      <w:u w:val="single"/>
    </w:rPr>
  </w:style>
  <w:style w:type="character" w:styleId="23">
    <w:name w:val="annotation reference"/>
    <w:qFormat/>
    <w:uiPriority w:val="0"/>
    <w:rPr>
      <w:sz w:val="21"/>
      <w:szCs w:val="21"/>
    </w:rPr>
  </w:style>
  <w:style w:type="character" w:styleId="24">
    <w:name w:val="footnote reference"/>
    <w:basedOn w:val="21"/>
    <w:qFormat/>
    <w:uiPriority w:val="0"/>
    <w:rPr>
      <w:vertAlign w:val="superscript"/>
    </w:rPr>
  </w:style>
  <w:style w:type="character" w:customStyle="1" w:styleId="25">
    <w:name w:val="标题 1 字符"/>
    <w:link w:val="2"/>
    <w:qFormat/>
    <w:uiPriority w:val="0"/>
    <w:rPr>
      <w:rFonts w:ascii="Times New Roman" w:hAnsi="Times New Roman" w:eastAsia="宋体" w:cs="Times New Roman"/>
      <w:b/>
      <w:bCs/>
      <w:kern w:val="44"/>
      <w:sz w:val="24"/>
      <w:szCs w:val="44"/>
    </w:rPr>
  </w:style>
  <w:style w:type="character" w:customStyle="1" w:styleId="26">
    <w:name w:val="标题 3 Char"/>
    <w:link w:val="5"/>
    <w:qFormat/>
    <w:uiPriority w:val="0"/>
    <w:rPr>
      <w:rFonts w:ascii="等线" w:hAnsi="等线" w:eastAsia="宋体"/>
      <w:b/>
      <w:sz w:val="24"/>
    </w:rPr>
  </w:style>
  <w:style w:type="character" w:customStyle="1" w:styleId="27">
    <w:name w:val="批注文字 字符"/>
    <w:basedOn w:val="21"/>
    <w:link w:val="12"/>
    <w:qFormat/>
    <w:uiPriority w:val="0"/>
    <w:rPr>
      <w:kern w:val="2"/>
      <w:sz w:val="21"/>
      <w:szCs w:val="24"/>
    </w:rPr>
  </w:style>
  <w:style w:type="paragraph" w:customStyle="1" w:styleId="28">
    <w:name w:val="_Style 2"/>
    <w:qFormat/>
    <w:uiPriority w:val="99"/>
    <w:pPr>
      <w:widowControl w:val="0"/>
      <w:spacing w:line="400" w:lineRule="exact"/>
      <w:ind w:firstLine="420" w:firstLineChars="200"/>
      <w:jc w:val="both"/>
    </w:pPr>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24018</Words>
  <Characters>27322</Characters>
  <Lines>0</Lines>
  <Paragraphs>0</Paragraphs>
  <TotalTime>6</TotalTime>
  <ScaleCrop>false</ScaleCrop>
  <LinksUpToDate>false</LinksUpToDate>
  <CharactersWithSpaces>27988</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2026-04-12T14:01:00Z</dcterms:created>
  <dc:creator>歆爨嶝</dc:creator>
  <cp:lastModifiedBy>歆爨嶝</cp:lastModifiedBy>
  <dcterms:modified xsi:type="dcterms:W3CDTF">2026-05-17T12:58:45Z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5840C6A9CF614AAE815972960D9630A1_13</vt:lpwstr>
  </property>
</Properties>
</file>