
<file path=[Content_Types].xml><?xml version="1.0" encoding="utf-8"?>
<Types xmlns="http://schemas.openxmlformats.org/package/2006/content-types">
  <Default Extension="xml" ContentType="application/xml"/>
  <Default Extension="xlsx" ContentType="application/vnd.openxmlformats-officedocument.spreadsheetml.sheet"/>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ns11="http://schemas.openxmlformats.org/drawingml/2006/chart" xmlns:ns3="http://schemas.openxmlformats.org/drawingml/2006/wordprocessingDrawing" xmlns:ns4="http://schemas.openxmlformats.org/drawingml/2006/main" xmlns:ns5="http://schemas.microsoft.com/office/word/2010/wordprocessingGroup" xmlns:ns6="http://schemas.microsoft.com/office/word/2010/wordprocessingShape" xmlns:ns7="urn:schemas-microsoft-com:vml" xmlns:ns8="urn:schemas-microsoft-com:office:office" xmlns:r="http://schemas.openxmlformats.org/officeDocument/2006/relationships" xmlns:w="http://schemas.openxmlformats.org/wordprocessingml/2006/main" xmlns:w14="http://schemas.microsoft.com/office/word/2010/wordml" xmlns:w15="http://schemas.microsoft.com/office/word/2012/wordml" mc:Ignorable="w14 w15 wp14">
  <w:body>
    <w:p w14:paraId="447CA646">
      <w:commentRangeStart w:id="6"/>
      <w:commentRangeStart w:id="0"/>
      <w:pPr>
        <w:spacing w:line="600" w:lineRule="auto"/>
        <w:jc w:val="left"/>
        <w:rPr>
          <w:rFonts w:hint="eastAsia" w:ascii="Times New Roman" w:hAnsi="Times New Roman"/>
          <w:b/>
          <w:bCs/>
          <w:sz w:val="72"/>
        </w:rPr>
      </w:pPr>
      <w:bookmarkStart w:id="0" w:name="_Toc230"/>
      <w:r>
        <w:rPr>
          <w:rFonts w:hint="eastAsia" w:ascii="Times New Roman" w:hAnsi="Times New Roman"/>
          <w:b/>
          <w:bCs/>
          <w:sz w:val="72"/>
        </w:rPr>
        <w:t>湘潭大学毕业论文</w:t>
      </w:r>
      <w:commentRangeEnd w:id="0"/>
      <w:r>
        <w:rPr>
          <w:rStyle w:val="CommentReference"/>
        </w:rPr>
        <w:commentReference w:id="0"/>
      </w:r>
      <w:commentRangeEnd w:id="6"/>
      <w:r>
        <w:rPr>
          <w:rStyle w:val="CommentReference"/>
        </w:rPr>
        <w:commentReference w:id="6"/>
      </w:r>
    </w:p>
    <w:p w14:paraId="7AEA92F6">
      <w:pPr>
        <w:spacing w:line="600" w:lineRule="auto"/>
        <w:ind w:left="0" w:leftChars="0" w:firstLine="0" w:firstLineChars="0"/>
        <w:jc w:val="left"/>
        <w:rPr>
          <w:rFonts w:hint="eastAsia" w:ascii="Times New Roman" w:hAnsi="Times New Roman"/>
          <w:b/>
          <w:bCs/>
          <w:sz w:val="72"/>
        </w:rPr>
      </w:pPr>
    </w:p>
    <w:p w14:paraId="7A47AABD">
      <w:pPr>
        <w:tabs>
          <w:tab w:val="left" w:pos="7200"/>
        </w:tabs>
        <w:spacing w:line="600" w:lineRule="auto"/>
        <w:ind w:firstLine="643" w:firstLineChars="200"/>
        <w:jc w:val="left"/>
        <w:rPr>
          <w:rFonts w:ascii="Times New Roman" w:hAnsi="Times New Roman"/>
          <w:b/>
          <w:bCs/>
          <w:sz w:val="32"/>
          <w:u w:val="single"/>
        </w:rPr>
      </w:pPr>
      <w:r>
        <w:rPr>
          <w:rFonts w:hint="eastAsia" w:ascii="Times New Roman" w:hAnsi="Times New Roman"/>
          <w:b/>
          <w:bCs/>
          <w:sz w:val="32"/>
        </w:rPr>
        <w:t>题    目：</w:t>
      </w:r>
      <w:commentRangeStart w:id="7"/>
      <w:r>
        <w:rPr>
          <w:rFonts w:hint="eastAsia" w:ascii="Times New Roman" w:hAnsi="Times New Roman"/>
          <w:b/>
          <w:bCs/>
          <w:sz w:val="32"/>
          <w:u w:val="single"/>
        </w:rPr>
        <w:t xml:space="preserve">证券虚假陈述责任纠纷因果关系的司法认定</w:t>
      </w:r>
      <w:commentRangeEnd w:id="7"/>
      <w:r>
        <w:rPr>
          <w:rStyle w:val="CommentReference"/>
        </w:rPr>
        <w:commentReference w:id="7"/>
      </w:r>
      <w:r>
        <w:rPr>
          <w:rFonts w:hint="eastAsia" w:ascii="Times New Roman" w:hAnsi="Times New Roman"/>
          <w:b/>
          <w:bCs/>
          <w:sz w:val="32"/>
          <w:u w:val="single"/>
        </w:rPr>
        <w:t xml:space="preserve">——基于</w:t>
      </w:r>
      <w:r>
        <w:rPr>
          <w:rFonts w:hint="eastAsia" w:ascii="Times New Roman" w:hAnsi="Times New Roman"/>
          <w:b/>
          <w:bCs/>
          <w:sz w:val="32"/>
          <w:u w:val="single"/>
          <w:lang w:val="en-US" w:eastAsia="zh-CN"/>
        </w:rPr>
        <w:t>86</w:t>
      </w:r>
      <w:r>
        <w:rPr>
          <w:rFonts w:hint="eastAsia" w:ascii="Times New Roman" w:hAnsi="Times New Roman"/>
          <w:b/>
          <w:bCs/>
          <w:sz w:val="32"/>
          <w:u w:val="single"/>
        </w:rPr>
        <w:t>例二审判决书的实证分析</w:t>
      </w:r>
    </w:p>
    <w:p w14:paraId="5A61F41D">
      <w:pPr>
        <w:spacing w:line="600" w:lineRule="auto"/>
        <w:ind w:firstLine="0" w:firstLineChars="0"/>
        <w:jc w:val="center"/>
        <w:rPr>
          <w:rFonts w:hint="eastAsia" w:ascii="Times New Roman" w:hAnsi="Times New Roman" w:cs="Times New Roman"/>
          <w:b/>
          <w:bCs/>
          <w:sz w:val="32"/>
        </w:rPr>
      </w:pPr>
    </w:p>
    <w:p w14:paraId="612D6E6F">
      <w:pPr>
        <w:spacing w:line="600" w:lineRule="auto"/>
        <w:ind w:firstLine="0" w:firstLineChars="0"/>
        <w:jc w:val="center"/>
        <w:rPr>
          <w:rFonts w:hint="eastAsia" w:ascii="Times New Roman" w:hAnsi="Times New Roman" w:cs="Times New Roman"/>
          <w:b/>
          <w:bCs/>
          <w:sz w:val="32"/>
        </w:rPr>
      </w:pPr>
    </w:p>
    <w:p w14:paraId="04B62F68">
      <w:pPr>
        <w:spacing w:line="600" w:lineRule="auto"/>
        <w:ind w:left="720" w:leftChars="300" w:firstLine="0" w:firstLineChars="0"/>
        <w:jc w:val="left"/>
        <w:rPr>
          <w:rFonts w:hint="eastAsia" w:ascii="Times New Roman" w:hAnsi="Times New Roman" w:cs="Times New Roman"/>
          <w:b/>
          <w:bCs/>
          <w:sz w:val="32"/>
          <w:u w:val="none"/>
          <w:lang w:val="en-US" w:eastAsia="zh-CN"/>
        </w:rPr>
      </w:pPr>
      <w:r>
        <w:rPr>
          <w:rFonts w:ascii="Times New Roman" w:hAnsi="Times New Roman"/>
          <w:b/>
          <w:bCs/>
          <w:color w:val="FF0000"/>
          <w:szCs w:val="21"/>
        </w:rPr>
        <mc:AlternateContent>
          <mc:Choice Requires="wpg">
            <w:drawing>
              <ns3:anchor distT="0" distB="0" distL="114300" distR="114300" simplePos="0" relativeHeight="251666432" behindDoc="0" locked="0" layoutInCell="1" allowOverlap="1">
                <ns3:simplePos x="0" y="0"/>
                <ns3:positionH relativeFrom="column">
                  <ns3:posOffset>1444625</ns3:posOffset>
                </ns3:positionH>
                <ns3:positionV relativeFrom="paragraph">
                  <ns3:posOffset>379095</ns3:posOffset>
                </ns3:positionV>
                <ns3:extent cx="3886200" cy="2037715"/>
                <ns3:effectExtent l="0" t="6350" r="0" b="13335"/>
                <ns3:wrapNone/>
                <ns3:docPr id="27" name="组合 27"/>
                <ns3:cNvGraphicFramePr/>
                <ns4:graphic>
                  <ns4:graphicData uri="http://schemas.microsoft.com/office/word/2010/wordprocessingGroup">
                    <ns5:wgp>
                      <ns5:cNvGrpSpPr/>
                      <ns5:grpSpPr>
                        <ns4:xfrm>
                          <ns4:off x="0" y="0"/>
                          <ns4:ext cx="3886200" cy="2037715"/>
                          <ns4:chOff x="6060" y="6895"/>
                          <ns4:chExt cx="6120" cy="3209"/>
                        </ns4:xfrm>
                      </ns5:grpSpPr>
                      <ns6:wsp>
                        <ns6:cNvPr id="22" name="直接箭头连接符 22"/>
                        <ns6:cNvCnPr/>
                        <ns6:spPr>
                          <ns4:xfrm>
                            <ns4:off x="6060" y="7690"/>
                            <ns4:ext cx="6120" cy="15"/>
                          </ns4:xfrm>
                          <ns4:prstGeom prst="straightConnector1">
                            <ns4:avLst/>
                          </ns4:prstGeom>
                          <ns4:ln w="12700" cap="flat" cmpd="sng">
                            <ns4:solidFill>
                              <ns4:srgbClr val="000000"/>
                            </ns4:solidFill>
                            <ns4:prstDash val="solid"/>
                            <ns4:headEnd type="none" w="med" len="med"/>
                            <ns4:tailEnd type="none" w="med" len="med"/>
                          </ns4:ln>
                        </ns6:spPr>
                        <ns6:bodyPr/>
                      </ns6:wsp>
                      <ns6:wsp>
                        <ns6:cNvPr id="23" name="直接箭头连接符 23"/>
                        <ns6:cNvCnPr/>
                        <ns6:spPr>
                          <ns4:xfrm>
                            <ns4:off x="6060" y="8515"/>
                            <ns4:ext cx="6120" cy="15"/>
                          </ns4:xfrm>
                          <ns4:prstGeom prst="straightConnector1">
                            <ns4:avLst/>
                          </ns4:prstGeom>
                          <ns4:ln w="12700" cap="flat" cmpd="sng">
                            <ns4:solidFill>
                              <ns4:srgbClr val="000000"/>
                            </ns4:solidFill>
                            <ns4:prstDash val="solid"/>
                            <ns4:headEnd type="none" w="med" len="med"/>
                            <ns4:tailEnd type="none" w="med" len="med"/>
                          </ns4:ln>
                        </ns6:spPr>
                        <ns6:bodyPr/>
                      </ns6:wsp>
                      <ns6:wsp>
                        <ns6:cNvPr id="24" name="直接箭头连接符 24"/>
                        <ns6:cNvCnPr/>
                        <ns6:spPr>
                          <ns4:xfrm>
                            <ns4:off x="6060" y="9310"/>
                            <ns4:ext cx="6120" cy="15"/>
                          </ns4:xfrm>
                          <ns4:prstGeom prst="straightConnector1">
                            <ns4:avLst/>
                          </ns4:prstGeom>
                          <ns4:ln w="12700" cap="flat" cmpd="sng">
                            <ns4:solidFill>
                              <ns4:srgbClr val="000000"/>
                            </ns4:solidFill>
                            <ns4:prstDash val="solid"/>
                            <ns4:headEnd type="none" w="med" len="med"/>
                            <ns4:tailEnd type="none" w="med" len="med"/>
                          </ns4:ln>
                        </ns6:spPr>
                        <ns6:bodyPr/>
                      </ns6:wsp>
                      <ns6:wsp>
                        <ns6:cNvPr id="25" name="直接箭头连接符 25"/>
                        <ns6:cNvCnPr/>
                        <ns6:spPr>
                          <ns4:xfrm>
                            <ns4:off x="6060" y="10090"/>
                            <ns4:ext cx="6120" cy="15"/>
                          </ns4:xfrm>
                          <ns4:prstGeom prst="straightConnector1">
                            <ns4:avLst/>
                          </ns4:prstGeom>
                          <ns4:ln w="12700" cap="flat" cmpd="sng">
                            <ns4:solidFill>
                              <ns4:srgbClr val="000000"/>
                            </ns4:solidFill>
                            <ns4:prstDash val="solid"/>
                            <ns4:headEnd type="none" w="med" len="med"/>
                            <ns4:tailEnd type="none" w="med" len="med"/>
                          </ns4:ln>
                        </ns6:spPr>
                        <ns6:bodyPr/>
                      </ns6:wsp>
                      <ns6:wsp>
                        <ns6:cNvPr id="26" name="直接箭头连接符 26"/>
                        <ns6:cNvCnPr/>
                        <ns6:spPr>
                          <ns4:xfrm>
                            <ns4:off x="6060" y="6895"/>
                            <ns4:ext cx="6120" cy="15"/>
                          </ns4:xfrm>
                          <ns4:prstGeom prst="straightConnector1">
                            <ns4:avLst/>
                          </ns4:prstGeom>
                          <ns4:ln w="12700" cap="flat" cmpd="sng">
                            <ns4:solidFill>
                              <ns4:srgbClr val="000000"/>
                            </ns4:solidFill>
                            <ns4:prstDash val="solid"/>
                            <ns4:headEnd type="none" w="med" len="med"/>
                            <ns4:tailEnd type="none" w="med" len="med"/>
                          </ns4:ln>
                        </ns6:spPr>
                        <ns6:bodyPr/>
                      </ns6:wsp>
                    </ns5:wgp>
                  </ns4:graphicData>
                </ns4:graphic>
              </ns3:anchor>
            </w:drawing>
          </mc:Choice>
          <mc:Fallback>
            <w:pict>
              <ns7:group id="_x0000_s1026" ns8:spid="_x0000_s1026" ns8:spt="203" style="position:absolute;left:0pt;margin-left:113.75pt;margin-top:29.85pt;height:160.45pt;width:306pt;z-index:251666432;mso-width-relative:page;mso-height-relative:page;" coordorigin="6060,6895" coordsize="6120,3209" ns8:gfxdata="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I8BxLrbAAAACgEAAA8AAAAAAAAAAQAgAAAAIgAAAGRycy9kb3ducmV2LnhtbFBLAQIUABQAAAAI&#10;AIdO4kDsrXufzgIAAHsNAAAOAAAAAAAAAAEAIAAAACoBAABkcnMvZTJvRG9jLnhtbFBLBQYAAAAA&#10;BgAGAFkBAABqBgAAAAA=&#10;">
                <ns8:lock ns7:ext="edit" aspectratio="f"/>
                <ns7:shape id="_x0000_s1026" ns8:spid="_x0000_s1026" ns8:spt="32" type="#_x0000_t32" style="position:absolute;left:6060;top:7690;height:15;width:6120;" filled="f" stroked="t" coordsize="21600,21600" ns8:gfxdata="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FNrtrsAAADb&#10;AAAADwAAAAAAAAABACAAAAAiAAAAZHJzL2Rvd25yZXYueG1sUEsBAhQAFAAAAAgAh07iQDMvBZ47&#10;AAAAOQAAABAAAAAAAAAAAQAgAAAACgEAAGRycy9zaGFwZXhtbC54bWxQSwUGAAAAAAYABgBbAQAA&#10;tAMAAAAA&#10;">
                  <ns7:fill on="f" focussize="0,0"/>
                  <ns7:stroke weight="1pt" color="#000000" joinstyle="round"/>
                  <ns7:imagedata ns8:title=""/>
                  <ns8:lock ns7:ext="edit" aspectratio="f"/>
                </ns7:shape>
                <ns7:shape id="_x0000_s1026" ns8:spid="_x0000_s1026" ns8:spt="32" type="#_x0000_t32" style="position:absolute;left:6060;top:8515;height:15;width:6120;" filled="f" stroked="t" coordsize="21600,21600" ns8:gfxdata="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sfzi28AAAA&#10;2wAAAA8AAAAAAAAAAQAgAAAAIgAAAGRycy9kb3ducmV2LnhtbFBLAQIUABQAAAAIAIdO4kAzLwWe&#10;OwAAADkAAAAQAAAAAAAAAAEAIAAAAAsBAABkcnMvc2hhcGV4bWwueG1sUEsFBgAAAAAGAAYAWwEA&#10;ALUDAAAAAA==&#10;">
                  <ns7:fill on="f" focussize="0,0"/>
                  <ns7:stroke weight="1pt" color="#000000" joinstyle="round"/>
                  <ns7:imagedata ns8:title=""/>
                  <ns8:lock ns7:ext="edit" aspectratio="f"/>
                </ns7:shape>
                <ns7:shape id="_x0000_s1026" ns8:spid="_x0000_s1026" ns8:spt="32" type="#_x0000_t32" style="position:absolute;left:6060;top:9310;height:15;width:6120;" filled="f" stroked="t" coordsize="21600,21600" ns8:gfxdata="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9lZZugAAANsA&#10;AAAPAAAAAAAAAAEAIAAAACIAAABkcnMvZG93bnJldi54bWxQSwECFAAUAAAACACHTuJAMy8FnjsA&#10;AAA5AAAAEAAAAAAAAAABACAAAAAJAQAAZHJzL3NoYXBleG1sLnhtbFBLBQYAAAAABgAGAFsBAACz&#10;AwAAAAA=&#10;">
                  <ns7:fill on="f" focussize="0,0"/>
                  <ns7:stroke weight="1pt" color="#000000" joinstyle="round"/>
                  <ns7:imagedata ns8:title=""/>
                  <ns8:lock ns7:ext="edit" aspectratio="f"/>
                </ns7:shape>
                <ns7:shape id="_x0000_s1026" ns8:spid="_x0000_s1026" ns8:spt="32" type="#_x0000_t32" style="position:absolute;left:6060;top:10090;height:15;width:6120;" filled="f" stroked="t" coordsize="21600,21600" ns8:gfxdata="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uvPCugAAANsA&#10;AAAPAAAAAAAAAAEAIAAAACIAAABkcnMvZG93bnJldi54bWxQSwECFAAUAAAACACHTuJAMy8FnjsA&#10;AAA5AAAAEAAAAAAAAAABACAAAAAJAQAAZHJzL3NoYXBleG1sLnhtbFBLBQYAAAAABgAGAFsBAACz&#10;AwAAAAA=&#10;">
                  <ns7:fill on="f" focussize="0,0"/>
                  <ns7:stroke weight="1pt" color="#000000" joinstyle="round"/>
                  <ns7:imagedata ns8:title=""/>
                  <ns8:lock ns7:ext="edit" aspectratio="f"/>
                </ns7:shape>
                <ns7:shape id="_x0000_s1026" ns8:spid="_x0000_s1026" ns8:spt="32" type="#_x0000_t32" style="position:absolute;left:6060;top:6895;height:15;width:6120;" filled="f" stroked="t" coordsize="21600,21600" ns8:gfxdata="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2httbsAAADb&#10;AAAADwAAAAAAAAABACAAAAAiAAAAZHJzL2Rvd25yZXYueG1sUEsBAhQAFAAAAAgAh07iQDMvBZ47&#10;AAAAOQAAABAAAAAAAAAAAQAgAAAACgEAAGRycy9zaGFwZXhtbC54bWxQSwUGAAAAAAYABgBbAQAA&#10;tAMAAAAA&#10;">
                  <ns7:fill on="f" focussize="0,0"/>
                  <ns7:stroke weight="1pt" color="#000000" joinstyle="round"/>
                  <ns7:imagedata ns8:title=""/>
                  <ns8:lock ns7:ext="edit" aspectratio="f"/>
                </ns7:shape>
              </ns7:group>
            </w:pict>
          </mc:Fallback>
        </mc:AlternateContent>
      </w:r>
      <w:r>
        <w:rPr>
          <w:rFonts w:hint="eastAsia" w:ascii="Times New Roman" w:hAnsi="Times New Roman" w:cs="Times New Roman"/>
          <w:b/>
          <w:bCs/>
          <w:sz w:val="32"/>
          <w:lang w:val="en-US" w:eastAsia="zh-CN"/>
        </w:rPr>
        <w:t xml:space="preserve">学    院：               </w:t>
      </w:r>
      <w:r>
        <w:rPr>
          <w:rFonts w:hint="eastAsia" w:ascii="Times New Roman" w:hAnsi="Times New Roman" w:cs="Times New Roman"/>
          <w:b/>
          <w:bCs/>
          <w:sz w:val="32"/>
          <w:u w:val="none"/>
          <w:lang w:val="en-US" w:eastAsia="zh-CN"/>
        </w:rPr>
        <w:t>法学学部</w:t>
      </w:r>
    </w:p>
    <w:p w14:paraId="5B93B7E6">
      <w:pPr>
        <w:spacing w:line="600" w:lineRule="auto"/>
        <w:ind w:left="720" w:leftChars="300" w:firstLine="0" w:firstLineChars="0"/>
        <w:jc w:val="left"/>
        <w:rPr>
          <w:rFonts w:hint="default" w:ascii="Times New Roman" w:hAnsi="Times New Roman" w:cs="Times New Roman"/>
          <w:b/>
          <w:bCs/>
          <w:sz w:val="32"/>
          <w:lang w:val="en-US" w:eastAsia="zh-CN"/>
        </w:rPr>
      </w:pPr>
      <w:r>
        <w:rPr>
          <w:rFonts w:hint="eastAsia" w:ascii="Times New Roman" w:hAnsi="Times New Roman" w:cs="Times New Roman"/>
          <w:b/>
          <w:bCs/>
          <w:sz w:val="32"/>
          <w:lang w:val="en-US" w:eastAsia="zh-CN"/>
        </w:rPr>
        <w:t>班    级：             2022法学6班</w:t>
      </w:r>
    </w:p>
    <w:p w14:paraId="6093F157">
      <w:pPr>
        <w:spacing w:line="600" w:lineRule="auto"/>
        <w:ind w:left="720" w:leftChars="300" w:firstLine="0" w:firstLineChars="0"/>
        <w:jc w:val="left"/>
        <w:rPr>
          <w:rFonts w:hint="default" w:ascii="Times New Roman" w:hAnsi="Times New Roman" w:cs="Times New Roman"/>
          <w:b/>
          <w:bCs/>
          <w:sz w:val="32"/>
          <w:lang w:val="en-US" w:eastAsia="zh-CN"/>
        </w:rPr>
      </w:pPr>
      <w:r>
        <w:rPr>
          <w:rFonts w:hint="eastAsia" w:ascii="Times New Roman" w:hAnsi="Times New Roman" w:cs="Times New Roman"/>
          <w:b/>
          <w:bCs/>
          <w:sz w:val="32"/>
          <w:lang w:val="en-US" w:eastAsia="zh-CN"/>
        </w:rPr>
        <w:t>学    号：             202205190812</w:t>
      </w:r>
    </w:p>
    <w:p w14:paraId="4233D53B">
      <w:pPr>
        <w:spacing w:line="600" w:lineRule="auto"/>
        <w:ind w:left="720" w:leftChars="300" w:firstLine="0" w:firstLineChars="0"/>
        <w:jc w:val="left"/>
        <w:rPr>
          <w:rFonts w:hint="default" w:ascii="Times New Roman" w:hAnsi="Times New Roman" w:cs="Times New Roman"/>
          <w:b/>
          <w:bCs/>
          <w:sz w:val="32"/>
          <w:lang w:val="en-US" w:eastAsia="zh-CN"/>
        </w:rPr>
      </w:pPr>
      <w:r>
        <w:rPr>
          <w:rFonts w:hint="eastAsia" w:ascii="Times New Roman" w:hAnsi="Times New Roman" w:cs="Times New Roman"/>
          <w:b/>
          <w:bCs/>
          <w:sz w:val="32"/>
          <w:lang w:val="en-US" w:eastAsia="zh-CN"/>
        </w:rPr>
        <w:t>姓    名：                刘梓璇</w:t>
      </w:r>
    </w:p>
    <w:p w14:paraId="6B27165E">
      <w:pPr>
        <w:spacing w:line="600" w:lineRule="auto"/>
        <w:ind w:left="720" w:leftChars="300" w:firstLine="0" w:firstLineChars="0"/>
        <w:jc w:val="left"/>
        <w:rPr>
          <w:rFonts w:hint="default" w:ascii="Times New Roman" w:hAnsi="Times New Roman" w:cs="Times New Roman"/>
          <w:b/>
          <w:bCs/>
          <w:sz w:val="32"/>
          <w:lang w:val="en-US" w:eastAsia="zh-CN"/>
        </w:rPr>
      </w:pPr>
      <w:r>
        <w:rPr>
          <w:rFonts w:hint="eastAsia" w:ascii="Times New Roman" w:hAnsi="Times New Roman" w:cs="Times New Roman"/>
          <w:b/>
          <w:bCs/>
          <w:sz w:val="32"/>
          <w:lang w:val="en-US" w:eastAsia="zh-CN"/>
        </w:rPr>
        <w:t>指导老师：                张庆霖</w:t>
      </w:r>
    </w:p>
    <w:p w14:paraId="0E186159">
      <w:pPr>
        <w:spacing w:line="600" w:lineRule="auto"/>
        <w:ind w:left="720" w:leftChars="300" w:firstLine="0" w:firstLineChars="0"/>
        <w:jc w:val="left"/>
        <w:rPr>
          <w:rFonts w:hint="eastAsia" w:ascii="Times New Roman" w:hAnsi="Times New Roman" w:cs="Times New Roman"/>
          <w:b/>
          <w:bCs/>
          <w:sz w:val="32"/>
          <w:lang w:val="en-US" w:eastAsia="zh-CN"/>
        </w:rPr>
      </w:pPr>
    </w:p>
    <w:p w14:paraId="6914E136">
      <w:pPr>
        <w:spacing w:line="600" w:lineRule="auto"/>
        <w:ind w:left="720" w:leftChars="300" w:firstLine="0" w:firstLineChars="0"/>
        <w:jc w:val="left"/>
        <w:rPr>
          <w:rFonts w:hint="eastAsia" w:ascii="Times New Roman" w:hAnsi="Times New Roman" w:cs="Times New Roman"/>
          <w:b/>
          <w:bCs/>
          <w:sz w:val="32"/>
          <w:lang w:val="en-US" w:eastAsia="zh-CN"/>
        </w:rPr>
      </w:pPr>
    </w:p>
    <w:p w14:paraId="43398422">
      <w:pPr>
        <w:spacing w:line="600" w:lineRule="auto"/>
        <w:ind w:left="720" w:leftChars="300" w:firstLine="0" w:firstLineChars="0"/>
        <w:jc w:val="left"/>
        <w:rPr>
          <w:rFonts w:hint="eastAsia" w:ascii="Times New Roman" w:hAnsi="Times New Roman" w:cs="Times New Roman"/>
          <w:b/>
          <w:bCs/>
          <w:sz w:val="32"/>
          <w:lang w:val="en-US" w:eastAsia="zh-CN"/>
        </w:rPr>
      </w:pPr>
    </w:p>
    <w:p w14:paraId="63854A31">
      <w:pPr>
        <w:spacing w:line="600" w:lineRule="auto"/>
        <w:ind w:left="720" w:leftChars="300" w:firstLine="0" w:firstLineChars="0"/>
        <w:jc w:val="left"/>
        <w:rPr>
          <w:rFonts w:hint="eastAsia" w:ascii="Times New Roman" w:hAnsi="Times New Roman" w:cs="Times New Roman"/>
          <w:b/>
          <w:bCs/>
          <w:sz w:val="32"/>
          <w:lang w:val="en-US" w:eastAsia="zh-CN"/>
        </w:rPr>
      </w:pPr>
    </w:p>
    <w:p w14:paraId="54295FC8">
      <w:pPr>
        <w:spacing w:line="600" w:lineRule="auto"/>
        <w:ind w:left="720" w:leftChars="300" w:firstLine="0" w:firstLineChars="0"/>
        <w:jc w:val="left"/>
        <w:rPr>
          <w:rFonts w:hint="eastAsia" w:ascii="Times New Roman" w:hAnsi="Times New Roman" w:cs="Times New Roman"/>
          <w:b/>
          <w:bCs/>
          <w:sz w:val="32"/>
          <w:lang w:val="en-US" w:eastAsia="zh-CN"/>
        </w:rPr>
      </w:pPr>
    </w:p>
    <w:p w14:paraId="3C5A68F1">
      <w:pPr>
        <w:spacing w:line="600" w:lineRule="auto"/>
        <w:ind w:left="0" w:leftChars="0" w:firstLine="0" w:firstLineChars="0"/>
        <w:jc w:val="center"/>
        <w:rPr>
          <w:rFonts w:hint="default" w:ascii="Times New Roman" w:hAnsi="Times New Roman" w:cs="Times New Roman"/>
          <w:b/>
          <w:bCs/>
          <w:sz w:val="32"/>
          <w:lang w:val="en-US" w:eastAsia="zh-CN"/>
        </w:rPr>
      </w:pPr>
      <w:r>
        <w:rPr>
          <w:rFonts w:ascii="Times New Roman" w:hAnsi="Times New Roman"/>
        </w:rPr>
        <mc:AlternateContent>
          <mc:Choice Requires="wps">
            <w:drawing>
              <ns3:anchor distT="0" distB="0" distL="114300" distR="114300" simplePos="0" relativeHeight="251667456" behindDoc="0" locked="0" layoutInCell="1" allowOverlap="1">
                <ns3:simplePos x="0" y="0"/>
                <ns3:positionH relativeFrom="column">
                  <ns3:posOffset>2331720</ns3:posOffset>
                </ns3:positionH>
                <ns3:positionV relativeFrom="paragraph">
                  <ns3:posOffset>426720</ns3:posOffset>
                </ns3:positionV>
                <ns3:extent cx="1729740" cy="7620"/>
                <ns3:effectExtent l="0" t="6350" r="10160" b="11430"/>
                <ns3:wrapNone/>
                <ns3:docPr id="1" name="直接箭头连接符 1"/>
                <ns3:cNvGraphicFramePr/>
                <ns4:graphic>
                  <ns4:graphicData uri="http://schemas.microsoft.com/office/word/2010/wordprocessingShape">
                    <ns6:wsp>
                      <ns6:cNvCnPr/>
                      <ns6:spPr>
                        <ns4:xfrm>
                          <ns4:off x="0" y="0"/>
                          <ns4:ext cx="1729740" cy="7620"/>
                        </ns4:xfrm>
                        <ns4:prstGeom prst="straightConnector1">
                          <ns4:avLst/>
                        </ns4:prstGeom>
                        <ns4:ln w="12700" cap="flat" cmpd="sng">
                          <ns4:solidFill>
                            <ns4:srgbClr val="000000"/>
                          </ns4:solidFill>
                          <ns4:prstDash val="solid"/>
                          <ns4:headEnd type="none" w="med" len="med"/>
                          <ns4:tailEnd type="none" w="med" len="med"/>
                        </ns4:ln>
                      </ns6:spPr>
                      <ns6:bodyPr/>
                    </ns6:wsp>
                  </ns4:graphicData>
                </ns4:graphic>
              </ns3:anchor>
            </w:drawing>
          </mc:Choice>
          <mc:Fallback>
            <w:pict>
              <ns7:shape id="_x0000_s1026" ns8:spid="_x0000_s1026" ns8:spt="32" type="#_x0000_t32" style="position:absolute;left:0pt;margin-left:183.6pt;margin-top:33.6pt;height:0.6pt;width:136.2pt;z-index:251667456;mso-width-relative:page;mso-height-relative:page;" filled="f" stroked="t" coordsize="21600,21600" ns8:gfxdata="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w+CP1QAAAAkBAAAPAAAAAAAAAAEAIAAAACIAAABkcnMvZG93bnJl&#10;di54bWxQSwECFAAUAAAACACHTuJAEKVr3QACAADwAwAADgAAAAAAAAABACAAAAAkAQAAZHJzL2Uy&#10;b0RvYy54bWxQSwUGAAAAAAYABgBZAQAAlgUAAAAA&#10;">
                <ns7:fill on="f" focussize="0,0"/>
                <ns7:stroke weight="1pt" color="#000000" joinstyle="round"/>
                <ns7:imagedata ns8:title=""/>
                <ns8:lock ns7:ext="edit" aspectratio="f"/>
              </ns7:shape>
            </w:pict>
          </mc:Fallback>
        </mc:AlternateContent>
      </w:r>
      <w:r>
        <w:rPr>
          <w:rFonts w:hint="eastAsia" w:ascii="Times New Roman" w:hAnsi="Times New Roman" w:cs="Times New Roman"/>
          <w:b/>
          <w:bCs/>
          <w:sz w:val="32"/>
          <w:lang w:val="en-US" w:eastAsia="zh-CN"/>
        </w:rPr>
        <w:t>完成日期：2026年5月8日</w:t>
      </w:r>
    </w:p>
    <w:p w14:paraId="6F06F526">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Times New Roman" w:hAnsi="Times New Roman" w:eastAsia="宋体" w:cs="宋体"/>
          <w:sz w:val="32"/>
          <w:szCs w:val="32"/>
          <w:lang w:val="en-US" w:eastAsia="zh-CN"/>
        </w:rPr>
      </w:pPr>
      <w:bookmarkStart w:id="1" w:name="_Toc2027"/>
      <w:r>
        <w:rPr>
          <w:rFonts w:hint="eastAsia" w:ascii="Times New Roman" w:hAnsi="Times New Roman" w:eastAsia="宋体" w:cs="宋体"/>
          <w:b/>
          <w:bCs/>
          <w:sz w:val="32"/>
          <w:szCs w:val="32"/>
          <w:lang w:val="en-US" w:eastAsia="zh-CN"/>
        </w:rPr>
        <w:t>摘</w:t>
      </w:r>
      <w:r>
        <w:rPr>
          <w:rFonts w:hint="eastAsia" w:ascii="Times New Roman" w:hAnsi="Times New Roman" w:cs="宋体"/>
          <w:b/>
          <w:bCs/>
          <w:sz w:val="32"/>
          <w:szCs w:val="32"/>
          <w:lang w:val="en-US" w:eastAsia="zh-CN"/>
        </w:rPr>
        <w:t xml:space="preserve">  </w:t>
      </w:r>
      <w:r>
        <w:rPr>
          <w:rFonts w:hint="eastAsia" w:ascii="Times New Roman" w:hAnsi="Times New Roman" w:eastAsia="宋体" w:cs="宋体"/>
          <w:b/>
          <w:bCs/>
          <w:sz w:val="32"/>
          <w:szCs w:val="32"/>
          <w:lang w:val="en-US" w:eastAsia="zh-CN"/>
        </w:rPr>
        <w:t>要</w:t>
      </w:r>
      <w:bookmarkEnd w:id="0"/>
      <w:bookmarkEnd w:id="1"/>
    </w:p>
    <w:p w14:paraId="79E0421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jc w:val="both"/>
        <w:textAlignment w:val="auto"/>
        <w:rPr>
          <w:rFonts w:hint="default" w:ascii="Times New Roman" w:hAnsi="Times New Roman" w:eastAsia="宋体" w:cs="宋体"/>
          <w:sz w:val="21"/>
          <w:szCs w:val="21"/>
          <w:lang w:val="en-US" w:eastAsia="zh-CN"/>
        </w:rPr>
      </w:pPr>
      <w:r>
        <w:rPr>
          <w:rFonts w:hint="eastAsia" w:ascii="Times New Roman" w:hAnsi="Times New Roman" w:cs="宋体"/>
          <w:sz w:val="21"/>
          <w:szCs w:val="21"/>
          <w:lang w:val="en-US" w:eastAsia="zh-CN"/>
        </w:rPr>
        <w:t>通过整理分析国内</w:t>
      </w:r>
      <w:commentRangeStart w:id="3"/>
      <w:r>
        <w:rPr>
          <w:rFonts w:hint="default" w:ascii="Times New Roman" w:hAnsi="Times New Roman" w:eastAsia="宋体" w:cs="宋体"/>
          <w:sz w:val="21"/>
          <w:szCs w:val="21"/>
          <w:lang w:val="en-US" w:eastAsia="zh-CN"/>
        </w:rPr>
        <w:t xml:space="preserve">2023年至2025年间审结的86份证券虚假陈述责任纠纷二审</w:t>
      </w:r>
      <w:commentRangeEnd w:id="3"/>
      <w:r>
        <w:rPr>
          <w:rStyle w:val="CommentReference"/>
        </w:rPr>
        <w:commentReference w:id="3"/>
      </w:r>
      <w:r>
        <w:rPr>
          <w:rFonts w:hint="default" w:ascii="Times New Roman" w:hAnsi="Times New Roman" w:eastAsia="宋体" w:cs="宋体"/>
          <w:sz w:val="21"/>
          <w:szCs w:val="21"/>
          <w:lang w:val="en-US" w:eastAsia="zh-CN"/>
        </w:rPr>
        <w:t xml:space="preserve">判决书，对交易因果关系与</w:t>
      </w:r>
      <w:commentRangeStart w:id="11"/>
      <w:r>
        <w:rPr>
          <w:rFonts w:hint="default" w:ascii="Times New Roman" w:hAnsi="Times New Roman" w:eastAsia="宋体" w:cs="宋体"/>
          <w:sz w:val="21"/>
          <w:szCs w:val="21"/>
          <w:lang w:val="en-US" w:eastAsia="zh-CN"/>
        </w:rPr>
        <w:t xml:space="preserve">损失因果关系</w:t>
      </w:r>
      <w:commentRangeEnd w:id="11"/>
      <w:r>
        <w:rPr>
          <w:rStyle w:val="CommentReference"/>
        </w:rPr>
        <w:commentReference w:id="11"/>
      </w:r>
      <w:r>
        <w:rPr>
          <w:rFonts w:hint="default" w:ascii="Times New Roman" w:hAnsi="Times New Roman" w:eastAsia="宋体" w:cs="宋体"/>
          <w:sz w:val="21"/>
          <w:szCs w:val="21"/>
          <w:lang w:val="en-US" w:eastAsia="zh-CN"/>
        </w:rPr>
        <w:t xml:space="preserve">的司法认定实践进行了实证考察。结果发现，2022年虚假陈述解释已经确立了</w:t>
      </w:r>
      <w:r>
        <w:rPr>
          <w:rFonts w:hint="eastAsia" w:ascii="Times New Roman" w:hAnsi="Times New Roman" w:cs="宋体"/>
          <w:sz w:val="21"/>
          <w:szCs w:val="21"/>
          <w:lang w:val="en-US" w:eastAsia="zh-CN"/>
        </w:rPr>
        <w:t>“</w:t>
      </w:r>
      <w:r>
        <w:rPr>
          <w:rFonts w:hint="default" w:ascii="Times New Roman" w:hAnsi="Times New Roman" w:eastAsia="宋体" w:cs="宋体"/>
          <w:sz w:val="21"/>
          <w:szCs w:val="21"/>
          <w:lang w:val="en-US" w:eastAsia="zh-CN"/>
        </w:rPr>
        <w:t>信赖</w:t>
      </w:r>
      <w:r>
        <w:rPr>
          <w:rFonts w:hint="eastAsia" w:ascii="Times New Roman" w:hAnsi="Times New Roman" w:cs="宋体"/>
          <w:sz w:val="21"/>
          <w:szCs w:val="21"/>
          <w:lang w:val="en-US" w:eastAsia="zh-CN"/>
        </w:rPr>
        <w:t>推定”原则</w:t>
      </w:r>
      <w:r>
        <w:rPr>
          <w:rFonts w:hint="default" w:ascii="Times New Roman" w:hAnsi="Times New Roman" w:eastAsia="宋体" w:cs="宋体"/>
          <w:sz w:val="21"/>
          <w:szCs w:val="21"/>
          <w:lang w:val="en-US" w:eastAsia="zh-CN"/>
        </w:rPr>
        <w:t>和二元区分框架，但实际判案中仍存在明显的</w:t>
      </w:r>
      <w:r>
        <w:rPr>
          <w:rFonts w:hint="eastAsia" w:ascii="Times New Roman" w:hAnsi="Times New Roman" w:cs="宋体"/>
          <w:sz w:val="21"/>
          <w:szCs w:val="21"/>
          <w:lang w:val="en-US" w:eastAsia="zh-CN"/>
        </w:rPr>
        <w:t>“</w:t>
      </w:r>
      <w:r>
        <w:rPr>
          <w:rFonts w:hint="default" w:ascii="Times New Roman" w:hAnsi="Times New Roman" w:eastAsia="宋体" w:cs="宋体"/>
          <w:sz w:val="21"/>
          <w:szCs w:val="21"/>
          <w:lang w:val="en-US" w:eastAsia="zh-CN"/>
        </w:rPr>
        <w:t>一刀切</w:t>
      </w:r>
      <w:r>
        <w:rPr>
          <w:rFonts w:hint="eastAsia" w:ascii="Times New Roman" w:hAnsi="Times New Roman" w:cs="宋体"/>
          <w:sz w:val="21"/>
          <w:szCs w:val="21"/>
          <w:lang w:val="en-US" w:eastAsia="zh-CN"/>
        </w:rPr>
        <w:t>”</w:t>
      </w:r>
      <w:r>
        <w:rPr>
          <w:rFonts w:hint="default" w:ascii="Times New Roman" w:hAnsi="Times New Roman" w:eastAsia="宋体" w:cs="宋体"/>
          <w:sz w:val="21"/>
          <w:szCs w:val="21"/>
          <w:lang w:val="en-US" w:eastAsia="zh-CN"/>
        </w:rPr>
        <w:t>问题</w:t>
      </w:r>
      <w:r>
        <w:rPr>
          <w:rFonts w:hint="eastAsia" w:ascii="Times New Roman" w:hAnsi="Times New Roman" w:cs="宋体"/>
          <w:sz w:val="21"/>
          <w:szCs w:val="21"/>
          <w:lang w:val="en-US" w:eastAsia="zh-CN"/>
        </w:rPr>
        <w:t>。</w:t>
      </w:r>
      <w:commentRangeStart w:id="5"/>
      <w:r>
        <w:rPr>
          <w:rFonts w:hint="default" w:ascii="Times New Roman" w:hAnsi="Times New Roman" w:eastAsia="宋体" w:cs="宋体"/>
          <w:sz w:val="21"/>
          <w:szCs w:val="21"/>
          <w:lang w:val="en-US" w:eastAsia="zh-CN"/>
        </w:rPr>
        <w:t xml:space="preserve">法院没有把发行市场和交易市场的责任逻辑分开</w:t>
      </w:r>
      <w:commentRangeEnd w:id="5"/>
      <w:r>
        <w:rPr>
          <w:rStyle w:val="CommentReference"/>
        </w:rPr>
        <w:commentReference w:id="5"/>
      </w:r>
      <w:r>
        <w:rPr>
          <w:rFonts w:hint="default" w:ascii="Times New Roman" w:hAnsi="Times New Roman" w:eastAsia="宋体" w:cs="宋体"/>
          <w:sz w:val="21"/>
          <w:szCs w:val="21"/>
          <w:lang w:val="en-US" w:eastAsia="zh-CN"/>
        </w:rPr>
        <w:t xml:space="preserve">，而是</w:t>
      </w:r>
      <w:commentRangeStart w:id="8"/>
      <w:r>
        <w:rPr>
          <w:rFonts w:hint="default" w:ascii="Times New Roman" w:hAnsi="Times New Roman" w:eastAsia="宋体" w:cs="宋体"/>
          <w:sz w:val="21"/>
          <w:szCs w:val="21"/>
          <w:lang w:val="en-US" w:eastAsia="zh-CN"/>
        </w:rPr>
        <w:t xml:space="preserve">把原本用于二级市场匿名交易的欺诈市场理论直接照搬到公开发行环</w:t>
      </w:r>
      <w:commentRangeEnd w:id="8"/>
      <w:r>
        <w:rPr>
          <w:rStyle w:val="CommentReference"/>
        </w:rPr>
        <w:commentReference w:id="8"/>
      </w:r>
      <w:r>
        <w:rPr>
          <w:rFonts w:hint="default" w:ascii="Times New Roman" w:hAnsi="Times New Roman" w:eastAsia="宋体" w:cs="宋体"/>
          <w:sz w:val="21"/>
          <w:szCs w:val="21"/>
          <w:lang w:val="en-US" w:eastAsia="zh-CN"/>
        </w:rPr>
        <w:t xml:space="preserve">节；也没有区分公开发行与非公开发行，像定向增发这种面对面交易里，机构投资者照样被自动推定为存在信赖；同时还</w:t>
      </w:r>
      <w:r>
        <w:rPr>
          <w:rFonts w:hint="eastAsia" w:ascii="Times New Roman" w:hAnsi="Times New Roman" w:cs="宋体"/>
          <w:sz w:val="21"/>
          <w:szCs w:val="21"/>
          <w:lang w:val="en-US" w:eastAsia="zh-CN"/>
        </w:rPr>
        <w:t>未</w:t>
      </w:r>
      <w:r>
        <w:rPr>
          <w:rFonts w:hint="default" w:ascii="Times New Roman" w:hAnsi="Times New Roman" w:eastAsia="宋体" w:cs="宋体"/>
          <w:sz w:val="21"/>
          <w:szCs w:val="21"/>
          <w:lang w:val="en-US" w:eastAsia="zh-CN"/>
        </w:rPr>
        <w:t>考虑新三板这类非有效市场的价格发现功能本就偏弱，</w:t>
      </w:r>
      <w:r>
        <w:rPr>
          <w:rFonts w:hint="eastAsia" w:ascii="Times New Roman" w:hAnsi="Times New Roman" w:cs="宋体"/>
          <w:sz w:val="21"/>
          <w:szCs w:val="21"/>
          <w:lang w:val="en-US" w:eastAsia="zh-CN"/>
        </w:rPr>
        <w:t>不具备信赖推定</w:t>
      </w:r>
      <w:r>
        <w:rPr>
          <w:rFonts w:hint="default" w:ascii="Times New Roman" w:hAnsi="Times New Roman" w:eastAsia="宋体" w:cs="宋体"/>
          <w:sz w:val="21"/>
          <w:szCs w:val="21"/>
          <w:lang w:val="en-US" w:eastAsia="zh-CN"/>
        </w:rPr>
        <w:t>的</w:t>
      </w:r>
      <w:r>
        <w:rPr>
          <w:rFonts w:hint="eastAsia" w:ascii="Times New Roman" w:hAnsi="Times New Roman" w:cs="宋体"/>
          <w:sz w:val="21"/>
          <w:szCs w:val="21"/>
          <w:lang w:val="en-US" w:eastAsia="zh-CN"/>
        </w:rPr>
        <w:t>适用前提</w:t>
      </w:r>
      <w:r>
        <w:rPr>
          <w:rFonts w:hint="default" w:ascii="Times New Roman" w:hAnsi="Times New Roman" w:eastAsia="宋体" w:cs="宋体"/>
          <w:sz w:val="21"/>
          <w:szCs w:val="21"/>
          <w:lang w:val="en-US" w:eastAsia="zh-CN"/>
        </w:rPr>
        <w:t>。从改判案件和争议焦点的统计来看，因果关系认定是二审改判的</w:t>
      </w:r>
      <w:r>
        <w:rPr>
          <w:rFonts w:hint="eastAsia" w:ascii="Times New Roman" w:hAnsi="Times New Roman" w:cs="宋体"/>
          <w:sz w:val="21"/>
          <w:szCs w:val="21"/>
          <w:lang w:val="en-US" w:eastAsia="zh-CN"/>
        </w:rPr>
        <w:t>重点部分</w:t>
      </w:r>
      <w:r>
        <w:rPr>
          <w:rFonts w:hint="default" w:ascii="Times New Roman" w:hAnsi="Times New Roman" w:eastAsia="宋体" w:cs="宋体"/>
          <w:sz w:val="21"/>
          <w:szCs w:val="21"/>
          <w:lang w:val="en-US" w:eastAsia="zh-CN"/>
        </w:rPr>
        <w:t>，其中交易因果关系的争议次数</w:t>
      </w:r>
      <w:r>
        <w:rPr>
          <w:rFonts w:hint="eastAsia" w:ascii="Times New Roman" w:hAnsi="Times New Roman" w:cs="宋体"/>
          <w:sz w:val="21"/>
          <w:szCs w:val="21"/>
          <w:lang w:val="en-US" w:eastAsia="zh-CN"/>
        </w:rPr>
        <w:t>远超</w:t>
      </w:r>
      <w:r>
        <w:rPr>
          <w:rFonts w:hint="default" w:ascii="Times New Roman" w:hAnsi="Times New Roman" w:eastAsia="宋体" w:cs="宋体"/>
          <w:sz w:val="21"/>
          <w:szCs w:val="21"/>
          <w:lang w:val="en-US" w:eastAsia="zh-CN"/>
        </w:rPr>
        <w:t>损失因果关系，而损失计算</w:t>
      </w:r>
      <w:r>
        <w:rPr>
          <w:rFonts w:hint="eastAsia" w:ascii="Times New Roman" w:hAnsi="Times New Roman" w:cs="宋体"/>
          <w:sz w:val="21"/>
          <w:szCs w:val="21"/>
          <w:lang w:val="en-US" w:eastAsia="zh-CN"/>
        </w:rPr>
        <w:t>方面</w:t>
      </w:r>
      <w:r>
        <w:rPr>
          <w:rFonts w:hint="default" w:ascii="Times New Roman" w:hAnsi="Times New Roman" w:eastAsia="宋体" w:cs="宋体"/>
          <w:sz w:val="21"/>
          <w:szCs w:val="21"/>
          <w:lang w:val="en-US" w:eastAsia="zh-CN"/>
        </w:rPr>
        <w:t>则</w:t>
      </w:r>
      <w:r>
        <w:rPr>
          <w:rFonts w:hint="eastAsia" w:ascii="Times New Roman" w:hAnsi="Times New Roman" w:cs="宋体"/>
          <w:sz w:val="21"/>
          <w:szCs w:val="21"/>
          <w:lang w:val="en-US" w:eastAsia="zh-CN"/>
        </w:rPr>
        <w:t>高度</w:t>
      </w:r>
      <w:r>
        <w:rPr>
          <w:rFonts w:hint="default" w:ascii="Times New Roman" w:hAnsi="Times New Roman" w:eastAsia="宋体" w:cs="宋体"/>
          <w:sz w:val="21"/>
          <w:szCs w:val="21"/>
          <w:lang w:val="en-US" w:eastAsia="zh-CN"/>
        </w:rPr>
        <w:t>依赖第三方专业机构的技术核定。</w:t>
      </w:r>
    </w:p>
    <w:p w14:paraId="000484F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jc w:val="both"/>
        <w:textAlignment w:val="auto"/>
        <w:rPr>
          <w:rFonts w:hint="eastAsia" w:ascii="Times New Roman" w:hAnsi="Times New Roman" w:eastAsia="宋体" w:cs="宋体"/>
          <w:sz w:val="21"/>
          <w:szCs w:val="21"/>
          <w:lang w:val="en-US" w:eastAsia="zh-CN"/>
        </w:rPr>
      </w:pPr>
      <w:r>
        <w:rPr>
          <w:rFonts w:hint="default" w:ascii="Times New Roman" w:hAnsi="Times New Roman" w:eastAsia="宋体" w:cs="宋体"/>
          <w:sz w:val="21"/>
          <w:szCs w:val="21"/>
          <w:lang w:val="en-US" w:eastAsia="zh-CN"/>
        </w:rPr>
        <w:t>基于上述实证发现，</w:t>
      </w:r>
      <w:r>
        <w:rPr>
          <w:rFonts w:hint="eastAsia" w:ascii="Times New Roman" w:hAnsi="Times New Roman" w:cs="宋体"/>
          <w:sz w:val="21"/>
          <w:szCs w:val="21"/>
          <w:lang w:val="en-US" w:eastAsia="zh-CN"/>
        </w:rPr>
        <w:t>我国</w:t>
      </w:r>
      <w:r>
        <w:rPr>
          <w:rFonts w:hint="default" w:ascii="Times New Roman" w:hAnsi="Times New Roman" w:eastAsia="宋体" w:cs="宋体"/>
          <w:sz w:val="21"/>
          <w:szCs w:val="21"/>
          <w:lang w:val="en-US" w:eastAsia="zh-CN"/>
        </w:rPr>
        <w:t xml:space="preserve">有必要</w:t>
      </w:r>
      <w:commentRangeStart w:id="2"/>
      <w:r>
        <w:rPr>
          <w:rFonts w:hint="default" w:ascii="Times New Roman" w:hAnsi="Times New Roman" w:eastAsia="宋体" w:cs="宋体"/>
          <w:sz w:val="21"/>
          <w:szCs w:val="21"/>
          <w:lang w:val="en-US" w:eastAsia="zh-CN"/>
        </w:rPr>
        <w:t xml:space="preserve">构建二元责任规范模式</w:t>
      </w:r>
      <w:commentRangeEnd w:id="2"/>
      <w:r>
        <w:rPr>
          <w:rStyle w:val="CommentReference"/>
        </w:rPr>
        <w:commentReference w:id="2"/>
      </w:r>
      <w:r>
        <w:rPr>
          <w:rFonts w:hint="default" w:ascii="Times New Roman" w:hAnsi="Times New Roman" w:eastAsia="宋体" w:cs="宋体"/>
          <w:sz w:val="21"/>
          <w:szCs w:val="21"/>
          <w:lang w:val="en-US" w:eastAsia="zh-CN"/>
        </w:rPr>
        <w:t xml:space="preserve">：公开欺诈发行应适用特殊侵权责任，交易市场中的虚假陈述则应回归一般侵权法理；</w:t>
      </w:r>
      <w:commentRangeStart w:id="9"/>
      <w:r>
        <w:rPr>
          <w:rFonts w:hint="default" w:ascii="Times New Roman" w:hAnsi="Times New Roman" w:eastAsia="宋体" w:cs="宋体"/>
          <w:sz w:val="21"/>
          <w:szCs w:val="21"/>
          <w:lang w:val="en-US" w:eastAsia="zh-CN"/>
        </w:rPr>
        <w:t xml:space="preserve">非公开发行要排除</w:t>
      </w:r>
      <w:r>
        <w:rPr>
          <w:rFonts w:hint="eastAsia" w:ascii="Times New Roman" w:hAnsi="Times New Roman" w:cs="宋体"/>
          <w:sz w:val="21"/>
          <w:szCs w:val="21"/>
          <w:lang w:val="en-US" w:eastAsia="zh-CN"/>
        </w:rPr>
        <w:t>信赖推定</w:t>
      </w:r>
      <w:commentRangeEnd w:id="9"/>
      <w:r>
        <w:rPr>
          <w:rStyle w:val="CommentReference"/>
        </w:rPr>
        <w:commentReference w:id="9"/>
      </w:r>
      <w:r>
        <w:rPr>
          <w:rFonts w:hint="default" w:ascii="Times New Roman" w:hAnsi="Times New Roman" w:eastAsia="宋体" w:cs="宋体"/>
          <w:sz w:val="21"/>
          <w:szCs w:val="21"/>
          <w:lang w:val="en-US" w:eastAsia="zh-CN"/>
        </w:rPr>
        <w:t>，改由投资者</w:t>
      </w:r>
      <w:r>
        <w:rPr>
          <w:rFonts w:hint="eastAsia" w:ascii="Times New Roman" w:hAnsi="Times New Roman" w:cs="宋体"/>
          <w:sz w:val="21"/>
          <w:szCs w:val="21"/>
          <w:lang w:val="en-US" w:eastAsia="zh-CN"/>
        </w:rPr>
        <w:t>自行</w:t>
      </w:r>
      <w:r>
        <w:rPr>
          <w:rFonts w:hint="default" w:ascii="Times New Roman" w:hAnsi="Times New Roman" w:eastAsia="宋体" w:cs="宋体"/>
          <w:sz w:val="21"/>
          <w:szCs w:val="21"/>
          <w:lang w:val="en-US" w:eastAsia="zh-CN"/>
        </w:rPr>
        <w:t>举证实际信赖；对于非有效市场，不能</w:t>
      </w:r>
      <w:r>
        <w:rPr>
          <w:rFonts w:hint="eastAsia" w:ascii="Times New Roman" w:hAnsi="Times New Roman" w:cs="宋体"/>
          <w:sz w:val="21"/>
          <w:szCs w:val="21"/>
          <w:lang w:val="en-US" w:eastAsia="zh-CN"/>
        </w:rPr>
        <w:t>实行</w:t>
      </w:r>
      <w:r>
        <w:rPr>
          <w:rFonts w:hint="default" w:ascii="Times New Roman" w:hAnsi="Times New Roman" w:eastAsia="宋体" w:cs="宋体"/>
          <w:sz w:val="21"/>
          <w:szCs w:val="21"/>
          <w:lang w:val="en-US" w:eastAsia="zh-CN"/>
        </w:rPr>
        <w:t>类型化的一刀切推定，而应当个案判断，重点考察交易量、换手率以及做市商的定价效率。同时还要借助事件分析法和多因子模型，把系统风险和非系统风险从损失中科学地量化扣除出来。这套路径的目的，就是推动因果关系认定从粗糙的推定走向精细化的实质审查，在保护投资者和划定市场主体合理责任边界之间找到平衡。</w:t>
      </w:r>
    </w:p>
    <w:p w14:paraId="0F0CAF00">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default" w:ascii="Times New Roman" w:hAnsi="Times New Roman" w:eastAsia="宋体" w:cs="宋体"/>
          <w:sz w:val="21"/>
          <w:szCs w:val="21"/>
          <w:lang w:val="en-US" w:eastAsia="zh-CN"/>
        </w:rPr>
      </w:pPr>
      <w:r>
        <w:rPr>
          <w:rFonts w:hint="eastAsia" w:ascii="Times New Roman" w:hAnsi="Times New Roman" w:eastAsia="宋体" w:cs="宋体"/>
          <w:b/>
          <w:bCs/>
          <w:sz w:val="24"/>
          <w:szCs w:val="24"/>
          <w:lang w:val="en-US" w:eastAsia="zh-CN"/>
        </w:rPr>
        <w:t>关键词</w:t>
      </w:r>
      <w:r>
        <w:rPr>
          <w:rFonts w:hint="eastAsia" w:ascii="Times New Roman" w:hAnsi="Times New Roman" w:eastAsia="宋体" w:cs="宋体"/>
          <w:sz w:val="21"/>
          <w:szCs w:val="21"/>
          <w:lang w:val="en-US" w:eastAsia="zh-CN"/>
        </w:rPr>
        <w:t>：</w:t>
      </w:r>
      <w:r>
        <w:rPr>
          <w:rFonts w:hint="eastAsia" w:ascii="Times New Roman" w:hAnsi="Times New Roman" w:cs="宋体"/>
          <w:sz w:val="21"/>
          <w:szCs w:val="21"/>
          <w:lang w:val="en-US" w:eastAsia="zh-CN"/>
        </w:rPr>
        <w:t>证券虚假陈述责任纠纷；交易因果关系；损失因果关系；实证分析</w:t>
      </w:r>
    </w:p>
    <w:p w14:paraId="277C4819">
      <w:pPr>
        <w:rPr>
          <w:rFonts w:hint="eastAsia" w:ascii="Times New Roman" w:hAnsi="Times New Roman" w:eastAsia="宋体" w:cs="宋体"/>
          <w:sz w:val="21"/>
          <w:szCs w:val="21"/>
          <w:lang w:val="en-US" w:eastAsia="zh-CN"/>
        </w:rPr>
      </w:pPr>
      <w:r>
        <w:rPr>
          <w:rFonts w:hint="eastAsia" w:ascii="Times New Roman" w:hAnsi="Times New Roman" w:eastAsia="宋体" w:cs="宋体"/>
          <w:sz w:val="21"/>
          <w:szCs w:val="21"/>
          <w:lang w:val="en-US" w:eastAsia="zh-CN"/>
        </w:rPr>
        <w:br w:type="page"/>
      </w:r>
    </w:p>
    <w:p w14:paraId="396D75F6">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0"/>
        <w:rPr>
          <w:rFonts w:hint="eastAsia" w:ascii="Times New Roman" w:hAnsi="Times New Roman" w:eastAsia="宋体" w:cs="Times New Roman"/>
          <w:bCs/>
          <w:sz w:val="32"/>
          <w:szCs w:val="32"/>
        </w:rPr>
      </w:pPr>
      <w:bookmarkStart w:id="2" w:name="_Toc3513"/>
      <w:bookmarkStart w:id="3" w:name="_Toc20416"/>
      <w:bookmarkStart w:id="4" w:name="_Toc12237"/>
      <w:r>
        <w:rPr>
          <w:rFonts w:hint="eastAsia" w:ascii="Times New Roman" w:hAnsi="Times New Roman" w:eastAsia="宋体" w:cs="Times New Roman"/>
          <w:bCs/>
          <w:sz w:val="32"/>
          <w:szCs w:val="32"/>
        </w:rPr>
        <w:t>Abstract</w:t>
      </w:r>
      <w:bookmarkEnd w:id="2"/>
      <w:bookmarkEnd w:id="3"/>
      <w:bookmarkEnd w:id="4"/>
    </w:p>
    <w:p w14:paraId="35FEAEA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80" w:firstLineChars="200"/>
        <w:jc w:val="both"/>
        <w:textAlignment w:val="auto"/>
        <w:rPr>
          <w:rFonts w:hint="eastAsia" w:ascii="Times New Roman" w:hAnsi="Times New Roman" w:eastAsia="宋体" w:cs="Times New Roman"/>
          <w:bCs/>
          <w:sz w:val="24"/>
          <w:szCs w:val="24"/>
          <w:lang w:val="en-US" w:eastAsia="zh-CN"/>
        </w:rPr>
      </w:pPr>
      <w:r>
        <w:rPr>
          <w:rFonts w:hint="eastAsia" w:ascii="Times New Roman" w:hAnsi="Times New Roman" w:eastAsia="宋体" w:cs="Times New Roman"/>
          <w:bCs/>
          <w:sz w:val="24"/>
          <w:szCs w:val="24"/>
          <w:lang w:val="en-US" w:eastAsia="zh-CN"/>
        </w:rPr>
        <w:t>By sorting out and analyzing 86 second-instance judgments on liability disputes arising from false statements in securities</w:t>
      </w:r>
      <w:r>
        <w:rPr>
          <w:rFonts w:hint="eastAsia" w:ascii="Times New Roman" w:hAnsi="Times New Roman" w:cs="Times New Roman"/>
          <w:bCs/>
          <w:sz w:val="24"/>
          <w:szCs w:val="24"/>
          <w:lang w:val="en-US" w:eastAsia="zh-CN"/>
        </w:rPr>
        <w:t>,</w:t>
      </w:r>
      <w:r>
        <w:rPr>
          <w:rFonts w:hint="eastAsia" w:ascii="Times New Roman" w:hAnsi="Times New Roman" w:eastAsia="宋体" w:cs="Times New Roman"/>
          <w:bCs/>
          <w:sz w:val="24"/>
          <w:szCs w:val="24"/>
          <w:lang w:val="en-US" w:eastAsia="zh-CN"/>
        </w:rPr>
        <w:t xml:space="preserve"> </w:t>
      </w:r>
      <w:r>
        <w:rPr>
          <w:rFonts w:hint="eastAsia" w:ascii="Times New Roman" w:hAnsi="Times New Roman" w:cs="Times New Roman"/>
          <w:bCs/>
          <w:sz w:val="24"/>
          <w:szCs w:val="24"/>
          <w:lang w:val="en-US" w:eastAsia="zh-CN"/>
        </w:rPr>
        <w:t>which</w:t>
      </w:r>
      <w:r>
        <w:rPr>
          <w:rFonts w:hint="eastAsia" w:ascii="Times New Roman" w:hAnsi="Times New Roman" w:eastAsia="宋体" w:cs="Times New Roman"/>
          <w:bCs/>
          <w:sz w:val="24"/>
          <w:szCs w:val="24"/>
          <w:lang w:val="en-US" w:eastAsia="zh-CN"/>
        </w:rPr>
        <w:t xml:space="preserve"> were concluded between 2023 and 2025 in China, this paper conducts an empirical investigation into the judicial practice of identifying transaction causation and loss causation. The findings indicate that although the Judicial Interpretation on False Statements (2022) has established the doctrine of presumption of reliance and a dualistic framework, a notable "one-size-fits-all" approach still persists in judicial practice. Courts have failed to distinguish the liability logic between the issuance market and the trading market, instead directly applying the fraud-on-the-market theory originally designed for anonymous secondary-market transactions to public offerings. Nor have they differentiated between public offerings and private placements: institutional investors involved in private placements, which are negotiated transactions, are still automatically presumed to have relied on the false statements. Meanwhile, insufficient consideration has been given to the inherently weak price-discovery function of less efficient markets such as the National Equities Exchange and Quotations (NEEQ), thereby undermining the logical premise of presumed reliance. Statistics on reversed cases and contentious issues show that the determination of causation constitutes a major area where second-instance courts reverse original judgments. In particular, disputes over transaction causation occur far more frequently than those over loss causation, while loss calculation increasingly relies on technical verification conducted by third-party professional institutions.</w:t>
      </w:r>
    </w:p>
    <w:p w14:paraId="190BA17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80" w:firstLineChars="200"/>
        <w:jc w:val="both"/>
        <w:textAlignment w:val="auto"/>
        <w:rPr>
          <w:rFonts w:hint="eastAsia" w:ascii="Times New Roman" w:hAnsi="Times New Roman" w:eastAsia="宋体" w:cs="Times New Roman"/>
          <w:bCs/>
          <w:sz w:val="24"/>
          <w:szCs w:val="24"/>
          <w:lang w:val="en-US" w:eastAsia="zh-CN"/>
        </w:rPr>
      </w:pPr>
      <w:r>
        <w:rPr>
          <w:rFonts w:hint="eastAsia" w:ascii="Times New Roman" w:hAnsi="Times New Roman" w:eastAsia="宋体" w:cs="Times New Roman"/>
          <w:bCs/>
          <w:sz w:val="24"/>
          <w:szCs w:val="24"/>
          <w:lang w:val="en-US" w:eastAsia="zh-CN"/>
        </w:rPr>
        <w:t>Based on the above empirical findings, it is necessary for China to establish a dual liability regulatory model: special tort liability shall apply to fraudulent public offerings, while false statements in the trading market shall be governed by general tort jurisprudence. For non-public offerings, the presumption of reliance shall be excluded, and investors shall bear the burden of proving actual reliance. For inefficient markets, generalized one</w:t>
      </w:r>
      <w:r>
        <w:rPr>
          <w:rFonts w:hint="eastAsia" w:ascii="Times New Roman" w:hAnsi="Times New Roman" w:eastAsia="宋体" w:cs="Times New Roman"/>
          <w:bCs/>
          <w:sz w:val="24"/>
          <w:szCs w:val="24"/>
          <w:lang w:val="en-US" w:eastAsia="zh-CN"/>
        </w:rPr>
        <w:noBreakHyphen/>
      </w:r>
      <w:r>
        <w:rPr>
          <w:rFonts w:hint="eastAsia" w:ascii="Times New Roman" w:hAnsi="Times New Roman" w:eastAsia="宋体" w:cs="Times New Roman"/>
          <w:bCs/>
          <w:sz w:val="24"/>
          <w:szCs w:val="24"/>
          <w:lang w:val="en-US" w:eastAsia="zh-CN"/>
        </w:rPr>
        <w:t>size</w:t>
      </w:r>
      <w:r>
        <w:rPr>
          <w:rFonts w:hint="eastAsia" w:ascii="Times New Roman" w:hAnsi="Times New Roman" w:eastAsia="宋体" w:cs="Times New Roman"/>
          <w:bCs/>
          <w:sz w:val="24"/>
          <w:szCs w:val="24"/>
          <w:lang w:val="en-US" w:eastAsia="zh-CN"/>
        </w:rPr>
        <w:noBreakHyphen/>
      </w:r>
      <w:r>
        <w:rPr>
          <w:rFonts w:hint="eastAsia" w:ascii="Times New Roman" w:hAnsi="Times New Roman" w:eastAsia="宋体" w:cs="Times New Roman"/>
          <w:bCs/>
          <w:sz w:val="24"/>
          <w:szCs w:val="24"/>
          <w:lang w:val="en-US" w:eastAsia="zh-CN"/>
        </w:rPr>
        <w:t>fits</w:t>
      </w:r>
      <w:r>
        <w:rPr>
          <w:rFonts w:hint="eastAsia" w:ascii="Times New Roman" w:hAnsi="Times New Roman" w:eastAsia="宋体" w:cs="Times New Roman"/>
          <w:bCs/>
          <w:sz w:val="24"/>
          <w:szCs w:val="24"/>
          <w:lang w:val="en-US" w:eastAsia="zh-CN"/>
        </w:rPr>
        <w:noBreakHyphen/>
      </w:r>
      <w:r>
        <w:rPr>
          <w:rFonts w:hint="eastAsia" w:ascii="Times New Roman" w:hAnsi="Times New Roman" w:eastAsia="宋体" w:cs="Times New Roman"/>
          <w:bCs/>
          <w:sz w:val="24"/>
          <w:szCs w:val="24"/>
          <w:lang w:val="en-US" w:eastAsia="zh-CN"/>
        </w:rPr>
        <w:t>all presumptions shall be avoided; instead, case</w:t>
      </w:r>
      <w:r>
        <w:rPr>
          <w:rFonts w:hint="eastAsia" w:ascii="Times New Roman" w:hAnsi="Times New Roman" w:eastAsia="宋体" w:cs="Times New Roman"/>
          <w:bCs/>
          <w:sz w:val="24"/>
          <w:szCs w:val="24"/>
          <w:lang w:val="en-US" w:eastAsia="zh-CN"/>
        </w:rPr>
        <w:noBreakHyphen/>
      </w:r>
      <w:r>
        <w:rPr>
          <w:rFonts w:hint="eastAsia" w:ascii="Times New Roman" w:hAnsi="Times New Roman" w:eastAsia="宋体" w:cs="Times New Roman"/>
          <w:bCs/>
          <w:sz w:val="24"/>
          <w:szCs w:val="24"/>
          <w:lang w:val="en-US" w:eastAsia="zh-CN"/>
        </w:rPr>
        <w:t>by</w:t>
      </w:r>
      <w:r>
        <w:rPr>
          <w:rFonts w:hint="eastAsia" w:ascii="Times New Roman" w:hAnsi="Times New Roman" w:eastAsia="宋体" w:cs="Times New Roman"/>
          <w:bCs/>
          <w:sz w:val="24"/>
          <w:szCs w:val="24"/>
          <w:lang w:val="en-US" w:eastAsia="zh-CN"/>
        </w:rPr>
        <w:noBreakHyphen/>
      </w:r>
      <w:r>
        <w:rPr>
          <w:rFonts w:hint="eastAsia" w:ascii="Times New Roman" w:hAnsi="Times New Roman" w:eastAsia="宋体" w:cs="Times New Roman"/>
          <w:bCs/>
          <w:sz w:val="24"/>
          <w:szCs w:val="24"/>
          <w:lang w:val="en-US" w:eastAsia="zh-CN"/>
        </w:rPr>
        <w:t>case adjudication shall be adopted, with emphasis on examining trading volume, turnover rate, and the pricing efficiency of market makers.</w:t>
      </w:r>
    </w:p>
    <w:p w14:paraId="0F83959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80" w:firstLineChars="200"/>
        <w:jc w:val="both"/>
        <w:textAlignment w:val="auto"/>
        <w:rPr>
          <w:rFonts w:hint="eastAsia" w:ascii="Times New Roman" w:hAnsi="Times New Roman" w:eastAsia="宋体" w:cs="Times New Roman"/>
          <w:bCs/>
          <w:sz w:val="24"/>
          <w:szCs w:val="24"/>
          <w:lang w:val="en-US" w:eastAsia="zh-CN"/>
        </w:rPr>
      </w:pPr>
      <w:r>
        <w:rPr>
          <w:rFonts w:hint="eastAsia" w:ascii="Times New Roman" w:hAnsi="Times New Roman" w:eastAsia="宋体" w:cs="Times New Roman"/>
          <w:bCs/>
          <w:sz w:val="24"/>
          <w:szCs w:val="24"/>
          <w:lang w:val="en-US" w:eastAsia="zh-CN"/>
        </w:rPr>
        <w:t>Meanwhile, the review standard of “direct cause and proximate cause” shall be implemented. Through event study methodology and multi-factor models, systematic risk and non-systematic risk shall be scientifically quantified and deducted from investment losses. The purpose of this approach is to advance the determination of causation from crude presumption toward refined substantive review, so as to strike a balance between protecting investors and defining reasonable liability boundaries for market participants.</w:t>
      </w:r>
    </w:p>
    <w:p w14:paraId="237C8A3C">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both"/>
        <w:textAlignment w:val="auto"/>
        <w:rPr>
          <w:rFonts w:hint="default" w:ascii="Times New Roman" w:hAnsi="Times New Roman" w:eastAsia="宋体" w:cs="Times New Roman"/>
          <w:bCs/>
          <w:sz w:val="24"/>
          <w:szCs w:val="24"/>
          <w:lang w:val="en-US" w:eastAsia="zh-CN"/>
        </w:rPr>
      </w:pPr>
      <w:r>
        <w:rPr>
          <w:rFonts w:hint="eastAsia" w:ascii="Times New Roman" w:hAnsi="Times New Roman" w:eastAsia="宋体" w:cs="Times New Roman"/>
          <w:b/>
          <w:bCs w:val="0"/>
          <w:sz w:val="24"/>
          <w:szCs w:val="24"/>
          <w:lang w:val="en-US" w:eastAsia="zh-CN"/>
        </w:rPr>
        <w:t>Key words</w:t>
      </w:r>
      <w:r>
        <w:rPr>
          <w:rFonts w:hint="eastAsia" w:ascii="Times New Roman" w:hAnsi="Times New Roman" w:eastAsia="宋体" w:cs="Times New Roman"/>
          <w:bCs/>
          <w:sz w:val="24"/>
          <w:szCs w:val="24"/>
          <w:lang w:val="en-US" w:eastAsia="zh-CN"/>
        </w:rPr>
        <w:t>:</w:t>
      </w:r>
      <w:r>
        <w:rPr>
          <w:rFonts w:hint="eastAsia" w:ascii="Times New Roman" w:hAnsi="Times New Roman" w:cs="Times New Roman"/>
          <w:bCs/>
          <w:sz w:val="24"/>
          <w:szCs w:val="24"/>
          <w:lang w:val="en-US" w:eastAsia="zh-CN"/>
        </w:rPr>
        <w:t xml:space="preserve"> </w:t>
      </w:r>
      <w:r>
        <w:rPr>
          <w:rFonts w:hint="eastAsia" w:ascii="Times New Roman" w:hAnsi="Times New Roman" w:eastAsia="宋体" w:cs="Times New Roman"/>
          <w:bCs/>
          <w:sz w:val="24"/>
          <w:szCs w:val="24"/>
          <w:lang w:val="en-US" w:eastAsia="zh-CN"/>
        </w:rPr>
        <w:t>Disputes over Liability for Misrepresentation in Securities;</w:t>
      </w:r>
      <w:r>
        <w:rPr>
          <w:rFonts w:hint="eastAsia" w:ascii="Times New Roman" w:hAnsi="Times New Roman" w:cs="Times New Roman"/>
          <w:bCs/>
          <w:sz w:val="24"/>
          <w:szCs w:val="24"/>
          <w:lang w:val="en-US" w:eastAsia="zh-CN"/>
        </w:rPr>
        <w:t xml:space="preserve"> </w:t>
      </w:r>
      <w:r>
        <w:rPr>
          <w:rFonts w:hint="eastAsia" w:ascii="Times New Roman" w:hAnsi="Times New Roman" w:eastAsia="宋体" w:cs="Times New Roman"/>
          <w:bCs/>
          <w:sz w:val="24"/>
          <w:szCs w:val="24"/>
          <w:lang w:val="en-US" w:eastAsia="zh-CN"/>
        </w:rPr>
        <w:t>Transaction Causation</w:t>
      </w:r>
      <w:r>
        <w:rPr>
          <w:rFonts w:hint="eastAsia" w:ascii="Times New Roman" w:hAnsi="Times New Roman" w:cs="Times New Roman"/>
          <w:bCs/>
          <w:sz w:val="24"/>
          <w:szCs w:val="24"/>
          <w:lang w:val="en-US" w:eastAsia="zh-CN"/>
        </w:rPr>
        <w:t xml:space="preserve">; </w:t>
      </w:r>
      <w:r>
        <w:rPr>
          <w:rFonts w:hint="eastAsia" w:ascii="Times New Roman" w:hAnsi="Times New Roman" w:eastAsia="宋体" w:cs="Times New Roman"/>
          <w:bCs/>
          <w:sz w:val="24"/>
          <w:szCs w:val="24"/>
          <w:lang w:val="en-US" w:eastAsia="zh-CN"/>
        </w:rPr>
        <w:t>Loss Causation</w:t>
      </w:r>
      <w:r>
        <w:rPr>
          <w:rFonts w:hint="eastAsia" w:ascii="Times New Roman" w:hAnsi="Times New Roman" w:cs="Times New Roman"/>
          <w:bCs/>
          <w:sz w:val="24"/>
          <w:szCs w:val="24"/>
          <w:lang w:val="en-US" w:eastAsia="zh-CN"/>
        </w:rPr>
        <w:t xml:space="preserve">; </w:t>
      </w:r>
      <w:r>
        <w:rPr>
          <w:rFonts w:hint="eastAsia" w:ascii="Times New Roman" w:hAnsi="Times New Roman" w:eastAsia="宋体" w:cs="Times New Roman"/>
          <w:bCs/>
          <w:sz w:val="24"/>
          <w:szCs w:val="24"/>
          <w:lang w:val="en-US" w:eastAsia="zh-CN"/>
        </w:rPr>
        <w:t>Empirical Analysis</w:t>
      </w:r>
      <w:r>
        <w:rPr>
          <w:rFonts w:hint="eastAsia" w:ascii="Times New Roman" w:hAnsi="Times New Roman" w:cs="Times New Roman"/>
          <w:bCs/>
          <w:sz w:val="24"/>
          <w:szCs w:val="24"/>
          <w:lang w:val="en-US" w:eastAsia="zh-CN"/>
        </w:rPr>
        <w:t>.</w:t>
      </w:r>
    </w:p>
    <w:p w14:paraId="14D0192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宋体" w:cs="Times New Roman"/>
          <w:bCs/>
          <w:sz w:val="24"/>
          <w:szCs w:val="24"/>
          <w:lang w:val="en-US" w:eastAsia="zh-CN"/>
        </w:rPr>
      </w:pPr>
    </w:p>
    <w:p w14:paraId="629F976F">
      <w:pPr>
        <w:rPr>
          <w:rFonts w:hint="eastAsia" w:ascii="Times New Roman" w:hAnsi="Times New Roman" w:eastAsia="宋体" w:cs="Times New Roman"/>
          <w:bCs/>
          <w:sz w:val="24"/>
          <w:szCs w:val="24"/>
          <w:lang w:val="en-US" w:eastAsia="zh-CN"/>
        </w:rPr>
      </w:pPr>
      <w:r>
        <w:rPr>
          <w:rFonts w:hint="eastAsia" w:ascii="Times New Roman" w:hAnsi="Times New Roman" w:eastAsia="宋体" w:cs="Times New Roman"/>
          <w:bCs/>
          <w:sz w:val="24"/>
          <w:szCs w:val="24"/>
          <w:lang w:val="en-US" w:eastAsia="zh-CN"/>
        </w:rPr>
        <w:br w:type="page"/>
      </w:r>
    </w:p>
    <w:sdt>
      <w:sdtPr>
        <w:rPr>
          <w:rFonts w:ascii="Times New Roman" w:hAnsi="Times New Roman" w:eastAsia="宋体" w:cstheme="minorBidi"/>
          <w:kern w:val="2"/>
          <w:sz w:val="21"/>
          <w:szCs w:val="24"/>
          <w:lang w:val="en-US" w:eastAsia="zh-CN" w:bidi="ar-SA"/>
        </w:rPr>
        <w:id w:val="147466426"/>
        <w15:color w:val="DBDBDB"/>
        <w:docPartObj>
          <w:docPartGallery w:val="Table of Contents"/>
          <w:docPartUnique/>
        </w:docPartObj>
      </w:sdtPr>
      <w:sdtEndPr>
        <w:rPr>
          <w:rFonts w:hint="eastAsia" w:ascii="Times New Roman" w:hAnsi="Times New Roman" w:eastAsia="宋体" w:cs="Times New Roman"/>
          <w:bCs w:val="0"/>
          <w:kern w:val="2"/>
          <w:sz w:val="24"/>
          <w:szCs w:val="32"/>
          <w:lang w:val="en-US" w:eastAsia="zh-CN" w:bidi="ar-SA"/>
        </w:rPr>
      </w:sdtEndPr>
      <w:sdtContent>
        <w:p w14:paraId="7D2A759B">
          <w:pPr>
            <w:spacing w:before="0" w:beforeLines="0" w:after="0" w:afterLines="0" w:line="240" w:lineRule="auto"/>
            <w:ind w:left="0" w:leftChars="0" w:right="0" w:rightChars="0" w:firstLine="0" w:firstLineChars="0"/>
            <w:jc w:val="center"/>
            <w:rPr>
              <w:rFonts w:hint="eastAsia" w:ascii="Times New Roman" w:hAnsi="Times New Roman" w:eastAsia="宋体" w:cs="Times New Roman"/>
              <w:b/>
              <w:bCs w:val="0"/>
              <w:sz w:val="32"/>
              <w:szCs w:val="32"/>
              <w:lang w:val="en-US" w:eastAsia="zh-CN"/>
            </w:rPr>
          </w:pPr>
          <w:r>
            <w:rPr>
              <w:rFonts w:hint="eastAsia" w:ascii="Times New Roman" w:hAnsi="Times New Roman" w:eastAsia="宋体" w:cs="Times New Roman"/>
              <w:b/>
              <w:bCs w:val="0"/>
              <w:sz w:val="32"/>
              <w:szCs w:val="32"/>
              <w:lang w:val="en-US" w:eastAsia="zh-CN"/>
            </w:rPr>
            <w:t>目</w:t>
          </w:r>
          <w:r>
            <w:rPr>
              <w:rFonts w:hint="eastAsia" w:ascii="Times New Roman" w:hAnsi="Times New Roman" w:cs="Times New Roman"/>
              <w:b/>
              <w:bCs w:val="0"/>
              <w:sz w:val="32"/>
              <w:szCs w:val="32"/>
              <w:lang w:val="en-US" w:eastAsia="zh-CN"/>
            </w:rPr>
            <w:t xml:space="preserve">  </w:t>
          </w:r>
          <w:r>
            <w:rPr>
              <w:rFonts w:hint="eastAsia" w:ascii="Times New Roman" w:hAnsi="Times New Roman" w:eastAsia="宋体" w:cs="Times New Roman"/>
              <w:b/>
              <w:bCs w:val="0"/>
              <w:sz w:val="32"/>
              <w:szCs w:val="32"/>
              <w:lang w:val="en-US" w:eastAsia="zh-CN"/>
            </w:rPr>
            <w:t>录</w:t>
          </w:r>
        </w:p>
        <w:p w14:paraId="27FA9B1A">
          <w:pPr>
            <w:pStyle w:val="11"/>
            <w:tabs>
              <w:tab w:val="right" w:leader="dot" w:pos="8306"/>
            </w:tabs>
            <w:rPr>
              <w:rFonts w:ascii="Times New Roman" w:hAnsi="Times New Roman"/>
            </w:rPr>
          </w:pPr>
          <w:bookmarkStart w:id="5" w:name="_Toc12748"/>
          <w:r>
            <w:rPr>
              <w:rFonts w:ascii="Times New Roman" w:hAnsi="Times New Roman"/>
            </w:rPr>
            <w:fldChar w:fldCharType="begin"/>
          </w:r>
          <w:r>
            <w:rPr>
              <w:rFonts w:ascii="Times New Roman" w:hAnsi="Times New Roman"/>
            </w:rPr>
            <w:instrText xml:space="preserve">TOC \o "1-3" \h \u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HYPERLINK \l _Toc2027 </w:instrText>
          </w:r>
          <w:r>
            <w:rPr>
              <w:rFonts w:ascii="Times New Roman" w:hAnsi="Times New Roman"/>
            </w:rPr>
            <w:fldChar w:fldCharType="separate"/>
          </w:r>
          <w:r>
            <w:rPr>
              <w:rFonts w:hint="eastAsia" w:ascii="Times New Roman" w:hAnsi="Times New Roman" w:eastAsia="宋体" w:cs="宋体"/>
              <w:bCs/>
              <w:szCs w:val="32"/>
              <w:lang w:val="en-US" w:eastAsia="zh-CN"/>
            </w:rPr>
            <w:t>摘</w:t>
          </w:r>
          <w:r>
            <w:rPr>
              <w:rFonts w:hint="eastAsia" w:ascii="Times New Roman" w:hAnsi="Times New Roman" w:cs="宋体"/>
              <w:bCs/>
              <w:szCs w:val="32"/>
              <w:lang w:val="en-US" w:eastAsia="zh-CN"/>
            </w:rPr>
            <w:t xml:space="preserve">  </w:t>
          </w:r>
          <w:r>
            <w:rPr>
              <w:rFonts w:hint="eastAsia" w:ascii="Times New Roman" w:hAnsi="Times New Roman" w:eastAsia="宋体" w:cs="宋体"/>
              <w:bCs/>
              <w:szCs w:val="32"/>
              <w:lang w:val="en-US" w:eastAsia="zh-CN"/>
            </w:rPr>
            <w:t>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_Toc2027 \h </w:instrText>
          </w:r>
          <w:r>
            <w:rPr>
              <w:rFonts w:ascii="Times New Roman" w:hAnsi="Times New Roman"/>
            </w:rPr>
            <w:fldChar w:fldCharType="separate"/>
          </w:r>
          <w:r>
            <w:rPr>
              <w:rFonts w:ascii="Times New Roman" w:hAnsi="Times New Roman"/>
            </w:rPr>
            <w:t>II</w:t>
          </w:r>
          <w:r>
            <w:rPr>
              <w:rFonts w:ascii="Times New Roman" w:hAnsi="Times New Roman"/>
            </w:rPr>
            <w:fldChar w:fldCharType="end"/>
          </w:r>
          <w:r>
            <w:rPr>
              <w:rFonts w:ascii="Times New Roman" w:hAnsi="Times New Roman"/>
            </w:rPr>
            <w:fldChar w:fldCharType="end"/>
          </w:r>
        </w:p>
        <w:p w14:paraId="0B77D9F8">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_Toc12237 </w:instrText>
          </w:r>
          <w:r>
            <w:rPr>
              <w:rFonts w:ascii="Times New Roman" w:hAnsi="Times New Roman"/>
            </w:rPr>
            <w:fldChar w:fldCharType="separate"/>
          </w:r>
          <w:r>
            <w:rPr>
              <w:rFonts w:hint="eastAsia" w:ascii="Times New Roman" w:hAnsi="Times New Roman" w:eastAsia="宋体" w:cs="Times New Roman"/>
              <w:bCs/>
              <w:szCs w:val="32"/>
            </w:rPr>
            <w:t>Abstract</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_Toc12237 \h </w:instrText>
          </w:r>
          <w:r>
            <w:rPr>
              <w:rFonts w:ascii="Times New Roman" w:hAnsi="Times New Roman"/>
            </w:rPr>
            <w:fldChar w:fldCharType="separate"/>
          </w:r>
          <w:r>
            <w:rPr>
              <w:rFonts w:ascii="Times New Roman" w:hAnsi="Times New Roman"/>
            </w:rPr>
            <w:t>III</w:t>
          </w:r>
          <w:r>
            <w:rPr>
              <w:rFonts w:ascii="Times New Roman" w:hAnsi="Times New Roman"/>
            </w:rPr>
            <w:fldChar w:fldCharType="end"/>
          </w:r>
          <w:r>
            <w:rPr>
              <w:rFonts w:ascii="Times New Roman" w:hAnsi="Times New Roman"/>
            </w:rPr>
            <w:fldChar w:fldCharType="end"/>
          </w:r>
        </w:p>
        <w:p w14:paraId="59083FB5">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_Toc27493 </w:instrText>
          </w:r>
          <w:r>
            <w:rPr>
              <w:rFonts w:ascii="Times New Roman" w:hAnsi="Times New Roman"/>
            </w:rPr>
            <w:fldChar w:fldCharType="separate"/>
          </w:r>
          <w:r>
            <w:rPr>
              <w:rFonts w:hint="eastAsia" w:ascii="Times New Roman" w:hAnsi="Times New Roman"/>
              <w:lang w:val="en-US" w:eastAsia="zh-CN"/>
            </w:rPr>
            <w:t>一、绪论</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_Toc27493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6DF751A3">
          <w:pPr>
            <w:pStyle w:val="13"/>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_Toc32596 </w:instrText>
          </w:r>
          <w:r>
            <w:rPr>
              <w:rFonts w:ascii="Times New Roman" w:hAnsi="Times New Roman"/>
            </w:rPr>
            <w:fldChar w:fldCharType="separate"/>
          </w:r>
          <w:r>
            <w:rPr>
              <w:rFonts w:hint="eastAsia" w:ascii="Times New Roman" w:hAnsi="Times New Roman"/>
              <w:lang w:val="en-US" w:eastAsia="zh-CN"/>
            </w:rPr>
            <w:t>（一）研究背景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_Toc32596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5EB93F1D">
          <w:pPr>
            <w:pStyle w:val="13"/>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_Toc3601 </w:instrText>
          </w:r>
          <w:r>
            <w:rPr>
              <w:rFonts w:ascii="Times New Roman" w:hAnsi="Times New Roman"/>
            </w:rPr>
            <w:fldChar w:fldCharType="separate"/>
          </w:r>
          <w:r>
            <w:rPr>
              <w:rFonts w:hint="eastAsia" w:ascii="Times New Roman" w:hAnsi="Times New Roman"/>
              <w:lang w:val="en-US" w:eastAsia="zh-CN"/>
            </w:rPr>
            <w:t>（二）研究价值</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_Toc3601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5A016EFF">
          <w:pPr>
            <w:pStyle w:val="13"/>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_Toc26159 </w:instrText>
          </w:r>
          <w:r>
            <w:rPr>
              <w:rFonts w:ascii="Times New Roman" w:hAnsi="Times New Roman"/>
            </w:rPr>
            <w:fldChar w:fldCharType="separate"/>
          </w:r>
          <w:r>
            <w:rPr>
              <w:rFonts w:hint="eastAsia" w:ascii="Times New Roman" w:hAnsi="Times New Roman"/>
              <w:lang w:val="en-US" w:eastAsia="zh-CN"/>
            </w:rPr>
            <w:t>（三）研究方法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_Toc26159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427FB1C7">
          <w:pPr>
            <w:pStyle w:val="13"/>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_Toc25855 </w:instrText>
          </w:r>
          <w:r>
            <w:rPr>
              <w:rFonts w:ascii="Times New Roman" w:hAnsi="Times New Roman"/>
            </w:rPr>
            <w:fldChar w:fldCharType="separate"/>
          </w:r>
          <w:r>
            <w:rPr>
              <w:rFonts w:hint="default" w:ascii="Times New Roman" w:hAnsi="Times New Roman"/>
              <w:lang w:val="en-US" w:eastAsia="zh-CN"/>
            </w:rPr>
            <w:t>（</w:t>
          </w:r>
          <w:r>
            <w:rPr>
              <w:rFonts w:hint="eastAsia" w:ascii="Times New Roman" w:hAnsi="Times New Roman"/>
              <w:lang w:val="en-US" w:eastAsia="zh-CN"/>
            </w:rPr>
            <w:t>四</w:t>
          </w:r>
          <w:r>
            <w:rPr>
              <w:rFonts w:hint="default" w:ascii="Times New Roman" w:hAnsi="Times New Roman"/>
              <w:lang w:val="en-US" w:eastAsia="zh-CN"/>
            </w:rPr>
            <w:t>）国内研究综述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_Toc25855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4693CF87">
          <w:pPr>
            <w:pStyle w:val="13"/>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_Toc22146 </w:instrText>
          </w:r>
          <w:r>
            <w:rPr>
              <w:rFonts w:ascii="Times New Roman" w:hAnsi="Times New Roman"/>
            </w:rPr>
            <w:fldChar w:fldCharType="separate"/>
          </w:r>
          <w:r>
            <w:rPr>
              <w:rFonts w:hint="default" w:ascii="Times New Roman" w:hAnsi="Times New Roman"/>
              <w:lang w:val="en-US" w:eastAsia="zh-CN"/>
            </w:rPr>
            <w:t>（</w:t>
          </w:r>
          <w:r>
            <w:rPr>
              <w:rFonts w:hint="eastAsia" w:ascii="Times New Roman" w:hAnsi="Times New Roman"/>
              <w:lang w:val="en-US" w:eastAsia="zh-CN"/>
            </w:rPr>
            <w:t>五</w:t>
          </w:r>
          <w:r>
            <w:rPr>
              <w:rFonts w:hint="default" w:ascii="Times New Roman" w:hAnsi="Times New Roman"/>
              <w:lang w:val="en-US" w:eastAsia="zh-CN"/>
            </w:rPr>
            <w:t>）国外研究综述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_Toc22146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5D730865">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_Toc28116 </w:instrText>
          </w:r>
          <w:r>
            <w:rPr>
              <w:rFonts w:ascii="Times New Roman" w:hAnsi="Times New Roman"/>
            </w:rPr>
            <w:fldChar w:fldCharType="separate"/>
          </w:r>
          <w:r>
            <w:rPr>
              <w:rFonts w:hint="eastAsia" w:ascii="Times New Roman" w:hAnsi="Times New Roman"/>
              <w:lang w:val="en-US" w:eastAsia="zh-CN"/>
            </w:rPr>
            <w:t>二、</w:t>
          </w:r>
          <w:r>
            <w:rPr>
              <w:rFonts w:hint="eastAsia" w:ascii="Times New Roman" w:hAnsi="Times New Roman"/>
              <w:highlight w:val="none"/>
              <w:lang w:val="en-US" w:eastAsia="zh-CN"/>
            </w:rPr>
            <w:t>证券虚假陈述责任纠纷因果关系认定的核心概念及路径演进</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_Toc28116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14:paraId="51A75EA0">
          <w:pPr>
            <w:pStyle w:val="13"/>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_Toc828 </w:instrText>
          </w:r>
          <w:r>
            <w:rPr>
              <w:rFonts w:ascii="Times New Roman" w:hAnsi="Times New Roman"/>
            </w:rPr>
            <w:fldChar w:fldCharType="separate"/>
          </w:r>
          <w:r>
            <w:rPr>
              <w:rFonts w:hint="eastAsia" w:ascii="Times New Roman" w:hAnsi="Times New Roman"/>
            </w:rPr>
            <w:t>（一）</w:t>
          </w:r>
          <w:r>
            <w:rPr>
              <w:rFonts w:hint="eastAsia" w:ascii="Times New Roman" w:hAnsi="Times New Roman"/>
              <w:lang w:val="en-US" w:eastAsia="zh-CN"/>
            </w:rPr>
            <w:t>核心概念界定</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_Toc828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14:paraId="3767597B">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_Toc5143 </w:instrText>
          </w:r>
          <w:r>
            <w:rPr>
              <w:rFonts w:ascii="Times New Roman" w:hAnsi="Times New Roman"/>
            </w:rPr>
            <w:fldChar w:fldCharType="separate"/>
          </w:r>
          <w:r>
            <w:rPr>
              <w:rFonts w:hint="default" w:ascii="Times New Roman" w:hAnsi="Times New Roman"/>
              <w:lang w:val="en-US" w:eastAsia="zh-CN"/>
            </w:rPr>
            <w:t>1.证券虚假陈述的界定与类型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_Toc5143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14:paraId="5D2CD13F">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_Toc1214 </w:instrText>
          </w:r>
          <w:r>
            <w:rPr>
              <w:rFonts w:ascii="Times New Roman" w:hAnsi="Times New Roman"/>
            </w:rPr>
            <w:fldChar w:fldCharType="separate"/>
          </w:r>
          <w:r>
            <w:rPr>
              <w:rFonts w:hint="default" w:ascii="Times New Roman" w:hAnsi="Times New Roman"/>
              <w:lang w:val="en-US" w:eastAsia="zh-CN"/>
            </w:rPr>
            <w:t>2.因果关系在虚假陈述责任认定中的核心地位</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_Toc1214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14:paraId="2EC63A21">
          <w:pPr>
            <w:pStyle w:val="13"/>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_Toc17874 </w:instrText>
          </w:r>
          <w:r>
            <w:rPr>
              <w:rFonts w:ascii="Times New Roman" w:hAnsi="Times New Roman"/>
            </w:rPr>
            <w:fldChar w:fldCharType="separate"/>
          </w:r>
          <w:r>
            <w:rPr>
              <w:rFonts w:hint="eastAsia" w:ascii="Times New Roman" w:hAnsi="Times New Roman"/>
              <w:lang w:eastAsia="zh-CN"/>
            </w:rPr>
            <w:t>（</w:t>
          </w:r>
          <w:r>
            <w:rPr>
              <w:rFonts w:hint="eastAsia" w:ascii="Times New Roman" w:hAnsi="Times New Roman"/>
            </w:rPr>
            <w:t>二）</w:t>
          </w:r>
          <w:r>
            <w:rPr>
              <w:rFonts w:hint="eastAsia" w:ascii="Times New Roman" w:hAnsi="Times New Roman"/>
              <w:lang w:val="en-US" w:eastAsia="zh-CN"/>
            </w:rPr>
            <w:t>新旧司法解释关于因果关系认定的路径演进</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_Toc17874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3CFA62E7">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_Toc4970 </w:instrText>
          </w:r>
          <w:r>
            <w:rPr>
              <w:rFonts w:ascii="Times New Roman" w:hAnsi="Times New Roman"/>
            </w:rPr>
            <w:fldChar w:fldCharType="separate"/>
          </w:r>
          <w:r>
            <w:rPr>
              <w:rFonts w:hint="eastAsia" w:ascii="Times New Roman" w:hAnsi="Times New Roman"/>
              <w:lang w:val="en-US" w:eastAsia="zh-CN"/>
            </w:rPr>
            <w:t>1.2003年司法解释中关于因果关系的认定机制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_Toc4970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5CD23D97">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_Toc23130 </w:instrText>
          </w:r>
          <w:r>
            <w:rPr>
              <w:rFonts w:ascii="Times New Roman" w:hAnsi="Times New Roman"/>
            </w:rPr>
            <w:fldChar w:fldCharType="separate"/>
          </w:r>
          <w:r>
            <w:rPr>
              <w:rFonts w:hint="eastAsia" w:ascii="Times New Roman" w:hAnsi="Times New Roman"/>
              <w:lang w:val="en-US" w:eastAsia="zh-CN"/>
            </w:rPr>
            <w:t>2.2022年虚假陈述解释中</w:t>
          </w:r>
          <w:r>
            <w:rPr>
              <w:rFonts w:hint="eastAsia" w:ascii="Times New Roman" w:hAnsi="Times New Roman"/>
            </w:rPr>
            <w:t>关于因果关系的认定机制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_Toc23130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14:paraId="64260CE3">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_Toc4052 </w:instrText>
          </w:r>
          <w:r>
            <w:rPr>
              <w:rFonts w:ascii="Times New Roman" w:hAnsi="Times New Roman"/>
            </w:rPr>
            <w:fldChar w:fldCharType="separate"/>
          </w:r>
          <w:r>
            <w:rPr>
              <w:rFonts w:hint="eastAsia" w:ascii="Times New Roman" w:hAnsi="Times New Roman"/>
              <w:lang w:val="en-US" w:eastAsia="zh-CN"/>
            </w:rPr>
            <w:t>三</w:t>
          </w:r>
          <w:r>
            <w:rPr>
              <w:rFonts w:hint="default" w:ascii="Times New Roman" w:hAnsi="Times New Roman"/>
              <w:lang w:val="en-US" w:eastAsia="zh-CN"/>
            </w:rPr>
            <w:t>、证券虚假陈述责任纠纷因果关系认定的</w:t>
          </w:r>
          <w:r>
            <w:rPr>
              <w:rFonts w:hint="eastAsia" w:ascii="Times New Roman" w:hAnsi="Times New Roman"/>
              <w:lang w:val="en-US" w:eastAsia="zh-CN"/>
            </w:rPr>
            <w:t>司法现状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_Toc4052 \h </w:instrText>
          </w:r>
          <w:r>
            <w:rPr>
              <w:rFonts w:ascii="Times New Roman" w:hAnsi="Times New Roman"/>
            </w:rPr>
            <w:fldChar w:fldCharType="separate"/>
          </w:r>
          <w:r>
            <w:rPr>
              <w:rFonts w:ascii="Times New Roman" w:hAnsi="Times New Roman"/>
            </w:rPr>
            <w:t>13</w:t>
          </w:r>
          <w:r>
            <w:rPr>
              <w:rFonts w:ascii="Times New Roman" w:hAnsi="Times New Roman"/>
            </w:rPr>
            <w:fldChar w:fldCharType="end"/>
          </w:r>
          <w:r>
            <w:rPr>
              <w:rFonts w:ascii="Times New Roman" w:hAnsi="Times New Roman"/>
            </w:rPr>
            <w:fldChar w:fldCharType="end"/>
          </w:r>
        </w:p>
        <w:p w14:paraId="4E8F1286">
          <w:pPr>
            <w:pStyle w:val="13"/>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_Toc17467 </w:instrText>
          </w:r>
          <w:r>
            <w:rPr>
              <w:rFonts w:ascii="Times New Roman" w:hAnsi="Times New Roman"/>
            </w:rPr>
            <w:fldChar w:fldCharType="separate"/>
          </w:r>
          <w:r>
            <w:rPr>
              <w:rFonts w:hint="default" w:ascii="Times New Roman" w:hAnsi="Times New Roman"/>
              <w:lang w:val="en-US" w:eastAsia="zh-CN"/>
            </w:rPr>
            <w:t>（一）样本案例的基础特征分析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_Toc17467 \h </w:instrText>
          </w:r>
          <w:r>
            <w:rPr>
              <w:rFonts w:ascii="Times New Roman" w:hAnsi="Times New Roman"/>
            </w:rPr>
            <w:fldChar w:fldCharType="separate"/>
          </w:r>
          <w:r>
            <w:rPr>
              <w:rFonts w:ascii="Times New Roman" w:hAnsi="Times New Roman"/>
            </w:rPr>
            <w:t>13</w:t>
          </w:r>
          <w:r>
            <w:rPr>
              <w:rFonts w:ascii="Times New Roman" w:hAnsi="Times New Roman"/>
            </w:rPr>
            <w:fldChar w:fldCharType="end"/>
          </w:r>
          <w:r>
            <w:rPr>
              <w:rFonts w:ascii="Times New Roman" w:hAnsi="Times New Roman"/>
            </w:rPr>
            <w:fldChar w:fldCharType="end"/>
          </w:r>
        </w:p>
        <w:p w14:paraId="5122D05B">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_Toc3448 </w:instrText>
          </w:r>
          <w:r>
            <w:rPr>
              <w:rFonts w:ascii="Times New Roman" w:hAnsi="Times New Roman"/>
            </w:rPr>
            <w:fldChar w:fldCharType="separate"/>
          </w:r>
          <w:r>
            <w:rPr>
              <w:rFonts w:hint="eastAsia" w:ascii="Times New Roman" w:hAnsi="Times New Roman"/>
              <w:lang w:val="en-US" w:eastAsia="zh-CN"/>
            </w:rPr>
            <w:t>1.</w:t>
          </w:r>
          <w:r>
            <w:rPr>
              <w:rFonts w:hint="default" w:ascii="Times New Roman" w:hAnsi="Times New Roman"/>
              <w:lang w:val="en-US" w:eastAsia="zh-CN"/>
            </w:rPr>
            <w:t>改判案件的类型化</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_Toc3448 \h </w:instrText>
          </w:r>
          <w:r>
            <w:rPr>
              <w:rFonts w:ascii="Times New Roman" w:hAnsi="Times New Roman"/>
            </w:rPr>
            <w:fldChar w:fldCharType="separate"/>
          </w:r>
          <w:r>
            <w:rPr>
              <w:rFonts w:ascii="Times New Roman" w:hAnsi="Times New Roman"/>
            </w:rPr>
            <w:t>13</w:t>
          </w:r>
          <w:r>
            <w:rPr>
              <w:rFonts w:ascii="Times New Roman" w:hAnsi="Times New Roman"/>
            </w:rPr>
            <w:fldChar w:fldCharType="end"/>
          </w:r>
          <w:r>
            <w:rPr>
              <w:rFonts w:ascii="Times New Roman" w:hAnsi="Times New Roman"/>
            </w:rPr>
            <w:fldChar w:fldCharType="end"/>
          </w:r>
        </w:p>
        <w:p w14:paraId="50738B20">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_Toc3992 </w:instrText>
          </w:r>
          <w:r>
            <w:rPr>
              <w:rFonts w:ascii="Times New Roman" w:hAnsi="Times New Roman"/>
            </w:rPr>
            <w:fldChar w:fldCharType="separate"/>
          </w:r>
          <w:r>
            <w:rPr>
              <w:rFonts w:hint="eastAsia" w:ascii="Times New Roman" w:hAnsi="Times New Roman"/>
              <w:lang w:val="en-US" w:eastAsia="zh-CN"/>
            </w:rPr>
            <w:t>2.二审</w:t>
          </w:r>
          <w:r>
            <w:rPr>
              <w:rFonts w:hint="default" w:ascii="Times New Roman" w:hAnsi="Times New Roman"/>
              <w:lang w:val="en-US" w:eastAsia="zh-CN"/>
            </w:rPr>
            <w:t>争议焦点的分布频率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_Toc3992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14:paraId="0C7C6ADE">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_Toc31775 </w:instrText>
          </w:r>
          <w:r>
            <w:rPr>
              <w:rFonts w:ascii="Times New Roman" w:hAnsi="Times New Roman"/>
            </w:rPr>
            <w:fldChar w:fldCharType="separate"/>
          </w:r>
          <w:r>
            <w:rPr>
              <w:rFonts w:hint="eastAsia" w:ascii="Times New Roman" w:hAnsi="Times New Roman"/>
              <w:lang w:val="en-US" w:eastAsia="zh-CN"/>
            </w:rPr>
            <w:t>3.因果关系认定的细化</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_Toc31775 \h </w:instrText>
          </w:r>
          <w:r>
            <w:rPr>
              <w:rFonts w:ascii="Times New Roman" w:hAnsi="Times New Roman"/>
            </w:rPr>
            <w:fldChar w:fldCharType="separate"/>
          </w:r>
          <w:r>
            <w:rPr>
              <w:rFonts w:ascii="Times New Roman" w:hAnsi="Times New Roman"/>
            </w:rPr>
            <w:t>17</w:t>
          </w:r>
          <w:r>
            <w:rPr>
              <w:rFonts w:ascii="Times New Roman" w:hAnsi="Times New Roman"/>
            </w:rPr>
            <w:fldChar w:fldCharType="end"/>
          </w:r>
          <w:r>
            <w:rPr>
              <w:rFonts w:ascii="Times New Roman" w:hAnsi="Times New Roman"/>
            </w:rPr>
            <w:fldChar w:fldCharType="end"/>
          </w:r>
        </w:p>
        <w:p w14:paraId="1753A88F">
          <w:pPr>
            <w:pStyle w:val="13"/>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_Toc30852 </w:instrText>
          </w:r>
          <w:r>
            <w:rPr>
              <w:rFonts w:ascii="Times New Roman" w:hAnsi="Times New Roman"/>
            </w:rPr>
            <w:fldChar w:fldCharType="separate"/>
          </w:r>
          <w:r>
            <w:rPr>
              <w:rFonts w:hint="default" w:ascii="Times New Roman" w:hAnsi="Times New Roman"/>
              <w:lang w:val="en-US" w:eastAsia="zh-CN"/>
            </w:rPr>
            <w:t>（二）因果关系认定的实证梳理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_Toc30852 \h </w:instrText>
          </w:r>
          <w:r>
            <w:rPr>
              <w:rFonts w:ascii="Times New Roman" w:hAnsi="Times New Roman"/>
            </w:rPr>
            <w:fldChar w:fldCharType="separate"/>
          </w:r>
          <w:r>
            <w:rPr>
              <w:rFonts w:ascii="Times New Roman" w:hAnsi="Times New Roman"/>
            </w:rPr>
            <w:t>19</w:t>
          </w:r>
          <w:r>
            <w:rPr>
              <w:rFonts w:ascii="Times New Roman" w:hAnsi="Times New Roman"/>
            </w:rPr>
            <w:fldChar w:fldCharType="end"/>
          </w:r>
          <w:r>
            <w:rPr>
              <w:rFonts w:ascii="Times New Roman" w:hAnsi="Times New Roman"/>
            </w:rPr>
            <w:fldChar w:fldCharType="end"/>
          </w:r>
        </w:p>
        <w:p w14:paraId="548B83A2">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_Toc11604 </w:instrText>
          </w:r>
          <w:r>
            <w:rPr>
              <w:rFonts w:ascii="Times New Roman" w:hAnsi="Times New Roman"/>
            </w:rPr>
            <w:fldChar w:fldCharType="separate"/>
          </w:r>
          <w:r>
            <w:rPr>
              <w:rFonts w:hint="eastAsia" w:ascii="Times New Roman" w:hAnsi="Times New Roman"/>
              <w:lang w:val="en-US" w:eastAsia="zh-CN"/>
            </w:rPr>
            <w:t>1.</w:t>
          </w:r>
          <w:r>
            <w:rPr>
              <w:rFonts w:hint="default" w:ascii="Times New Roman" w:hAnsi="Times New Roman"/>
              <w:lang w:val="en-US" w:eastAsia="zh-CN"/>
            </w:rPr>
            <w:t>交易因果关系的认定：从</w:t>
          </w:r>
          <w:r>
            <w:rPr>
              <w:rFonts w:hint="eastAsia" w:ascii="Times New Roman" w:hAnsi="Times New Roman"/>
              <w:lang w:val="en-US" w:eastAsia="zh-CN"/>
            </w:rPr>
            <w:t>“信赖推定”</w:t>
          </w:r>
          <w:r>
            <w:rPr>
              <w:rFonts w:hint="default" w:ascii="Times New Roman" w:hAnsi="Times New Roman"/>
              <w:lang w:val="en-US" w:eastAsia="zh-CN"/>
            </w:rPr>
            <w:t>到</w:t>
          </w:r>
          <w:r>
            <w:rPr>
              <w:rFonts w:hint="eastAsia" w:ascii="Times New Roman" w:hAnsi="Times New Roman"/>
              <w:lang w:val="en-US" w:eastAsia="zh-CN"/>
            </w:rPr>
            <w:t>“</w:t>
          </w:r>
          <w:r>
            <w:rPr>
              <w:rFonts w:hint="default" w:ascii="Times New Roman" w:hAnsi="Times New Roman"/>
              <w:lang w:val="en-US" w:eastAsia="zh-CN"/>
            </w:rPr>
            <w:t>可抗辩的推定</w:t>
          </w:r>
          <w:r>
            <w:rPr>
              <w:rFonts w:hint="eastAsia" w:ascii="Times New Roman" w:hAnsi="Times New Roman"/>
              <w:lang w:val="en-US" w:eastAsia="zh-CN"/>
            </w:rPr>
            <w:t>”</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_Toc11604 \h </w:instrText>
          </w:r>
          <w:r>
            <w:rPr>
              <w:rFonts w:ascii="Times New Roman" w:hAnsi="Times New Roman"/>
            </w:rPr>
            <w:fldChar w:fldCharType="separate"/>
          </w:r>
          <w:r>
            <w:rPr>
              <w:rFonts w:ascii="Times New Roman" w:hAnsi="Times New Roman"/>
            </w:rPr>
            <w:t>19</w:t>
          </w:r>
          <w:r>
            <w:rPr>
              <w:rFonts w:ascii="Times New Roman" w:hAnsi="Times New Roman"/>
            </w:rPr>
            <w:fldChar w:fldCharType="end"/>
          </w:r>
          <w:r>
            <w:rPr>
              <w:rFonts w:ascii="Times New Roman" w:hAnsi="Times New Roman"/>
            </w:rPr>
            <w:fldChar w:fldCharType="end"/>
          </w:r>
        </w:p>
        <w:p w14:paraId="70036EE0">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_Toc282 </w:instrText>
          </w:r>
          <w:r>
            <w:rPr>
              <w:rFonts w:ascii="Times New Roman" w:hAnsi="Times New Roman"/>
            </w:rPr>
            <w:fldChar w:fldCharType="separate"/>
          </w:r>
          <w:r>
            <w:rPr>
              <w:rFonts w:hint="eastAsia" w:ascii="Times New Roman" w:hAnsi="Times New Roman"/>
              <w:lang w:val="en-US" w:eastAsia="zh-CN"/>
            </w:rPr>
            <w:t>2.</w:t>
          </w:r>
          <w:r>
            <w:rPr>
              <w:rFonts w:hint="default" w:ascii="Times New Roman" w:hAnsi="Times New Roman"/>
              <w:lang w:val="en-US" w:eastAsia="zh-CN"/>
            </w:rPr>
            <w:t>损失因果关系的认定：风险扣除与多因一果的处理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_Toc282 \h </w:instrText>
          </w:r>
          <w:r>
            <w:rPr>
              <w:rFonts w:ascii="Times New Roman" w:hAnsi="Times New Roman"/>
            </w:rPr>
            <w:fldChar w:fldCharType="separate"/>
          </w:r>
          <w:r>
            <w:rPr>
              <w:rFonts w:ascii="Times New Roman" w:hAnsi="Times New Roman"/>
            </w:rPr>
            <w:t>21</w:t>
          </w:r>
          <w:r>
            <w:rPr>
              <w:rFonts w:ascii="Times New Roman" w:hAnsi="Times New Roman"/>
            </w:rPr>
            <w:fldChar w:fldCharType="end"/>
          </w:r>
          <w:r>
            <w:rPr>
              <w:rFonts w:ascii="Times New Roman" w:hAnsi="Times New Roman"/>
            </w:rPr>
            <w:fldChar w:fldCharType="end"/>
          </w:r>
        </w:p>
        <w:p w14:paraId="7323CE37">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_Toc7831 </w:instrText>
          </w:r>
          <w:r>
            <w:rPr>
              <w:rFonts w:ascii="Times New Roman" w:hAnsi="Times New Roman"/>
            </w:rPr>
            <w:fldChar w:fldCharType="separate"/>
          </w:r>
          <w:r>
            <w:rPr>
              <w:rFonts w:hint="eastAsia" w:ascii="Times New Roman" w:hAnsi="Times New Roman"/>
              <w:lang w:val="en-US" w:eastAsia="zh-CN"/>
            </w:rPr>
            <w:t xml:space="preserve">四、 </w:t>
          </w:r>
          <w:r>
            <w:rPr>
              <w:rFonts w:hint="default" w:ascii="Times New Roman" w:hAnsi="Times New Roman"/>
              <w:highlight w:val="none"/>
              <w:lang w:val="en-US" w:eastAsia="zh-CN"/>
            </w:rPr>
            <w:t>证券虚假陈述责任纠纷因果关系认定的实践困境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_Toc7831 \h </w:instrText>
          </w:r>
          <w:r>
            <w:rPr>
              <w:rFonts w:ascii="Times New Roman" w:hAnsi="Times New Roman"/>
            </w:rPr>
            <w:fldChar w:fldCharType="separate"/>
          </w:r>
          <w:r>
            <w:rPr>
              <w:rFonts w:ascii="Times New Roman" w:hAnsi="Times New Roman"/>
            </w:rPr>
            <w:t>24</w:t>
          </w:r>
          <w:r>
            <w:rPr>
              <w:rFonts w:ascii="Times New Roman" w:hAnsi="Times New Roman"/>
            </w:rPr>
            <w:fldChar w:fldCharType="end"/>
          </w:r>
          <w:r>
            <w:rPr>
              <w:rFonts w:ascii="Times New Roman" w:hAnsi="Times New Roman"/>
            </w:rPr>
            <w:fldChar w:fldCharType="end"/>
          </w:r>
        </w:p>
        <w:p w14:paraId="3F33E507">
          <w:pPr>
            <w:pStyle w:val="13"/>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_Toc28000 </w:instrText>
          </w:r>
          <w:r>
            <w:rPr>
              <w:rFonts w:ascii="Times New Roman" w:hAnsi="Times New Roman"/>
            </w:rPr>
            <w:fldChar w:fldCharType="separate"/>
          </w:r>
          <w:r>
            <w:rPr>
              <w:rFonts w:hint="eastAsia" w:ascii="Times New Roman" w:hAnsi="Times New Roman"/>
              <w:lang w:val="en-US" w:eastAsia="zh-CN"/>
            </w:rPr>
            <w:t>（一）交易因果关系认定：“信赖推定”原则适用边界不一</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_Toc28000 \h </w:instrText>
          </w:r>
          <w:r>
            <w:rPr>
              <w:rFonts w:ascii="Times New Roman" w:hAnsi="Times New Roman"/>
            </w:rPr>
            <w:fldChar w:fldCharType="separate"/>
          </w:r>
          <w:r>
            <w:rPr>
              <w:rFonts w:ascii="Times New Roman" w:hAnsi="Times New Roman"/>
            </w:rPr>
            <w:t>24</w:t>
          </w:r>
          <w:r>
            <w:rPr>
              <w:rFonts w:ascii="Times New Roman" w:hAnsi="Times New Roman"/>
            </w:rPr>
            <w:fldChar w:fldCharType="end"/>
          </w:r>
          <w:r>
            <w:rPr>
              <w:rFonts w:ascii="Times New Roman" w:hAnsi="Times New Roman"/>
            </w:rPr>
            <w:fldChar w:fldCharType="end"/>
          </w:r>
        </w:p>
        <w:p w14:paraId="0496AED9">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_Toc30267 </w:instrText>
          </w:r>
          <w:r>
            <w:rPr>
              <w:rFonts w:ascii="Times New Roman" w:hAnsi="Times New Roman"/>
            </w:rPr>
            <w:fldChar w:fldCharType="separate"/>
          </w:r>
          <w:r>
            <w:rPr>
              <w:rFonts w:hint="eastAsia" w:ascii="Times New Roman" w:hAnsi="Times New Roman"/>
              <w:lang w:val="en-US" w:eastAsia="zh-CN"/>
            </w:rPr>
            <w:t>1.针对非公开发行证券的适用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_Toc30267 \h </w:instrText>
          </w:r>
          <w:r>
            <w:rPr>
              <w:rFonts w:ascii="Times New Roman" w:hAnsi="Times New Roman"/>
            </w:rPr>
            <w:fldChar w:fldCharType="separate"/>
          </w:r>
          <w:r>
            <w:rPr>
              <w:rFonts w:ascii="Times New Roman" w:hAnsi="Times New Roman"/>
            </w:rPr>
            <w:t>24</w:t>
          </w:r>
          <w:r>
            <w:rPr>
              <w:rFonts w:ascii="Times New Roman" w:hAnsi="Times New Roman"/>
            </w:rPr>
            <w:fldChar w:fldCharType="end"/>
          </w:r>
          <w:r>
            <w:rPr>
              <w:rFonts w:ascii="Times New Roman" w:hAnsi="Times New Roman"/>
            </w:rPr>
            <w:fldChar w:fldCharType="end"/>
          </w:r>
        </w:p>
        <w:p w14:paraId="1867FD6E">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_Toc31543 </w:instrText>
          </w:r>
          <w:r>
            <w:rPr>
              <w:rFonts w:ascii="Times New Roman" w:hAnsi="Times New Roman"/>
            </w:rPr>
            <w:fldChar w:fldCharType="separate"/>
          </w:r>
          <w:r>
            <w:rPr>
              <w:rFonts w:hint="eastAsia" w:ascii="Times New Roman" w:hAnsi="Times New Roman"/>
              <w:lang w:val="en-US" w:eastAsia="zh-CN"/>
            </w:rPr>
            <w:t>2.针对非有效交易市场中证券的适用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_Toc31543 \h </w:instrText>
          </w:r>
          <w:r>
            <w:rPr>
              <w:rFonts w:ascii="Times New Roman" w:hAnsi="Times New Roman"/>
            </w:rPr>
            <w:fldChar w:fldCharType="separate"/>
          </w:r>
          <w:r>
            <w:rPr>
              <w:rFonts w:ascii="Times New Roman" w:hAnsi="Times New Roman"/>
            </w:rPr>
            <w:t>26</w:t>
          </w:r>
          <w:r>
            <w:rPr>
              <w:rFonts w:ascii="Times New Roman" w:hAnsi="Times New Roman"/>
            </w:rPr>
            <w:fldChar w:fldCharType="end"/>
          </w:r>
          <w:r>
            <w:rPr>
              <w:rFonts w:ascii="Times New Roman" w:hAnsi="Times New Roman"/>
            </w:rPr>
            <w:fldChar w:fldCharType="end"/>
          </w:r>
        </w:p>
        <w:p w14:paraId="517953F5">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_Toc20491 </w:instrText>
          </w:r>
          <w:r>
            <w:rPr>
              <w:rFonts w:ascii="Times New Roman" w:hAnsi="Times New Roman"/>
            </w:rPr>
            <w:fldChar w:fldCharType="separate"/>
          </w:r>
          <w:r>
            <w:rPr>
              <w:rFonts w:hint="eastAsia" w:ascii="Times New Roman" w:hAnsi="Times New Roman"/>
              <w:lang w:val="en-US" w:eastAsia="zh-CN"/>
            </w:rPr>
            <w:t>3.针对发行市场中证券的适用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_Toc20491 \h </w:instrText>
          </w:r>
          <w:r>
            <w:rPr>
              <w:rFonts w:ascii="Times New Roman" w:hAnsi="Times New Roman"/>
            </w:rPr>
            <w:fldChar w:fldCharType="separate"/>
          </w:r>
          <w:r>
            <w:rPr>
              <w:rFonts w:ascii="Times New Roman" w:hAnsi="Times New Roman"/>
            </w:rPr>
            <w:t>26</w:t>
          </w:r>
          <w:r>
            <w:rPr>
              <w:rFonts w:ascii="Times New Roman" w:hAnsi="Times New Roman"/>
            </w:rPr>
            <w:fldChar w:fldCharType="end"/>
          </w:r>
          <w:r>
            <w:rPr>
              <w:rFonts w:ascii="Times New Roman" w:hAnsi="Times New Roman"/>
            </w:rPr>
            <w:fldChar w:fldCharType="end"/>
          </w:r>
        </w:p>
        <w:p w14:paraId="6025BAE8">
          <w:pPr>
            <w:pStyle w:val="13"/>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_Toc7916 </w:instrText>
          </w:r>
          <w:r>
            <w:rPr>
              <w:rFonts w:ascii="Times New Roman" w:hAnsi="Times New Roman"/>
            </w:rPr>
            <w:fldChar w:fldCharType="separate"/>
          </w:r>
          <w:r>
            <w:rPr>
              <w:rFonts w:hint="eastAsia" w:ascii="Times New Roman" w:hAnsi="Times New Roman"/>
              <w:lang w:val="en-US" w:eastAsia="zh-CN"/>
            </w:rPr>
            <w:t>（二）损失因果关系：对第三方机构的高度依赖</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_Toc7916 \h </w:instrText>
          </w:r>
          <w:r>
            <w:rPr>
              <w:rFonts w:ascii="Times New Roman" w:hAnsi="Times New Roman"/>
            </w:rPr>
            <w:fldChar w:fldCharType="separate"/>
          </w:r>
          <w:r>
            <w:rPr>
              <w:rFonts w:ascii="Times New Roman" w:hAnsi="Times New Roman"/>
            </w:rPr>
            <w:t>27</w:t>
          </w:r>
          <w:r>
            <w:rPr>
              <w:rFonts w:ascii="Times New Roman" w:hAnsi="Times New Roman"/>
            </w:rPr>
            <w:fldChar w:fldCharType="end"/>
          </w:r>
          <w:r>
            <w:rPr>
              <w:rFonts w:ascii="Times New Roman" w:hAnsi="Times New Roman"/>
            </w:rPr>
            <w:fldChar w:fldCharType="end"/>
          </w:r>
        </w:p>
        <w:p w14:paraId="7C7D4C39">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_Toc8226 </w:instrText>
          </w:r>
          <w:r>
            <w:rPr>
              <w:rFonts w:ascii="Times New Roman" w:hAnsi="Times New Roman"/>
            </w:rPr>
            <w:fldChar w:fldCharType="separate"/>
          </w:r>
          <w:r>
            <w:rPr>
              <w:rFonts w:hint="eastAsia" w:ascii="Times New Roman" w:hAnsi="Times New Roman"/>
              <w:lang w:val="en-US" w:eastAsia="zh-CN"/>
            </w:rPr>
            <w:t>五</w:t>
          </w:r>
          <w:r>
            <w:rPr>
              <w:rFonts w:hint="default" w:ascii="Times New Roman" w:hAnsi="Times New Roman"/>
              <w:lang w:val="en-US" w:eastAsia="zh-CN"/>
            </w:rPr>
            <w:t>、司法认定的优化路径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_Toc8226 \h </w:instrText>
          </w:r>
          <w:r>
            <w:rPr>
              <w:rFonts w:ascii="Times New Roman" w:hAnsi="Times New Roman"/>
            </w:rPr>
            <w:fldChar w:fldCharType="separate"/>
          </w:r>
          <w:r>
            <w:rPr>
              <w:rFonts w:ascii="Times New Roman" w:hAnsi="Times New Roman"/>
            </w:rPr>
            <w:t>30</w:t>
          </w:r>
          <w:r>
            <w:rPr>
              <w:rFonts w:ascii="Times New Roman" w:hAnsi="Times New Roman"/>
            </w:rPr>
            <w:fldChar w:fldCharType="end"/>
          </w:r>
          <w:r>
            <w:rPr>
              <w:rFonts w:ascii="Times New Roman" w:hAnsi="Times New Roman"/>
            </w:rPr>
            <w:fldChar w:fldCharType="end"/>
          </w:r>
        </w:p>
        <w:p w14:paraId="247015C6">
          <w:pPr>
            <w:pStyle w:val="13"/>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_Toc4386 </w:instrText>
          </w:r>
          <w:r>
            <w:rPr>
              <w:rFonts w:ascii="Times New Roman" w:hAnsi="Times New Roman"/>
            </w:rPr>
            <w:fldChar w:fldCharType="separate"/>
          </w:r>
          <w:r>
            <w:rPr>
              <w:rFonts w:hint="eastAsia" w:ascii="Times New Roman" w:hAnsi="Times New Roman"/>
              <w:lang w:val="en-US" w:eastAsia="zh-CN"/>
            </w:rPr>
            <w:t>（一）统一交易因果关系认定中“信赖推定”原则的适用边界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_Toc4386 \h </w:instrText>
          </w:r>
          <w:r>
            <w:rPr>
              <w:rFonts w:ascii="Times New Roman" w:hAnsi="Times New Roman"/>
            </w:rPr>
            <w:fldChar w:fldCharType="separate"/>
          </w:r>
          <w:r>
            <w:rPr>
              <w:rFonts w:ascii="Times New Roman" w:hAnsi="Times New Roman"/>
            </w:rPr>
            <w:t>30</w:t>
          </w:r>
          <w:r>
            <w:rPr>
              <w:rFonts w:ascii="Times New Roman" w:hAnsi="Times New Roman"/>
            </w:rPr>
            <w:fldChar w:fldCharType="end"/>
          </w:r>
          <w:r>
            <w:rPr>
              <w:rFonts w:ascii="Times New Roman" w:hAnsi="Times New Roman"/>
            </w:rPr>
            <w:fldChar w:fldCharType="end"/>
          </w:r>
        </w:p>
        <w:p w14:paraId="6F5C5B89">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_Toc26026 </w:instrText>
          </w:r>
          <w:r>
            <w:rPr>
              <w:rFonts w:ascii="Times New Roman" w:hAnsi="Times New Roman"/>
            </w:rPr>
            <w:fldChar w:fldCharType="separate"/>
          </w:r>
          <w:r>
            <w:rPr>
              <w:rFonts w:hint="eastAsia" w:ascii="Times New Roman" w:hAnsi="Times New Roman"/>
              <w:lang w:val="en-US" w:eastAsia="zh-CN"/>
            </w:rPr>
            <w:t>1.针对</w:t>
          </w:r>
          <w:r>
            <w:rPr>
              <w:rFonts w:hint="default" w:ascii="Times New Roman" w:hAnsi="Times New Roman"/>
              <w:lang w:val="en-US" w:eastAsia="zh-CN"/>
            </w:rPr>
            <w:t>非公开发行</w:t>
          </w:r>
          <w:r>
            <w:rPr>
              <w:rFonts w:hint="eastAsia" w:ascii="Times New Roman" w:hAnsi="Times New Roman"/>
              <w:lang w:val="en-US" w:eastAsia="zh-CN"/>
            </w:rPr>
            <w:t>证券</w:t>
          </w:r>
          <w:r>
            <w:rPr>
              <w:rFonts w:hint="default" w:ascii="Times New Roman" w:hAnsi="Times New Roman"/>
              <w:lang w:val="en-US" w:eastAsia="zh-CN"/>
            </w:rPr>
            <w:t>：回归一般侵权法规则</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_Toc26026 \h </w:instrText>
          </w:r>
          <w:r>
            <w:rPr>
              <w:rFonts w:ascii="Times New Roman" w:hAnsi="Times New Roman"/>
            </w:rPr>
            <w:fldChar w:fldCharType="separate"/>
          </w:r>
          <w:r>
            <w:rPr>
              <w:rFonts w:ascii="Times New Roman" w:hAnsi="Times New Roman"/>
            </w:rPr>
            <w:t>30</w:t>
          </w:r>
          <w:r>
            <w:rPr>
              <w:rFonts w:ascii="Times New Roman" w:hAnsi="Times New Roman"/>
            </w:rPr>
            <w:fldChar w:fldCharType="end"/>
          </w:r>
          <w:r>
            <w:rPr>
              <w:rFonts w:ascii="Times New Roman" w:hAnsi="Times New Roman"/>
            </w:rPr>
            <w:fldChar w:fldCharType="end"/>
          </w:r>
        </w:p>
        <w:p w14:paraId="0448F02B">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_Toc8489 </w:instrText>
          </w:r>
          <w:r>
            <w:rPr>
              <w:rFonts w:ascii="Times New Roman" w:hAnsi="Times New Roman"/>
            </w:rPr>
            <w:fldChar w:fldCharType="separate"/>
          </w:r>
          <w:r>
            <w:rPr>
              <w:rFonts w:hint="eastAsia" w:ascii="Times New Roman" w:hAnsi="Times New Roman"/>
              <w:lang w:val="en-US" w:eastAsia="zh-CN"/>
            </w:rPr>
            <w:t>2.针对</w:t>
          </w:r>
          <w:r>
            <w:rPr>
              <w:rFonts w:hint="default" w:ascii="Times New Roman" w:hAnsi="Times New Roman"/>
              <w:lang w:val="en-US" w:eastAsia="zh-CN"/>
            </w:rPr>
            <w:t>非有效市场</w:t>
          </w:r>
          <w:r>
            <w:rPr>
              <w:rFonts w:hint="eastAsia" w:ascii="Times New Roman" w:hAnsi="Times New Roman"/>
              <w:lang w:val="en-US" w:eastAsia="zh-CN"/>
            </w:rPr>
            <w:t>中的证券</w:t>
          </w:r>
          <w:r>
            <w:rPr>
              <w:rFonts w:hint="default" w:ascii="Times New Roman" w:hAnsi="Times New Roman"/>
              <w:lang w:val="en-US" w:eastAsia="zh-CN"/>
            </w:rPr>
            <w:t>：信赖推定适用的前提重构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_Toc8489 \h </w:instrText>
          </w:r>
          <w:r>
            <w:rPr>
              <w:rFonts w:ascii="Times New Roman" w:hAnsi="Times New Roman"/>
            </w:rPr>
            <w:fldChar w:fldCharType="separate"/>
          </w:r>
          <w:r>
            <w:rPr>
              <w:rFonts w:ascii="Times New Roman" w:hAnsi="Times New Roman"/>
            </w:rPr>
            <w:t>30</w:t>
          </w:r>
          <w:r>
            <w:rPr>
              <w:rFonts w:ascii="Times New Roman" w:hAnsi="Times New Roman"/>
            </w:rPr>
            <w:fldChar w:fldCharType="end"/>
          </w:r>
          <w:r>
            <w:rPr>
              <w:rFonts w:ascii="Times New Roman" w:hAnsi="Times New Roman"/>
            </w:rPr>
            <w:fldChar w:fldCharType="end"/>
          </w:r>
        </w:p>
        <w:p w14:paraId="37C654D6">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_Toc29781 </w:instrText>
          </w:r>
          <w:r>
            <w:rPr>
              <w:rFonts w:ascii="Times New Roman" w:hAnsi="Times New Roman"/>
            </w:rPr>
            <w:fldChar w:fldCharType="separate"/>
          </w:r>
          <w:r>
            <w:rPr>
              <w:rFonts w:hint="eastAsia" w:ascii="Times New Roman" w:hAnsi="Times New Roman"/>
              <w:lang w:val="en-US" w:eastAsia="zh-CN"/>
            </w:rPr>
            <w:t>3.针对</w:t>
          </w:r>
          <w:r>
            <w:rPr>
              <w:rFonts w:hint="default" w:ascii="Times New Roman" w:hAnsi="Times New Roman"/>
              <w:lang w:val="en-US" w:eastAsia="zh-CN"/>
            </w:rPr>
            <w:t>发行市场</w:t>
          </w:r>
          <w:r>
            <w:rPr>
              <w:rFonts w:hint="eastAsia" w:ascii="Times New Roman" w:hAnsi="Times New Roman"/>
              <w:lang w:val="en-US" w:eastAsia="zh-CN"/>
            </w:rPr>
            <w:t>中的证券</w:t>
          </w:r>
          <w:r>
            <w:rPr>
              <w:rFonts w:hint="default" w:ascii="Times New Roman" w:hAnsi="Times New Roman"/>
              <w:lang w:val="en-US" w:eastAsia="zh-CN"/>
            </w:rPr>
            <w:t>：二元责任规范</w:t>
          </w:r>
          <w:r>
            <w:rPr>
              <w:rFonts w:hint="eastAsia" w:ascii="Times New Roman" w:hAnsi="Times New Roman"/>
              <w:lang w:val="en-US" w:eastAsia="zh-CN"/>
            </w:rPr>
            <w:t>模式</w:t>
          </w:r>
          <w:r>
            <w:rPr>
              <w:rFonts w:hint="default" w:ascii="Times New Roman" w:hAnsi="Times New Roman"/>
              <w:lang w:val="en-US" w:eastAsia="zh-CN"/>
            </w:rPr>
            <w:t>的</w:t>
          </w:r>
          <w:r>
            <w:rPr>
              <w:rFonts w:hint="eastAsia" w:ascii="Times New Roman" w:hAnsi="Times New Roman"/>
              <w:lang w:val="en-US" w:eastAsia="zh-CN"/>
            </w:rPr>
            <w:t>制度构造</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_Toc29781 \h </w:instrText>
          </w:r>
          <w:r>
            <w:rPr>
              <w:rFonts w:ascii="Times New Roman" w:hAnsi="Times New Roman"/>
            </w:rPr>
            <w:fldChar w:fldCharType="separate"/>
          </w:r>
          <w:r>
            <w:rPr>
              <w:rFonts w:ascii="Times New Roman" w:hAnsi="Times New Roman"/>
            </w:rPr>
            <w:t>31</w:t>
          </w:r>
          <w:r>
            <w:rPr>
              <w:rFonts w:ascii="Times New Roman" w:hAnsi="Times New Roman"/>
            </w:rPr>
            <w:fldChar w:fldCharType="end"/>
          </w:r>
          <w:r>
            <w:rPr>
              <w:rFonts w:ascii="Times New Roman" w:hAnsi="Times New Roman"/>
            </w:rPr>
            <w:fldChar w:fldCharType="end"/>
          </w:r>
        </w:p>
        <w:p w14:paraId="630989A6">
          <w:pPr>
            <w:pStyle w:val="13"/>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_Toc5894 </w:instrText>
          </w:r>
          <w:r>
            <w:rPr>
              <w:rFonts w:ascii="Times New Roman" w:hAnsi="Times New Roman"/>
            </w:rPr>
            <w:fldChar w:fldCharType="separate"/>
          </w:r>
          <w:r>
            <w:rPr>
              <w:rFonts w:hint="default" w:ascii="Times New Roman" w:hAnsi="Times New Roman"/>
              <w:lang w:val="en-US" w:eastAsia="zh-CN"/>
            </w:rPr>
            <w:t>（</w:t>
          </w:r>
          <w:r>
            <w:rPr>
              <w:rFonts w:hint="eastAsia" w:ascii="Times New Roman" w:hAnsi="Times New Roman"/>
              <w:lang w:val="en-US" w:eastAsia="zh-CN"/>
            </w:rPr>
            <w:t>二</w:t>
          </w:r>
          <w:r>
            <w:rPr>
              <w:rFonts w:hint="default" w:ascii="Times New Roman" w:hAnsi="Times New Roman"/>
              <w:lang w:val="en-US" w:eastAsia="zh-CN"/>
            </w:rPr>
            <w:t>）损失因果关系认定中的风险量化与精算路径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_Toc5894 \h </w:instrText>
          </w:r>
          <w:r>
            <w:rPr>
              <w:rFonts w:ascii="Times New Roman" w:hAnsi="Times New Roman"/>
            </w:rPr>
            <w:fldChar w:fldCharType="separate"/>
          </w:r>
          <w:r>
            <w:rPr>
              <w:rFonts w:ascii="Times New Roman" w:hAnsi="Times New Roman"/>
            </w:rPr>
            <w:t>32</w:t>
          </w:r>
          <w:r>
            <w:rPr>
              <w:rFonts w:ascii="Times New Roman" w:hAnsi="Times New Roman"/>
            </w:rPr>
            <w:fldChar w:fldCharType="end"/>
          </w:r>
          <w:r>
            <w:rPr>
              <w:rFonts w:ascii="Times New Roman" w:hAnsi="Times New Roman"/>
            </w:rPr>
            <w:fldChar w:fldCharType="end"/>
          </w:r>
        </w:p>
        <w:p w14:paraId="2FB9A233">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_Toc4808 </w:instrText>
          </w:r>
          <w:r>
            <w:rPr>
              <w:rFonts w:ascii="Times New Roman" w:hAnsi="Times New Roman"/>
            </w:rPr>
            <w:fldChar w:fldCharType="separate"/>
          </w:r>
          <w:r>
            <w:rPr>
              <w:rFonts w:hint="eastAsia" w:ascii="Times New Roman" w:hAnsi="Times New Roman"/>
              <w:lang w:val="en-US" w:eastAsia="zh-CN"/>
            </w:rPr>
            <w:t>六、结论</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_Toc4808 \h </w:instrText>
          </w:r>
          <w:r>
            <w:rPr>
              <w:rFonts w:ascii="Times New Roman" w:hAnsi="Times New Roman"/>
            </w:rPr>
            <w:fldChar w:fldCharType="separate"/>
          </w:r>
          <w:r>
            <w:rPr>
              <w:rFonts w:ascii="Times New Roman" w:hAnsi="Times New Roman"/>
            </w:rPr>
            <w:t>34</w:t>
          </w:r>
          <w:r>
            <w:rPr>
              <w:rFonts w:ascii="Times New Roman" w:hAnsi="Times New Roman"/>
            </w:rPr>
            <w:fldChar w:fldCharType="end"/>
          </w:r>
          <w:r>
            <w:rPr>
              <w:rFonts w:ascii="Times New Roman" w:hAnsi="Times New Roman"/>
            </w:rPr>
            <w:fldChar w:fldCharType="end"/>
          </w:r>
        </w:p>
        <w:p w14:paraId="7EC365AA">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_Toc2736 </w:instrText>
          </w:r>
          <w:r>
            <w:rPr>
              <w:rFonts w:ascii="Times New Roman" w:hAnsi="Times New Roman"/>
            </w:rPr>
            <w:fldChar w:fldCharType="separate"/>
          </w:r>
          <w:r>
            <w:rPr>
              <w:rFonts w:hint="eastAsia" w:ascii="Times New Roman" w:hAnsi="Times New Roman"/>
              <w:bCs/>
              <w:szCs w:val="32"/>
              <w:lang w:val="en-US" w:eastAsia="zh-CN"/>
            </w:rPr>
            <w:t>参考文献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_Toc2736 \h </w:instrText>
          </w:r>
          <w:r>
            <w:rPr>
              <w:rFonts w:ascii="Times New Roman" w:hAnsi="Times New Roman"/>
            </w:rPr>
            <w:fldChar w:fldCharType="separate"/>
          </w:r>
          <w:r>
            <w:rPr>
              <w:rFonts w:ascii="Times New Roman" w:hAnsi="Times New Roman"/>
            </w:rPr>
            <w:t>35</w:t>
          </w:r>
          <w:r>
            <w:rPr>
              <w:rFonts w:ascii="Times New Roman" w:hAnsi="Times New Roman"/>
            </w:rPr>
            <w:fldChar w:fldCharType="end"/>
          </w:r>
          <w:r>
            <w:rPr>
              <w:rFonts w:ascii="Times New Roman" w:hAnsi="Times New Roman"/>
            </w:rPr>
            <w:fldChar w:fldCharType="end"/>
          </w:r>
        </w:p>
        <w:p w14:paraId="6E946E3B">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_Toc23902 </w:instrText>
          </w:r>
          <w:r>
            <w:rPr>
              <w:rFonts w:ascii="Times New Roman" w:hAnsi="Times New Roman"/>
            </w:rPr>
            <w:fldChar w:fldCharType="separate"/>
          </w:r>
          <w:r>
            <w:rPr>
              <w:rFonts w:hint="eastAsia" w:ascii="Times New Roman" w:hAnsi="Times New Roman"/>
              <w:bCs/>
              <w:lang w:val="en-US" w:eastAsia="zh-CN"/>
            </w:rPr>
            <w:t>致  谢</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_Toc23902 \h </w:instrText>
          </w:r>
          <w:r>
            <w:rPr>
              <w:rFonts w:ascii="Times New Roman" w:hAnsi="Times New Roman"/>
            </w:rPr>
            <w:fldChar w:fldCharType="separate"/>
          </w:r>
          <w:r>
            <w:rPr>
              <w:rFonts w:ascii="Times New Roman" w:hAnsi="Times New Roman"/>
            </w:rPr>
            <w:t>36</w:t>
          </w:r>
          <w:r>
            <w:rPr>
              <w:rFonts w:ascii="Times New Roman" w:hAnsi="Times New Roman"/>
            </w:rPr>
            <w:fldChar w:fldCharType="end"/>
          </w:r>
          <w:r>
            <w:rPr>
              <w:rFonts w:ascii="Times New Roman" w:hAnsi="Times New Roman"/>
            </w:rPr>
            <w:fldChar w:fldCharType="end"/>
          </w:r>
        </w:p>
        <w:p w14:paraId="3E60FCEB">
          <w:pPr>
            <w:rPr>
              <w:rFonts w:hint="eastAsia" w:ascii="Times New Roman" w:hAnsi="Times New Roman"/>
              <w:lang w:val="en-US" w:eastAsia="zh-CN"/>
            </w:rPr>
            <w:sectPr>
              <w:headerReference r:id="rId5" w:type="default"/>
              <w:footerReference r:id="rId6" w:type="default"/>
              <w:footnotePr>
                <w:numFmt w:val="decimalEnclosedCircleChinese"/>
                <w:numRestart w:val="eachPage"/>
              </w:footnotePr>
              <w:pgSz w:w="11906" w:h="16838"/>
              <w:pgMar w:top="1440" w:right="1800" w:bottom="1440" w:left="1800" w:header="851" w:footer="992" w:gutter="0"/>
              <w:pgNumType w:fmt="upperRoman" w:start="1"/>
              <w:cols w:space="425" w:num="1"/>
              <w:titlePg/>
              <w:docGrid w:type="lines" w:linePitch="312" w:charSpace="0"/>
            </w:sectPr>
          </w:pPr>
          <w:r>
            <w:rPr>
              <w:rFonts w:ascii="Times New Roman" w:hAnsi="Times New Roman"/>
            </w:rPr>
            <w:fldChar w:fldCharType="end"/>
          </w:r>
        </w:p>
      </w:sdtContent>
    </w:sdt>
    <w:p w14:paraId="6EE9BB20">
      <w:pPr>
        <w:pStyle w:val="2"/>
        <w:bidi w:val="0"/>
        <w:rPr>
          <w:rFonts w:hint="eastAsia" w:ascii="Times New Roman" w:hAnsi="Times New Roman"/>
          <w:lang w:val="en-US" w:eastAsia="zh-CN"/>
        </w:rPr>
      </w:pPr>
      <w:bookmarkStart w:id="6" w:name="_Toc27493"/>
      <w:r>
        <w:rPr>
          <w:rFonts w:hint="eastAsia" w:ascii="Times New Roman" w:hAnsi="Times New Roman"/>
          <w:lang w:val="en-US" w:eastAsia="zh-CN"/>
        </w:rPr>
        <w:t>一、绪论</w:t>
      </w:r>
      <w:bookmarkEnd w:id="5"/>
      <w:bookmarkEnd w:id="6"/>
    </w:p>
    <w:p w14:paraId="0C731366">
      <w:pPr>
        <w:pStyle w:val="3"/>
        <w:bidi w:val="0"/>
        <w:rPr>
          <w:rFonts w:hint="default" w:ascii="Times New Roman" w:hAnsi="Times New Roman"/>
          <w:lang w:val="en-US" w:eastAsia="zh-CN"/>
        </w:rPr>
      </w:pPr>
      <w:bookmarkStart w:id="7" w:name="_Toc9358"/>
      <w:bookmarkStart w:id="8" w:name="_Toc32596"/>
      <w:r>
        <w:rPr>
          <w:rFonts w:hint="eastAsia" w:ascii="Times New Roman" w:hAnsi="Times New Roman"/>
          <w:lang w:val="en-US" w:eastAsia="zh-CN"/>
        </w:rPr>
        <w:t>（一）研究背景</w:t>
      </w:r>
      <w:bookmarkEnd w:id="7"/>
      <w:bookmarkEnd w:id="8"/>
    </w:p>
    <w:p w14:paraId="54871B2E">
      <w:pPr>
        <w:bidi w:val="0"/>
        <w:rPr>
          <w:rFonts w:hint="eastAsia" w:ascii="Times New Roman" w:hAnsi="Times New Roman"/>
          <w:lang w:val="en-US" w:eastAsia="zh-CN"/>
        </w:rPr>
      </w:pPr>
      <w:r>
        <w:rPr>
          <w:rFonts w:hint="eastAsia" w:ascii="Times New Roman" w:hAnsi="Times New Roman"/>
          <w:lang w:val="en-US" w:eastAsia="zh-CN"/>
        </w:rPr>
        <w:t>2021年，中共中央办公厅、国务院办公厅联合印发了《关于依法从严打击证券违法活动的意见》（中办发〔2021〕26号，2021年9月2日发布）。这份文件明确了一个判断：资本市场是金融安全的关键枢纽，对于欺诈发行、虚假陈述这类违法行为，必须采取零容忍的态度，予以严厉打击。</w:t>
      </w:r>
      <w:r>
        <w:rPr>
          <w:rStyle w:val="22"/>
          <w:rFonts w:hint="default" w:ascii="Times New Roman" w:hAnsi="Times New Roman"/>
          <w:lang w:val="en-US" w:eastAsia="zh-CN"/>
        </w:rPr>
        <w:footnoteReference w:id="0"/>
      </w:r>
      <w:r>
        <w:rPr>
          <w:rFonts w:hint="eastAsia" w:ascii="Times New Roman" w:hAnsi="Times New Roman"/>
          <w:lang w:val="en-US" w:eastAsia="zh-CN"/>
        </w:rPr>
        <w:t>这个意见给新时代资本市场法治建设的工作指明了方向，成为了各项相关工作必须遵循的基本依据。到了2024年，中央金融工作会议又进一步提出要求，强调要“强化监管问责，健全投资者救济机制，以高质量司法护航金融强国建设”。这一表述充分体现了党中央维护资本市场秩序、保护投资者合法权益的坚定态度。</w:t>
      </w:r>
    </w:p>
    <w:p w14:paraId="1D522C8F">
      <w:pPr>
        <w:bidi w:val="0"/>
        <w:rPr>
          <w:rFonts w:hint="eastAsia" w:ascii="Times New Roman" w:hAnsi="Times New Roman"/>
          <w:lang w:val="en-US" w:eastAsia="zh-CN"/>
        </w:rPr>
      </w:pPr>
      <w:r>
        <w:rPr>
          <w:rFonts w:hint="eastAsia" w:ascii="Times New Roman" w:hAnsi="Times New Roman"/>
          <w:lang w:val="en-US" w:eastAsia="zh-CN"/>
        </w:rPr>
        <w:t>回到现实中的司法实践，在证券虚假陈述责任纠纷案件里，围绕因果关系认定产生的争议焦点占比非常高。而且这类案件的上诉率也一直偏高，审理周期往往拖得很长。这种情况直接导致投资者维权时成本更高，有时候甚至会出现合法权益得不到有效保障、救济渠道不顺畅的问题。这个难点已经成了落实党中央“零容忍”要求、打通投资者权利救济通道的一大障碍。它不仅妨碍了资本市场的公平正义，还会打击市场主体的信心。所以，迫切需要从完善规则和统一裁判尺度方面入手解决问题。</w:t>
      </w:r>
    </w:p>
    <w:p w14:paraId="2A77E8BF">
      <w:pPr>
        <w:pStyle w:val="3"/>
        <w:bidi w:val="0"/>
        <w:rPr>
          <w:rFonts w:hint="default" w:ascii="Times New Roman" w:hAnsi="Times New Roman"/>
          <w:lang w:val="en-US" w:eastAsia="zh-CN"/>
        </w:rPr>
      </w:pPr>
      <w:bookmarkStart w:id="9" w:name="_Toc13195"/>
      <w:bookmarkStart w:id="10" w:name="_Toc3601"/>
      <w:r>
        <w:rPr>
          <w:rFonts w:hint="eastAsia" w:ascii="Times New Roman" w:hAnsi="Times New Roman"/>
          <w:lang w:val="en-US" w:eastAsia="zh-CN"/>
        </w:rPr>
        <w:t>（二）研究价值</w:t>
      </w:r>
      <w:bookmarkEnd w:id="9"/>
      <w:bookmarkEnd w:id="10"/>
    </w:p>
    <w:p w14:paraId="3A5F4622">
      <w:pPr>
        <w:bidi w:val="0"/>
        <w:rPr>
          <w:rFonts w:hint="default" w:ascii="Times New Roman" w:hAnsi="Times New Roman"/>
          <w:lang w:val="en-US" w:eastAsia="zh-CN"/>
        </w:rPr>
      </w:pPr>
      <w:r>
        <w:rPr>
          <w:rFonts w:hint="default" w:ascii="Times New Roman" w:hAnsi="Times New Roman"/>
          <w:lang w:val="en-US" w:eastAsia="zh-CN"/>
        </w:rPr>
        <w:t>通过分析近些年来的证券虚假陈述责任纠纷二审判决书，观察</w:t>
      </w:r>
      <w:r>
        <w:rPr>
          <w:rFonts w:hint="eastAsia" w:ascii="Times New Roman" w:hAnsi="Times New Roman"/>
          <w:lang w:val="en-US" w:eastAsia="zh-CN"/>
        </w:rPr>
        <w:t>并探索</w:t>
      </w:r>
      <w:r>
        <w:rPr>
          <w:rFonts w:hint="default" w:ascii="Times New Roman" w:hAnsi="Times New Roman"/>
          <w:lang w:val="en-US" w:eastAsia="zh-CN"/>
        </w:rPr>
        <w:t>因果关系在司法实践中</w:t>
      </w:r>
      <w:r>
        <w:rPr>
          <w:rFonts w:hint="eastAsia" w:ascii="Times New Roman" w:hAnsi="Times New Roman"/>
          <w:lang w:val="en-US" w:eastAsia="zh-CN"/>
        </w:rPr>
        <w:t>的认定方法</w:t>
      </w:r>
      <w:r>
        <w:rPr>
          <w:rFonts w:hint="default" w:ascii="Times New Roman" w:hAnsi="Times New Roman"/>
          <w:lang w:val="en-US" w:eastAsia="zh-CN"/>
        </w:rPr>
        <w:t>、</w:t>
      </w:r>
      <w:r>
        <w:rPr>
          <w:rFonts w:hint="eastAsia" w:ascii="Times New Roman" w:hAnsi="Times New Roman"/>
          <w:lang w:val="en-US" w:eastAsia="zh-CN"/>
        </w:rPr>
        <w:t>现存</w:t>
      </w:r>
      <w:r>
        <w:rPr>
          <w:rFonts w:hint="default" w:ascii="Times New Roman" w:hAnsi="Times New Roman"/>
          <w:lang w:val="en-US" w:eastAsia="zh-CN"/>
        </w:rPr>
        <w:t>问题、优化方向，是这次</w:t>
      </w:r>
      <w:r>
        <w:rPr>
          <w:rFonts w:hint="eastAsia" w:ascii="Times New Roman" w:hAnsi="Times New Roman"/>
          <w:lang w:val="en-US" w:eastAsia="zh-CN"/>
        </w:rPr>
        <w:t>研究</w:t>
      </w:r>
      <w:r>
        <w:rPr>
          <w:rFonts w:hint="default" w:ascii="Times New Roman" w:hAnsi="Times New Roman"/>
          <w:lang w:val="en-US" w:eastAsia="zh-CN"/>
        </w:rPr>
        <w:t>的主要思路。</w:t>
      </w:r>
      <w:r>
        <w:rPr>
          <w:rFonts w:hint="eastAsia" w:ascii="Times New Roman" w:hAnsi="Times New Roman"/>
          <w:lang w:val="en-US" w:eastAsia="zh-CN"/>
        </w:rPr>
        <w:t>我</w:t>
      </w:r>
      <w:r>
        <w:rPr>
          <w:rFonts w:hint="default" w:ascii="Times New Roman" w:hAnsi="Times New Roman"/>
          <w:lang w:val="en-US" w:eastAsia="zh-CN"/>
        </w:rPr>
        <w:t>搜集到的样本案例里面，既有诱多型虚假陈述，也有利空型虚假陈述，覆盖了多种不同情形。这些样本</w:t>
      </w:r>
      <w:r>
        <w:rPr>
          <w:rFonts w:hint="eastAsia" w:ascii="Times New Roman" w:hAnsi="Times New Roman"/>
          <w:lang w:val="en-US" w:eastAsia="zh-CN"/>
        </w:rPr>
        <w:t>有助于</w:t>
      </w:r>
      <w:r>
        <w:rPr>
          <w:rFonts w:hint="default" w:ascii="Times New Roman" w:hAnsi="Times New Roman"/>
          <w:lang w:val="en-US" w:eastAsia="zh-CN"/>
        </w:rPr>
        <w:t>系统梳理在不同情况下，交易因果关系和损失因果关系在司法认定环节具体怎么操作、核心争议点在哪里，以及现实中面临哪些难点。</w:t>
      </w:r>
    </w:p>
    <w:p w14:paraId="4AEAAE8F">
      <w:pPr>
        <w:bidi w:val="0"/>
        <w:rPr>
          <w:rFonts w:hint="default" w:ascii="Times New Roman" w:hAnsi="Times New Roman"/>
          <w:lang w:val="en-US" w:eastAsia="zh-CN"/>
        </w:rPr>
      </w:pPr>
      <w:r>
        <w:rPr>
          <w:rFonts w:hint="eastAsia" w:ascii="Times New Roman" w:hAnsi="Times New Roman"/>
          <w:lang w:val="en-US" w:eastAsia="zh-CN"/>
        </w:rPr>
        <w:t>回顾</w:t>
      </w:r>
      <w:r>
        <w:rPr>
          <w:rFonts w:hint="default" w:ascii="Times New Roman" w:hAnsi="Times New Roman"/>
          <w:lang w:val="en-US" w:eastAsia="zh-CN"/>
        </w:rPr>
        <w:t>国内现有的研究，大多还是围绕从美国引进的“欺诈市场”理论来展开，真正结合国内司法实践、从裁判经验中提炼因果关系认定规律的成果非常有限。这次以</w:t>
      </w:r>
      <w:r>
        <w:rPr>
          <w:rFonts w:hint="eastAsia" w:ascii="Times New Roman" w:hAnsi="Times New Roman"/>
          <w:lang w:val="en-US" w:eastAsia="zh-CN"/>
        </w:rPr>
        <w:t>我国2023年至2025年间</w:t>
      </w:r>
      <w:r>
        <w:rPr>
          <w:rFonts w:hint="default" w:ascii="Times New Roman" w:hAnsi="Times New Roman"/>
          <w:lang w:val="en-US" w:eastAsia="zh-CN"/>
        </w:rPr>
        <w:t>86份二审判决书作为分析对象，分别梳理交易因果关系和损失因果关系的认定规则，并仔细分析了不同类型的虚假陈述对因果关系认定会产生什么样的影响。具体来说：对于诱多型虚假陈述，重点看虚假陈述行为和投资者买入股票这个决策之间的关联到底怎么判断；对于利空型虚假陈述，则聚焦在隐瞒重大利空信息和投资者卖出决策之间，两者的因果关系又该如何认定。</w:t>
      </w:r>
    </w:p>
    <w:p w14:paraId="0EA66A70">
      <w:pPr>
        <w:bidi w:val="0"/>
        <w:rPr>
          <w:rFonts w:hint="default" w:ascii="Times New Roman" w:hAnsi="Times New Roman"/>
          <w:lang w:val="en-US" w:eastAsia="zh-CN"/>
        </w:rPr>
      </w:pPr>
      <w:r>
        <w:rPr>
          <w:rFonts w:hint="default" w:ascii="Times New Roman" w:hAnsi="Times New Roman"/>
          <w:lang w:val="en-US" w:eastAsia="zh-CN"/>
        </w:rPr>
        <w:t>这项研究希望能帮</w:t>
      </w:r>
      <w:r>
        <w:rPr>
          <w:rFonts w:hint="eastAsia" w:ascii="Times New Roman" w:hAnsi="Times New Roman"/>
          <w:lang w:val="en-US" w:eastAsia="zh-CN"/>
        </w:rPr>
        <w:t xml:space="preserve">2022</w:t>
      </w:r>
      <w:commentRangeStart w:id="1"/>
      <w:r>
        <w:rPr>
          <w:rFonts w:hint="eastAsia" w:ascii="Times New Roman" w:hAnsi="Times New Roman"/>
          <w:lang w:val="en-US" w:eastAsia="zh-CN"/>
        </w:rPr>
        <w:t xml:space="preserve">年《最高人民法院关于审理证券市场虚假陈述侵权民事赔偿案件</w:t>
      </w:r>
      <w:commentRangeEnd w:id="1"/>
      <w:r>
        <w:rPr>
          <w:rStyle w:val="CommentReference"/>
        </w:rPr>
        <w:commentReference w:id="1"/>
      </w:r>
      <w:r>
        <w:rPr>
          <w:rFonts w:hint="eastAsia" w:ascii="Times New Roman" w:hAnsi="Times New Roman"/>
          <w:lang w:val="en-US" w:eastAsia="zh-CN"/>
        </w:rPr>
        <w:t xml:space="preserve">的若干规定》（法释〔2022〕2号，下称“2022年虚假陈述解释”）</w:t>
      </w:r>
      <w:r>
        <w:rPr>
          <w:rFonts w:hint="default" w:ascii="Times New Roman" w:hAnsi="Times New Roman"/>
          <w:lang w:val="en-US" w:eastAsia="zh-CN"/>
        </w:rPr>
        <w:t>等一系列司法解释在实践中</w:t>
      </w:r>
      <w:r>
        <w:rPr>
          <w:rFonts w:hint="eastAsia" w:ascii="Times New Roman" w:hAnsi="Times New Roman"/>
          <w:lang w:val="en-US" w:eastAsia="zh-CN"/>
        </w:rPr>
        <w:t>贯彻落实</w:t>
      </w:r>
      <w:r>
        <w:rPr>
          <w:rFonts w:hint="default" w:ascii="Times New Roman" w:hAnsi="Times New Roman"/>
          <w:lang w:val="en-US" w:eastAsia="zh-CN"/>
        </w:rPr>
        <w:t>，推动各级法院在因果关系认定上</w:t>
      </w:r>
      <w:r>
        <w:rPr>
          <w:rFonts w:hint="eastAsia" w:ascii="Times New Roman" w:hAnsi="Times New Roman"/>
          <w:lang w:val="en-US" w:eastAsia="zh-CN"/>
        </w:rPr>
        <w:t>采用</w:t>
      </w:r>
      <w:r>
        <w:rPr>
          <w:rFonts w:hint="default" w:ascii="Times New Roman" w:hAnsi="Times New Roman"/>
          <w:lang w:val="en-US" w:eastAsia="zh-CN"/>
        </w:rPr>
        <w:t>统一、可预期的裁判尺度。同时，它也能给资本市场监管体系的完善提供一批真实、准确的司法样本，让虚假陈述的行为人实实在在地承担起该负的赔偿责任，使受损的投资者依法拿到应得的损失补偿。依靠高质量的证券虚假陈述审判工作，为金融强国战略的稳步推进保驾护航，把资本市场公平、公正、公开的基本原则和广大投资者的合法权益真正落到实处。</w:t>
      </w:r>
    </w:p>
    <w:p w14:paraId="23219E80">
      <w:pPr>
        <w:pStyle w:val="3"/>
        <w:bidi w:val="0"/>
        <w:rPr>
          <w:rFonts w:hint="default" w:ascii="Times New Roman" w:hAnsi="Times New Roman"/>
          <w:lang w:val="en-US" w:eastAsia="zh-CN"/>
        </w:rPr>
      </w:pPr>
      <w:bookmarkStart w:id="11" w:name="_Toc31478"/>
      <w:bookmarkStart w:id="12" w:name="_Toc26159"/>
      <w:r>
        <w:rPr>
          <w:rFonts w:hint="eastAsia" w:ascii="Times New Roman" w:hAnsi="Times New Roman"/>
          <w:lang w:val="en-US" w:eastAsia="zh-CN"/>
        </w:rPr>
        <w:t>（三）研究方法</w:t>
      </w:r>
      <w:bookmarkEnd w:id="11"/>
      <w:bookmarkEnd w:id="12"/>
    </w:p>
    <w:p w14:paraId="3C9C08DA">
      <w:pPr>
        <w:bidi w:val="0"/>
        <w:rPr>
          <w:rFonts w:hint="eastAsia" w:ascii="Times New Roman" w:hAnsi="Times New Roman"/>
          <w:lang w:val="en-US" w:eastAsia="zh-CN"/>
        </w:rPr>
      </w:pPr>
      <w:r>
        <w:rPr>
          <w:rFonts w:hint="eastAsia" w:ascii="Times New Roman" w:hAnsi="Times New Roman"/>
          <w:lang w:val="en-US" w:eastAsia="zh-CN"/>
        </w:rPr>
        <w:t>1.实证分析：这次研究的样本案例，都是从中国裁判文书网、北大法宝、威科先行这几个正规的官方数据库里检索到的。检索时使用的关键词为“证券虚假陈述责任纠纷”“因果关系”“二审判决书”和“2023至2025年审结”，最终筛选出86份二审判决书，并以此作为分析样本。具体操作上，把样本案件的案号、虚假陈述类型、因果关系认定方法、上诉人提出的主张、被上诉人提出的抗辩理由、法院采纳情况，都逐一统计出来。最后结合定量统计和定性分析这两种方法，梳理一下当前国内司法实践中，处理证券虚假陈述责任纠纷时，法院关于因果关系的认定方法，以及这里面存在哪些争议点。</w:t>
      </w:r>
    </w:p>
    <w:p w14:paraId="2471E7CC">
      <w:pPr>
        <w:bidi w:val="0"/>
        <w:rPr>
          <w:rFonts w:hint="eastAsia" w:ascii="Times New Roman" w:hAnsi="Times New Roman"/>
          <w:lang w:val="en-US" w:eastAsia="zh-CN"/>
        </w:rPr>
      </w:pPr>
      <w:r>
        <w:rPr>
          <w:rFonts w:hint="eastAsia" w:ascii="Times New Roman" w:hAnsi="Times New Roman"/>
          <w:lang w:val="en-US" w:eastAsia="zh-CN"/>
        </w:rPr>
        <w:t>2.规范分析：先总结一下现行法律规范在实际适用中遇到的困境，再系统梳理《证券法》第八十五条、2022年虚假陈述解释第十一条到第十二条这些关键核心规范。在此基础上，结合“信赖推定”原则背后的理论基础以及它的适用前提，去探究证券虚假陈述责任纠纷中，新兴的市场是否可沿用“信赖推定”原则，还要研究一下系统风险这类抗辩事由在司法审查时用的是什么标准。</w:t>
      </w:r>
    </w:p>
    <w:p w14:paraId="4BFDB2B9">
      <w:pPr>
        <w:bidi w:val="0"/>
        <w:rPr>
          <w:rFonts w:hint="eastAsia" w:ascii="Times New Roman" w:hAnsi="Times New Roman"/>
          <w:lang w:val="en-US" w:eastAsia="zh-CN"/>
        </w:rPr>
      </w:pPr>
      <w:r>
        <w:rPr>
          <w:rFonts w:hint="eastAsia" w:ascii="Times New Roman" w:hAnsi="Times New Roman"/>
          <w:lang w:val="en-US" w:eastAsia="zh-CN"/>
        </w:rPr>
        <w:t>3.比较研究：将美国的“欺诈市场理论”以及该理论在那边司法实践中的适用经验作为参照对象，重点研究其中“信赖推定”原则的构成要件和抗辩路径是什么样的。通过这个比较，为我国完善因果关系认定规则提供一些可以参考的比较法资源。</w:t>
      </w:r>
    </w:p>
    <w:p w14:paraId="42ABBE50">
      <w:pPr>
        <w:pStyle w:val="3"/>
        <w:bidi w:val="0"/>
        <w:rPr>
          <w:rFonts w:hint="default" w:ascii="Times New Roman" w:hAnsi="Times New Roman"/>
          <w:lang w:val="en-US" w:eastAsia="zh-CN"/>
        </w:rPr>
      </w:pPr>
      <w:bookmarkStart w:id="13" w:name="_Toc25855"/>
      <w:r>
        <w:rPr>
          <w:rFonts w:hint="default" w:ascii="Times New Roman" w:hAnsi="Times New Roman"/>
          <w:lang w:val="en-US" w:eastAsia="zh-CN"/>
        </w:rPr>
        <w:t>（</w:t>
      </w:r>
      <w:r>
        <w:rPr>
          <w:rFonts w:hint="eastAsia" w:ascii="Times New Roman" w:hAnsi="Times New Roman"/>
          <w:lang w:val="en-US" w:eastAsia="zh-CN"/>
        </w:rPr>
        <w:t>四</w:t>
      </w:r>
      <w:r>
        <w:rPr>
          <w:rFonts w:hint="default" w:ascii="Times New Roman" w:hAnsi="Times New Roman"/>
          <w:lang w:val="en-US" w:eastAsia="zh-CN"/>
        </w:rPr>
        <w:t>）国内研究综述</w:t>
      </w:r>
      <w:bookmarkEnd w:id="13"/>
    </w:p>
    <w:p w14:paraId="091638ED">
      <w:pPr>
        <w:bidi w:val="0"/>
        <w:rPr>
          <w:rFonts w:hint="eastAsia" w:ascii="Times New Roman" w:hAnsi="Times New Roman"/>
          <w:lang w:val="en-US" w:eastAsia="zh-CN"/>
        </w:rPr>
      </w:pPr>
      <w:r>
        <w:rPr>
          <w:rFonts w:hint="eastAsia" w:ascii="Times New Roman" w:hAnsi="Times New Roman"/>
          <w:lang w:val="en-US" w:eastAsia="zh-CN"/>
        </w:rPr>
        <w:t>在证券虚假陈述责任纠纷这类案件里，因果关系如何认定，一直是我国资本市场民事责任制度中最有争议的环节之一。从2003年《最高人民法院关于审理证券市场因虚假陈述引发的民事赔偿案件的若干规定》（法释〔2003〕2号，下称“2003年虚假陈述解释”）首次确立“推定因果关系”开始，学界就围绕着交易因果关系和损失因果关系是否应独立认定、被告可提出哪些抗辩理由、系统风险如何扣除等一系列核心问题，一直讨论到现在，但至今也没能在理论框架上达成共识。这几年，随着</w:t>
      </w:r>
      <w:r>
        <w:rPr>
          <w:rFonts w:hint="eastAsia" w:ascii="Times New Roman" w:hAnsi="Times New Roman"/>
          <w:highlight w:val="none"/>
          <w:lang w:val="en-US" w:eastAsia="zh-CN"/>
        </w:rPr>
        <w:t>2022年虚假陈述解释</w:t>
      </w:r>
      <w:r>
        <w:rPr>
          <w:rFonts w:hint="eastAsia" w:ascii="Times New Roman" w:hAnsi="Times New Roman"/>
          <w:lang w:val="en-US" w:eastAsia="zh-CN"/>
        </w:rPr>
        <w:t>的颁布实施，再加上中央“零容忍”政策的明确要求，因果关系相关的研究方向也发生了明显变化：从规范解释转向实证检验，从单一要件转向多元抗辩，从理论移植转向本土规则的重塑。</w:t>
      </w:r>
    </w:p>
    <w:p w14:paraId="5FFB05C8">
      <w:pPr>
        <w:bidi w:val="0"/>
        <w:rPr>
          <w:rStyle w:val="19"/>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lang w:val="en-US" w:eastAsia="zh-CN"/>
        </w:rPr>
        <w:t>早期研究大多集中在美国“欺诈市场理论”的引进和本土化改造上。比如学者焦津洪就指出，我国资本市场还没达到美国那种半强式有效市场的水平，直接照搬FOMT理论，可能会加重上市公司的负担。所以他建议，把主板市场和中小创市场区分开，适用不同的推定标准。</w:t>
      </w:r>
      <w:r>
        <w:rPr>
          <w:rStyle w:val="22"/>
          <w:rFonts w:hint="default" w:ascii="Times New Roman" w:hAnsi="Times New Roman"/>
          <w:lang w:val="en-US" w:eastAsia="zh-CN"/>
        </w:rPr>
        <w:footnoteReference w:id="1"/>
      </w:r>
      <w:r>
        <w:rPr>
          <w:rFonts w:hint="eastAsia" w:ascii="Times New Roman" w:hAnsi="Times New Roman"/>
          <w:lang w:val="en-US" w:eastAsia="zh-CN"/>
        </w:rPr>
        <w:t>学者郭锋则强调，2003年虚假陈述解释的第十八条把交易因果关系和损失因果关系混在一起没分开，这就导致法院在处理系统风险扣除的时候缺少明确的指引，结果实践中出现了要么全扣、要么全不扣两种极端的做法。</w:t>
      </w:r>
      <w:r>
        <w:rPr>
          <w:rStyle w:val="22"/>
          <w:rFonts w:hint="eastAsia" w:ascii="Times New Roman" w:hAnsi="Times New Roman"/>
          <w:color w:val="000000" w:themeColor="text1"/>
          <w:lang w:val="en-US" w:eastAsia="zh-CN"/>
          <w14:textFill>
            <w14:solidFill>
              <w14:schemeClr w14:val="tx1"/>
            </w14:solidFill>
          </w14:textFill>
        </w:rPr>
        <w:footnoteReference w:id="2"/>
      </w:r>
    </w:p>
    <w:p w14:paraId="258DCB48">
      <w:pPr>
        <w:bidi w:val="0"/>
        <w:rPr>
          <w:rStyle w:val="19"/>
          <w:rFonts w:hint="default" w:ascii="Times New Roman" w:hAnsi="Times New Roman"/>
          <w:lang w:val="en-US" w:eastAsia="zh-CN"/>
        </w:rPr>
      </w:pPr>
      <w:r>
        <w:rPr>
          <w:rFonts w:hint="default" w:ascii="Times New Roman" w:hAnsi="Times New Roman"/>
          <w:lang w:val="en-US" w:eastAsia="zh-CN"/>
        </w:rPr>
        <w:t>2022年虚假陈述解释把行政处罚前置程序取消掉之后，因果关系推定的适用范围比以前更大了，相关的研究议题也跟着变得更</w:t>
      </w:r>
      <w:r>
        <w:rPr>
          <w:rFonts w:hint="eastAsia" w:ascii="Times New Roman" w:hAnsi="Times New Roman"/>
          <w:lang w:val="en-US" w:eastAsia="zh-CN"/>
        </w:rPr>
        <w:t>细化</w:t>
      </w:r>
      <w:r>
        <w:rPr>
          <w:rFonts w:hint="default" w:ascii="Times New Roman" w:hAnsi="Times New Roman"/>
          <w:lang w:val="en-US" w:eastAsia="zh-CN"/>
        </w:rPr>
        <w:t>、更具体。学者陈洁在梳理新规条文后提到，第十一条把</w:t>
      </w:r>
      <w:r>
        <w:rPr>
          <w:rFonts w:hint="eastAsia" w:ascii="Times New Roman" w:hAnsi="Times New Roman"/>
          <w:lang w:val="en-US" w:eastAsia="zh-CN"/>
        </w:rPr>
        <w:t>“</w:t>
      </w:r>
      <w:r>
        <w:rPr>
          <w:rFonts w:hint="default" w:ascii="Times New Roman" w:hAnsi="Times New Roman"/>
          <w:lang w:val="en-US" w:eastAsia="zh-CN"/>
        </w:rPr>
        <w:t>重大性</w:t>
      </w:r>
      <w:r>
        <w:rPr>
          <w:rFonts w:hint="eastAsia" w:ascii="Times New Roman" w:hAnsi="Times New Roman"/>
          <w:lang w:val="en-US" w:eastAsia="zh-CN"/>
        </w:rPr>
        <w:t>”</w:t>
      </w:r>
      <w:r>
        <w:rPr>
          <w:rFonts w:hint="default" w:ascii="Times New Roman" w:hAnsi="Times New Roman"/>
          <w:lang w:val="en-US" w:eastAsia="zh-CN"/>
        </w:rPr>
        <w:t>和</w:t>
      </w:r>
      <w:r>
        <w:rPr>
          <w:rFonts w:hint="eastAsia" w:ascii="Times New Roman" w:hAnsi="Times New Roman"/>
          <w:lang w:val="en-US" w:eastAsia="zh-CN"/>
        </w:rPr>
        <w:t>“</w:t>
      </w:r>
      <w:r>
        <w:rPr>
          <w:rFonts w:hint="default" w:ascii="Times New Roman" w:hAnsi="Times New Roman"/>
          <w:lang w:val="en-US" w:eastAsia="zh-CN"/>
        </w:rPr>
        <w:t>交易因果关系</w:t>
      </w:r>
      <w:r>
        <w:rPr>
          <w:rFonts w:hint="eastAsia" w:ascii="Times New Roman" w:hAnsi="Times New Roman"/>
          <w:lang w:val="en-US" w:eastAsia="zh-CN"/>
        </w:rPr>
        <w:t>”</w:t>
      </w:r>
      <w:r>
        <w:rPr>
          <w:rFonts w:hint="default" w:ascii="Times New Roman" w:hAnsi="Times New Roman"/>
          <w:lang w:val="en-US" w:eastAsia="zh-CN"/>
        </w:rPr>
        <w:t>拆开处理了，把</w:t>
      </w:r>
      <w:r>
        <w:rPr>
          <w:rFonts w:hint="eastAsia" w:ascii="Times New Roman" w:hAnsi="Times New Roman"/>
          <w:lang w:val="en-US" w:eastAsia="zh-CN"/>
        </w:rPr>
        <w:t>“</w:t>
      </w:r>
      <w:r>
        <w:rPr>
          <w:rFonts w:hint="default" w:ascii="Times New Roman" w:hAnsi="Times New Roman"/>
          <w:lang w:val="en-US" w:eastAsia="zh-CN"/>
        </w:rPr>
        <w:t>价格敏感性</w:t>
      </w:r>
      <w:r>
        <w:rPr>
          <w:rFonts w:hint="eastAsia" w:ascii="Times New Roman" w:hAnsi="Times New Roman"/>
          <w:lang w:val="en-US" w:eastAsia="zh-CN"/>
        </w:rPr>
        <w:t>”</w:t>
      </w:r>
      <w:r>
        <w:rPr>
          <w:rFonts w:hint="default" w:ascii="Times New Roman" w:hAnsi="Times New Roman"/>
          <w:lang w:val="en-US" w:eastAsia="zh-CN"/>
        </w:rPr>
        <w:t>单独作为一个构成要件。这样一来，原告在起诉阶段的举证难度确实降低了，但第十二条里列出的那些抗辩事由中，</w:t>
      </w:r>
      <w:r>
        <w:rPr>
          <w:rFonts w:hint="eastAsia" w:ascii="Times New Roman" w:hAnsi="Times New Roman"/>
          <w:lang w:val="en-US" w:eastAsia="zh-CN"/>
        </w:rPr>
        <w:t>“</w:t>
      </w:r>
      <w:r>
        <w:rPr>
          <w:rFonts w:hint="default" w:ascii="Times New Roman" w:hAnsi="Times New Roman"/>
          <w:lang w:val="en-US" w:eastAsia="zh-CN"/>
        </w:rPr>
        <w:t>市场已知</w:t>
      </w:r>
      <w:r>
        <w:rPr>
          <w:rFonts w:hint="eastAsia" w:ascii="Times New Roman" w:hAnsi="Times New Roman"/>
          <w:lang w:val="en-US" w:eastAsia="zh-CN"/>
        </w:rPr>
        <w:t>”</w:t>
      </w:r>
      <w:r>
        <w:rPr>
          <w:rFonts w:hint="default" w:ascii="Times New Roman" w:hAnsi="Times New Roman"/>
          <w:lang w:val="en-US" w:eastAsia="zh-CN"/>
        </w:rPr>
        <w:t>和</w:t>
      </w:r>
      <w:r>
        <w:rPr>
          <w:rFonts w:hint="eastAsia" w:ascii="Times New Roman" w:hAnsi="Times New Roman"/>
          <w:lang w:val="en-US" w:eastAsia="zh-CN"/>
        </w:rPr>
        <w:t>“</w:t>
      </w:r>
      <w:r>
        <w:rPr>
          <w:rFonts w:hint="default" w:ascii="Times New Roman" w:hAnsi="Times New Roman"/>
          <w:lang w:val="en-US" w:eastAsia="zh-CN"/>
        </w:rPr>
        <w:t>投资者明知</w:t>
      </w:r>
      <w:r>
        <w:rPr>
          <w:rFonts w:hint="eastAsia" w:ascii="Times New Roman" w:hAnsi="Times New Roman"/>
          <w:lang w:val="en-US" w:eastAsia="zh-CN"/>
        </w:rPr>
        <w:t>”</w:t>
      </w:r>
      <w:r>
        <w:rPr>
          <w:rFonts w:hint="default" w:ascii="Times New Roman" w:hAnsi="Times New Roman"/>
          <w:lang w:val="en-US" w:eastAsia="zh-CN"/>
        </w:rPr>
        <w:t>这两项的证明标准，到现在也还</w:t>
      </w:r>
      <w:r>
        <w:rPr>
          <w:rFonts w:hint="eastAsia" w:ascii="Times New Roman" w:hAnsi="Times New Roman"/>
          <w:lang w:val="en-US" w:eastAsia="zh-CN"/>
        </w:rPr>
        <w:t>未</w:t>
      </w:r>
      <w:r>
        <w:rPr>
          <w:rFonts w:hint="default" w:ascii="Times New Roman" w:hAnsi="Times New Roman"/>
          <w:lang w:val="en-US" w:eastAsia="zh-CN"/>
        </w:rPr>
        <w:t>明确下来。</w:t>
      </w:r>
      <w:r>
        <w:rPr>
          <w:rStyle w:val="22"/>
          <w:rFonts w:hint="default" w:ascii="Times New Roman" w:hAnsi="Times New Roman"/>
          <w:lang w:val="en-US" w:eastAsia="zh-CN"/>
        </w:rPr>
        <w:footnoteReference w:id="3"/>
      </w:r>
    </w:p>
    <w:p w14:paraId="56DD992D">
      <w:pPr>
        <w:bidi w:val="0"/>
        <w:rPr>
          <w:rStyle w:val="19"/>
          <w:rFonts w:hint="default" w:ascii="Times New Roman" w:hAnsi="Times New Roman"/>
          <w:lang w:val="en-US" w:eastAsia="zh-CN"/>
        </w:rPr>
      </w:pPr>
      <w:r>
        <w:rPr>
          <w:rFonts w:hint="eastAsia" w:ascii="Times New Roman" w:hAnsi="Times New Roman"/>
          <w:lang w:val="en-US" w:eastAsia="zh-CN"/>
        </w:rPr>
        <w:t>在</w:t>
      </w:r>
      <w:r>
        <w:rPr>
          <w:rFonts w:hint="default" w:ascii="Times New Roman" w:hAnsi="Times New Roman"/>
          <w:lang w:val="en-US" w:eastAsia="zh-CN"/>
        </w:rPr>
        <w:t>损失因果关系这一</w:t>
      </w:r>
      <w:r>
        <w:rPr>
          <w:rFonts w:hint="eastAsia" w:ascii="Times New Roman" w:hAnsi="Times New Roman"/>
          <w:lang w:val="en-US" w:eastAsia="zh-CN"/>
        </w:rPr>
        <w:t>层面</w:t>
      </w:r>
      <w:r>
        <w:rPr>
          <w:rFonts w:hint="default" w:ascii="Times New Roman" w:hAnsi="Times New Roman"/>
          <w:lang w:val="en-US" w:eastAsia="zh-CN"/>
        </w:rPr>
        <w:t>，系统风险具体</w:t>
      </w:r>
      <w:r>
        <w:rPr>
          <w:rFonts w:hint="eastAsia" w:ascii="Times New Roman" w:hAnsi="Times New Roman"/>
          <w:lang w:val="en-US" w:eastAsia="zh-CN"/>
        </w:rPr>
        <w:t>如何</w:t>
      </w:r>
      <w:r>
        <w:rPr>
          <w:rFonts w:hint="default" w:ascii="Times New Roman" w:hAnsi="Times New Roman"/>
          <w:lang w:val="en-US" w:eastAsia="zh-CN"/>
        </w:rPr>
        <w:t>扣除，成了学者们重点讨论的新话题。彭冰主张</w:t>
      </w:r>
      <w:r>
        <w:rPr>
          <w:rFonts w:hint="eastAsia" w:ascii="Times New Roman" w:hAnsi="Times New Roman"/>
          <w:lang w:val="en-US" w:eastAsia="zh-CN"/>
        </w:rPr>
        <w:t>以</w:t>
      </w:r>
      <w:r>
        <w:rPr>
          <w:rFonts w:hint="default" w:ascii="Times New Roman" w:hAnsi="Times New Roman"/>
          <w:lang w:val="en-US" w:eastAsia="zh-CN"/>
        </w:rPr>
        <w:t>“多因子+行业指数”</w:t>
      </w:r>
      <w:r>
        <w:rPr>
          <w:rFonts w:hint="eastAsia" w:ascii="Times New Roman" w:hAnsi="Times New Roman"/>
          <w:lang w:val="en-US" w:eastAsia="zh-CN"/>
        </w:rPr>
        <w:t>为</w:t>
      </w:r>
      <w:r>
        <w:rPr>
          <w:rFonts w:hint="default" w:ascii="Times New Roman" w:hAnsi="Times New Roman"/>
          <w:lang w:val="en-US" w:eastAsia="zh-CN"/>
        </w:rPr>
        <w:t>基准，他认为CAPM单因子模型</w:t>
      </w:r>
      <w:r>
        <w:rPr>
          <w:rFonts w:hint="eastAsia" w:ascii="Times New Roman" w:hAnsi="Times New Roman"/>
          <w:lang w:val="en-US" w:eastAsia="zh-CN"/>
        </w:rPr>
        <w:t>无法准确计算</w:t>
      </w:r>
      <w:r>
        <w:rPr>
          <w:rFonts w:hint="default" w:ascii="Times New Roman" w:hAnsi="Times New Roman"/>
          <w:lang w:val="en-US" w:eastAsia="zh-CN"/>
        </w:rPr>
        <w:t>行业政策对证券价格的影响，所以建议最高人民法院发布一份分行业的因子载荷表，</w:t>
      </w:r>
      <w:r>
        <w:rPr>
          <w:rFonts w:hint="eastAsia" w:ascii="Times New Roman" w:hAnsi="Times New Roman"/>
          <w:lang w:val="en-US" w:eastAsia="zh-CN"/>
        </w:rPr>
        <w:t>有助于</w:t>
      </w:r>
      <w:r>
        <w:rPr>
          <w:rFonts w:hint="default" w:ascii="Times New Roman" w:hAnsi="Times New Roman"/>
          <w:lang w:val="en-US" w:eastAsia="zh-CN"/>
        </w:rPr>
        <w:t>模型</w:t>
      </w:r>
      <w:r>
        <w:rPr>
          <w:rFonts w:hint="eastAsia" w:ascii="Times New Roman" w:hAnsi="Times New Roman"/>
          <w:lang w:val="en-US" w:eastAsia="zh-CN"/>
        </w:rPr>
        <w:t>使用透明化</w:t>
      </w:r>
      <w:r>
        <w:rPr>
          <w:rFonts w:hint="default" w:ascii="Times New Roman" w:hAnsi="Times New Roman"/>
          <w:lang w:val="en-US" w:eastAsia="zh-CN"/>
        </w:rPr>
        <w:t>、结果也更有可比性。</w:t>
      </w:r>
      <w:r>
        <w:rPr>
          <w:rStyle w:val="22"/>
          <w:rFonts w:hint="default" w:ascii="Times New Roman" w:hAnsi="Times New Roman"/>
          <w:lang w:val="en-US" w:eastAsia="zh-CN"/>
        </w:rPr>
        <w:footnoteReference w:id="4"/>
      </w:r>
      <w:r>
        <w:rPr>
          <w:rFonts w:hint="default" w:ascii="Times New Roman" w:hAnsi="Times New Roman"/>
          <w:lang w:val="en-US" w:eastAsia="zh-CN"/>
        </w:rPr>
        <w:t>宋建宝则进一步指出，债券市场流动性跟股票市场不一样，</w:t>
      </w:r>
      <w:r>
        <w:rPr>
          <w:rFonts w:hint="eastAsia" w:ascii="Times New Roman" w:hAnsi="Times New Roman"/>
          <w:lang w:val="en-US" w:eastAsia="zh-CN"/>
        </w:rPr>
        <w:t>将</w:t>
      </w:r>
      <w:r>
        <w:rPr>
          <w:rFonts w:hint="default" w:ascii="Times New Roman" w:hAnsi="Times New Roman"/>
          <w:lang w:val="en-US" w:eastAsia="zh-CN"/>
        </w:rPr>
        <w:t>股票价格模型</w:t>
      </w:r>
      <w:r>
        <w:rPr>
          <w:rFonts w:hint="eastAsia" w:ascii="Times New Roman" w:hAnsi="Times New Roman"/>
          <w:lang w:val="en-US" w:eastAsia="zh-CN"/>
        </w:rPr>
        <w:t>强行套用至证券</w:t>
      </w:r>
      <w:r>
        <w:rPr>
          <w:rFonts w:hint="default" w:ascii="Times New Roman" w:hAnsi="Times New Roman"/>
          <w:lang w:val="en-US" w:eastAsia="zh-CN"/>
        </w:rPr>
        <w:t>虚假陈述案件，</w:t>
      </w:r>
      <w:r>
        <w:rPr>
          <w:rFonts w:hint="eastAsia" w:ascii="Times New Roman" w:hAnsi="Times New Roman"/>
          <w:lang w:val="en-US" w:eastAsia="zh-CN"/>
        </w:rPr>
        <w:t>往往会导致结果是去真实性与准确性</w:t>
      </w:r>
      <w:r>
        <w:rPr>
          <w:rFonts w:hint="default" w:ascii="Times New Roman" w:hAnsi="Times New Roman"/>
          <w:lang w:val="en-US" w:eastAsia="zh-CN"/>
        </w:rPr>
        <w:t>。他建议对银行间市场和交易所市场分别构建债券收益率曲面，用“无风险利率+信用利差”这个双因子框架，重新计算投资者的损失。</w:t>
      </w:r>
      <w:r>
        <w:rPr>
          <w:rStyle w:val="22"/>
          <w:rFonts w:hint="default" w:ascii="Times New Roman" w:hAnsi="Times New Roman"/>
          <w:lang w:val="en-US" w:eastAsia="zh-CN"/>
        </w:rPr>
        <w:footnoteReference w:id="5"/>
      </w:r>
    </w:p>
    <w:p w14:paraId="0AB6DCEA">
      <w:pPr>
        <w:bidi w:val="0"/>
        <w:rPr>
          <w:rFonts w:hint="eastAsia" w:ascii="Times New Roman" w:hAnsi="Times New Roman"/>
          <w:lang w:val="en-US" w:eastAsia="zh-CN"/>
        </w:rPr>
      </w:pPr>
      <w:r>
        <w:rPr>
          <w:rFonts w:hint="eastAsia" w:ascii="Times New Roman" w:hAnsi="Times New Roman"/>
          <w:lang w:val="en-US" w:eastAsia="zh-CN"/>
        </w:rPr>
        <w:t>此外，学者们也开始关注新三板、北交所这类分层市场的差异化认定问题。理查德·布斯学者指出，北交所的日均换手率还不到科创板的三分之一，如果直接把“有效市场推定”套用到北交所，会给上市公司施加过高的责任压力。所以他建议，引入“流动性折扣系数”来限制推定的效力：具体来说，如果揭露日之前的20个交易日里，平均换手率低于百分之一，那么原告就需要额外拿出证据，证明自己“实际知悉并信赖”了虚假陈述，才能推定因果关系成立。</w:t>
      </w:r>
      <w:r>
        <w:rPr>
          <w:rStyle w:val="22"/>
          <w:rFonts w:hint="default" w:ascii="Times New Roman" w:hAnsi="Times New Roman"/>
          <w:lang w:val="en-US" w:eastAsia="zh-CN"/>
        </w:rPr>
        <w:footnoteReference w:id="6"/>
      </w:r>
    </w:p>
    <w:p w14:paraId="6EDD58DE">
      <w:pPr>
        <w:bidi w:val="0"/>
        <w:rPr>
          <w:rFonts w:hint="eastAsia" w:ascii="Times New Roman" w:hAnsi="Times New Roman"/>
          <w:lang w:val="en-US" w:eastAsia="zh-CN"/>
        </w:rPr>
      </w:pPr>
      <w:r>
        <w:rPr>
          <w:rFonts w:hint="eastAsia" w:ascii="Times New Roman" w:hAnsi="Times New Roman"/>
          <w:lang w:val="en-US" w:eastAsia="zh-CN"/>
        </w:rPr>
        <w:t>关于举证责任分配和专家辅助人制度，不少研究都认为，多因子模型要想在司法实践中发挥真实作用，首先需要保证模型运行的程序是规范的、有章可循的。王春平、吴耀宏两位学者指出，目前证券虚假陈述责任纠纷，特别是代表人诉讼里面，法院主动依职权委托第三方机构出《投资损失测算报告》的比例，还不到10%。大部分案件还是原告律师自己用Excel模板算一算就交上去，这样一来，被告只能针对形式上的东西进行质证，很难触及实质。他们建议引入“法庭之友”制度，让交易所下属的行业公司或者证券金融研究机构来做中立的测算，费用由司法救助基金出。这样既能保障报告的中立性和权威性，也能降低中小投资者的维权成本。</w:t>
      </w:r>
      <w:r>
        <w:rPr>
          <w:rStyle w:val="22"/>
          <w:rFonts w:hint="default" w:ascii="Times New Roman" w:hAnsi="Times New Roman"/>
          <w:lang w:val="en-US" w:eastAsia="zh-CN"/>
        </w:rPr>
        <w:footnoteReference w:id="7"/>
      </w:r>
      <w:r>
        <w:rPr>
          <w:rFonts w:hint="eastAsia" w:ascii="Times New Roman" w:hAnsi="Times New Roman"/>
          <w:lang w:val="en-US" w:eastAsia="zh-CN"/>
        </w:rPr>
        <w:t>陈洁则强调，应该建立“专家意见白名单”制度。对于那些具备证券期货业务评估资格、而且近三年没受过行政处罚的机构出具的意见，直接赋予相应的证明效力。这样一来，便可降低法院审查模型可信度的难度。</w:t>
      </w:r>
      <w:r>
        <w:rPr>
          <w:rStyle w:val="22"/>
          <w:rFonts w:hint="default" w:ascii="Times New Roman" w:hAnsi="Times New Roman"/>
          <w:lang w:val="en-US" w:eastAsia="zh-CN"/>
        </w:rPr>
        <w:footnoteReference w:id="8"/>
      </w:r>
    </w:p>
    <w:p w14:paraId="0DADBF5E">
      <w:pPr>
        <w:bidi w:val="0"/>
        <w:rPr>
          <w:rFonts w:hint="default" w:ascii="Times New Roman" w:hAnsi="Times New Roman"/>
          <w:lang w:val="en-US" w:eastAsia="zh-CN"/>
        </w:rPr>
      </w:pPr>
      <w:r>
        <w:rPr>
          <w:rFonts w:hint="default" w:ascii="Times New Roman" w:hAnsi="Times New Roman"/>
          <w:lang w:val="en-US" w:eastAsia="zh-CN"/>
        </w:rPr>
        <w:t>债券虚假陈述中的因果关系</w:t>
      </w:r>
      <w:r>
        <w:rPr>
          <w:rFonts w:hint="eastAsia" w:ascii="Times New Roman" w:hAnsi="Times New Roman"/>
          <w:lang w:val="en-US" w:eastAsia="zh-CN"/>
        </w:rPr>
        <w:t>如何</w:t>
      </w:r>
      <w:r>
        <w:rPr>
          <w:rFonts w:hint="default" w:ascii="Times New Roman" w:hAnsi="Times New Roman"/>
          <w:lang w:val="en-US" w:eastAsia="zh-CN"/>
        </w:rPr>
        <w:t>认定，也</w:t>
      </w:r>
      <w:r>
        <w:rPr>
          <w:rFonts w:hint="eastAsia" w:ascii="Times New Roman" w:hAnsi="Times New Roman"/>
          <w:lang w:val="en-US" w:eastAsia="zh-CN"/>
        </w:rPr>
        <w:t>逐渐成为一个新兴的</w:t>
      </w:r>
      <w:r>
        <w:rPr>
          <w:rFonts w:hint="default" w:ascii="Times New Roman" w:hAnsi="Times New Roman"/>
          <w:lang w:val="en-US" w:eastAsia="zh-CN"/>
        </w:rPr>
        <w:t>研究</w:t>
      </w:r>
      <w:r>
        <w:rPr>
          <w:rFonts w:hint="eastAsia" w:ascii="Times New Roman" w:hAnsi="Times New Roman"/>
          <w:lang w:val="en-US" w:eastAsia="zh-CN"/>
        </w:rPr>
        <w:t>方向</w:t>
      </w:r>
      <w:r>
        <w:rPr>
          <w:rFonts w:hint="default" w:ascii="Times New Roman" w:hAnsi="Times New Roman"/>
          <w:lang w:val="en-US" w:eastAsia="zh-CN"/>
        </w:rPr>
        <w:t>。宋建宝指出，债券市场里的投资者大多是专业机构，获取信息的渠道比较多。如果直接把股票市场那套“</w:t>
      </w:r>
      <w:r>
        <w:rPr>
          <w:rFonts w:hint="eastAsia" w:ascii="Times New Roman" w:hAnsi="Times New Roman"/>
          <w:lang w:val="en-US" w:eastAsia="zh-CN"/>
        </w:rPr>
        <w:t>信赖推定</w:t>
      </w:r>
      <w:r>
        <w:rPr>
          <w:rFonts w:hint="default" w:ascii="Times New Roman" w:hAnsi="Times New Roman"/>
          <w:lang w:val="en-US" w:eastAsia="zh-CN"/>
        </w:rPr>
        <w:t>”原则硬搬过来用，很可能会过度保护这些机构，反过来压制了发行人的合理融资需求。他建议，对“公募债”和“私募债”分别适用不同的推定规则：公募债这边可以继续用因果关系推定，但同时允许发行人拿“债券持有人已经知道并且也没反对”作为抗辩理由；私募债这边就回到一般侵权规则的框架下，由原告自己去证明“实际信赖”。</w:t>
      </w:r>
      <w:r>
        <w:rPr>
          <w:rStyle w:val="22"/>
          <w:rFonts w:hint="default" w:ascii="Times New Roman" w:hAnsi="Times New Roman"/>
          <w:lang w:val="en-US" w:eastAsia="zh-CN"/>
        </w:rPr>
        <w:footnoteReference w:id="9"/>
      </w:r>
      <w:r>
        <w:rPr>
          <w:rFonts w:hint="default" w:ascii="Times New Roman" w:hAnsi="Times New Roman"/>
          <w:lang w:val="en-US" w:eastAsia="zh-CN"/>
        </w:rPr>
        <w:t>这个观点在（2022）鲁02民初1721号案的一审判决里被部分采纳了。法院认为，私募债的持有人都是银行、保险这类专业机构，如果硬要适用</w:t>
      </w:r>
      <w:r>
        <w:rPr>
          <w:rFonts w:hint="eastAsia" w:ascii="Times New Roman" w:hAnsi="Times New Roman"/>
          <w:lang w:val="en-US" w:eastAsia="zh-CN"/>
        </w:rPr>
        <w:t>信赖推定</w:t>
      </w:r>
      <w:r>
        <w:rPr>
          <w:rFonts w:hint="default" w:ascii="Times New Roman" w:hAnsi="Times New Roman"/>
          <w:lang w:val="en-US" w:eastAsia="zh-CN"/>
        </w:rPr>
        <w:t>原则，跟实际的交易情况对不上，所以驳回了原告的诉讼请求。</w:t>
      </w:r>
      <w:r>
        <w:rPr>
          <w:rStyle w:val="22"/>
          <w:rFonts w:hint="default" w:ascii="Times New Roman" w:hAnsi="Times New Roman"/>
          <w:lang w:val="en-US" w:eastAsia="zh-CN"/>
        </w:rPr>
        <w:footnoteReference w:id="10"/>
      </w:r>
    </w:p>
    <w:p w14:paraId="74095DD4">
      <w:pPr>
        <w:bidi w:val="0"/>
        <w:rPr>
          <w:rFonts w:hint="default" w:ascii="Times New Roman" w:hAnsi="Times New Roman"/>
          <w:lang w:val="en-US" w:eastAsia="zh-CN"/>
        </w:rPr>
      </w:pPr>
      <w:r>
        <w:rPr>
          <w:rFonts w:hint="eastAsia" w:ascii="Times New Roman" w:hAnsi="Times New Roman"/>
          <w:lang w:val="en-US" w:eastAsia="zh-CN"/>
        </w:rPr>
        <w:t>综上</w:t>
      </w:r>
      <w:r>
        <w:rPr>
          <w:rFonts w:hint="default" w:ascii="Times New Roman" w:hAnsi="Times New Roman"/>
          <w:lang w:val="en-US" w:eastAsia="zh-CN"/>
        </w:rPr>
        <w:t>，国内关于证券虚假陈述责任纠纷中因果关系的研究，整体上经历了从理论移植、到实证检验、再到规则重塑这样一个转变过程。一方面，2022年虚假陈述解释给交易因果关系和损失因果关系的分层独立认定提供了法律依据，但推定的边界</w:t>
      </w:r>
      <w:r>
        <w:rPr>
          <w:rFonts w:hint="eastAsia" w:ascii="Times New Roman" w:hAnsi="Times New Roman"/>
          <w:lang w:val="en-US" w:eastAsia="zh-CN"/>
        </w:rPr>
        <w:t>如何划分</w:t>
      </w:r>
      <w:r>
        <w:rPr>
          <w:rFonts w:hint="default" w:ascii="Times New Roman" w:hAnsi="Times New Roman"/>
          <w:lang w:val="en-US" w:eastAsia="zh-CN"/>
        </w:rPr>
        <w:t>、抗辩事由</w:t>
      </w:r>
      <w:r>
        <w:rPr>
          <w:rFonts w:hint="eastAsia" w:ascii="Times New Roman" w:hAnsi="Times New Roman"/>
          <w:lang w:val="en-US" w:eastAsia="zh-CN"/>
        </w:rPr>
        <w:t>如何</w:t>
      </w:r>
      <w:r>
        <w:rPr>
          <w:rFonts w:hint="default" w:ascii="Times New Roman" w:hAnsi="Times New Roman"/>
          <w:lang w:val="en-US" w:eastAsia="zh-CN"/>
        </w:rPr>
        <w:t>审查、计量模型</w:t>
      </w:r>
      <w:r>
        <w:rPr>
          <w:rFonts w:hint="eastAsia" w:ascii="Times New Roman" w:hAnsi="Times New Roman"/>
          <w:lang w:val="en-US" w:eastAsia="zh-CN"/>
        </w:rPr>
        <w:t>如何选择</w:t>
      </w:r>
      <w:r>
        <w:rPr>
          <w:rFonts w:hint="default" w:ascii="Times New Roman" w:hAnsi="Times New Roman"/>
          <w:lang w:val="en-US" w:eastAsia="zh-CN"/>
        </w:rPr>
        <w:t>，这些微观技术问题</w:t>
      </w:r>
      <w:r>
        <w:rPr>
          <w:rFonts w:hint="eastAsia" w:ascii="Times New Roman" w:hAnsi="Times New Roman"/>
          <w:lang w:val="en-US" w:eastAsia="zh-CN"/>
        </w:rPr>
        <w:t>至今未能统一</w:t>
      </w:r>
      <w:r>
        <w:rPr>
          <w:rFonts w:hint="default" w:ascii="Times New Roman" w:hAnsi="Times New Roman"/>
          <w:lang w:val="en-US" w:eastAsia="zh-CN"/>
        </w:rPr>
        <w:t>。另一方面，这几年大数据和人工智能工具的引入，确实给系统风险的精确计算提供了技术上的可能性，</w:t>
      </w:r>
      <w:r>
        <w:rPr>
          <w:rFonts w:hint="eastAsia" w:ascii="Times New Roman" w:hAnsi="Times New Roman"/>
          <w:lang w:val="en-US" w:eastAsia="zh-CN"/>
        </w:rPr>
        <w:t>但</w:t>
      </w:r>
      <w:r>
        <w:rPr>
          <w:rFonts w:hint="default" w:ascii="Times New Roman" w:hAnsi="Times New Roman"/>
          <w:lang w:val="en-US" w:eastAsia="zh-CN"/>
        </w:rPr>
        <w:t>算法的透明度、专家辅助人的程序安排、跨区域的知识共享这些制度配套，都还需要进一步健全和完善。所以，国内在证券虚假陈述责任纠纷的因果关系认定这块，还有</w:t>
      </w:r>
      <w:r>
        <w:rPr>
          <w:rFonts w:hint="eastAsia" w:ascii="Times New Roman" w:hAnsi="Times New Roman"/>
          <w:lang w:val="en-US" w:eastAsia="zh-CN"/>
        </w:rPr>
        <w:t>较大</w:t>
      </w:r>
      <w:r>
        <w:rPr>
          <w:rFonts w:hint="default" w:ascii="Times New Roman" w:hAnsi="Times New Roman"/>
          <w:lang w:val="en-US" w:eastAsia="zh-CN"/>
        </w:rPr>
        <w:t>的研究空间，把这个方向做深做细，对完善这类案件的理论和实践都很</w:t>
      </w:r>
      <w:r>
        <w:rPr>
          <w:rFonts w:hint="eastAsia" w:ascii="Times New Roman" w:hAnsi="Times New Roman"/>
          <w:lang w:val="en-US" w:eastAsia="zh-CN"/>
        </w:rPr>
        <w:t>具有重要</w:t>
      </w:r>
      <w:r>
        <w:rPr>
          <w:rFonts w:hint="default" w:ascii="Times New Roman" w:hAnsi="Times New Roman"/>
          <w:lang w:val="en-US" w:eastAsia="zh-CN"/>
        </w:rPr>
        <w:t>意义。</w:t>
      </w:r>
    </w:p>
    <w:p w14:paraId="1C1947BA">
      <w:pPr>
        <w:pStyle w:val="3"/>
        <w:bidi w:val="0"/>
        <w:rPr>
          <w:rFonts w:hint="default" w:ascii="Times New Roman" w:hAnsi="Times New Roman"/>
          <w:lang w:val="en-US" w:eastAsia="zh-CN"/>
        </w:rPr>
      </w:pPr>
      <w:bookmarkStart w:id="14" w:name="_Toc22146"/>
      <w:r>
        <w:rPr>
          <w:rFonts w:hint="default" w:ascii="Times New Roman" w:hAnsi="Times New Roman"/>
          <w:lang w:val="en-US" w:eastAsia="zh-CN"/>
        </w:rPr>
        <w:t>（</w:t>
      </w:r>
      <w:r>
        <w:rPr>
          <w:rFonts w:hint="eastAsia" w:ascii="Times New Roman" w:hAnsi="Times New Roman"/>
          <w:lang w:val="en-US" w:eastAsia="zh-CN"/>
        </w:rPr>
        <w:t>五</w:t>
      </w:r>
      <w:r>
        <w:rPr>
          <w:rFonts w:hint="default" w:ascii="Times New Roman" w:hAnsi="Times New Roman"/>
          <w:lang w:val="en-US" w:eastAsia="zh-CN"/>
        </w:rPr>
        <w:t>）国外研究综述</w:t>
      </w:r>
      <w:bookmarkEnd w:id="14"/>
    </w:p>
    <w:p w14:paraId="4CCCB143">
      <w:pPr>
        <w:bidi w:val="0"/>
        <w:rPr>
          <w:rFonts w:hint="eastAsia" w:ascii="Times New Roman" w:hAnsi="Times New Roman"/>
          <w:lang w:val="en-US" w:eastAsia="zh-CN"/>
        </w:rPr>
      </w:pPr>
      <w:r>
        <w:rPr>
          <w:rFonts w:hint="eastAsia" w:ascii="Times New Roman" w:hAnsi="Times New Roman"/>
          <w:lang w:val="en-US" w:eastAsia="zh-CN"/>
        </w:rPr>
        <w:t>在美国学界，学者们讨论证券虚假陈述的因果关系时，大多将“欺诈市场理论”作为核心议题来分析。Basic Inc. v. Levinson (1988)案把过去那种“面对面信赖”替换成了“市场信赖”——也就是说，原告不再需要逐个证明自己确实看过并且相信了虚假陈述人散布的那些假消息。这么一来，集团诉讼的举证成本得以大幅降低。不过，这一</w:t>
      </w:r>
      <w:r>
        <w:rPr>
          <w:rFonts w:hint="default" w:ascii="Times New Roman" w:hAnsi="Times New Roman"/>
          <w:lang w:val="en-US" w:eastAsia="zh-CN"/>
        </w:rPr>
        <w:t>判例</w:t>
      </w:r>
      <w:r>
        <w:rPr>
          <w:rFonts w:hint="eastAsia" w:ascii="Times New Roman" w:hAnsi="Times New Roman"/>
          <w:lang w:val="en-US" w:eastAsia="zh-CN"/>
        </w:rPr>
        <w:t>只是</w:t>
      </w:r>
      <w:r>
        <w:rPr>
          <w:rFonts w:hint="default" w:ascii="Times New Roman" w:hAnsi="Times New Roman"/>
          <w:lang w:val="en-US" w:eastAsia="zh-CN"/>
        </w:rPr>
        <w:t>解决</w:t>
      </w:r>
      <w:r>
        <w:rPr>
          <w:rFonts w:hint="eastAsia" w:ascii="Times New Roman" w:hAnsi="Times New Roman"/>
          <w:lang w:val="en-US" w:eastAsia="zh-CN"/>
        </w:rPr>
        <w:t>了“</w:t>
      </w:r>
      <w:r>
        <w:rPr>
          <w:rFonts w:hint="default" w:ascii="Times New Roman" w:hAnsi="Times New Roman"/>
          <w:lang w:val="en-US" w:eastAsia="zh-CN"/>
        </w:rPr>
        <w:t>是否进入交易</w:t>
      </w:r>
      <w:r>
        <w:rPr>
          <w:rFonts w:hint="eastAsia" w:ascii="Times New Roman" w:hAnsi="Times New Roman"/>
          <w:lang w:val="en-US" w:eastAsia="zh-CN"/>
        </w:rPr>
        <w:t>”</w:t>
      </w:r>
      <w:r>
        <w:rPr>
          <w:rFonts w:hint="default" w:ascii="Times New Roman" w:hAnsi="Times New Roman"/>
          <w:lang w:val="en-US" w:eastAsia="zh-CN"/>
        </w:rPr>
        <w:t>的问题，对</w:t>
      </w:r>
      <w:r>
        <w:rPr>
          <w:rFonts w:hint="eastAsia" w:ascii="Times New Roman" w:hAnsi="Times New Roman"/>
          <w:lang w:val="en-US" w:eastAsia="zh-CN"/>
        </w:rPr>
        <w:t>“</w:t>
      </w:r>
      <w:r>
        <w:rPr>
          <w:rFonts w:hint="default" w:ascii="Times New Roman" w:hAnsi="Times New Roman"/>
          <w:lang w:val="en-US" w:eastAsia="zh-CN"/>
        </w:rPr>
        <w:t>损失范围</w:t>
      </w:r>
      <w:r>
        <w:rPr>
          <w:rFonts w:hint="eastAsia" w:ascii="Times New Roman" w:hAnsi="Times New Roman"/>
          <w:lang w:val="en-US" w:eastAsia="zh-CN"/>
        </w:rPr>
        <w:t>”的界定则并未进行任何说明</w:t>
      </w:r>
      <w:r>
        <w:rPr>
          <w:rFonts w:hint="default" w:ascii="Times New Roman" w:hAnsi="Times New Roman"/>
          <w:lang w:val="en-US" w:eastAsia="zh-CN"/>
        </w:rPr>
        <w:t>。</w:t>
      </w:r>
      <w:r>
        <w:rPr>
          <w:rStyle w:val="22"/>
          <w:rFonts w:hint="default" w:ascii="Times New Roman" w:hAnsi="Times New Roman"/>
          <w:lang w:val="en-US" w:eastAsia="zh-CN"/>
        </w:rPr>
        <w:footnoteReference w:id="11"/>
      </w:r>
      <w:r>
        <w:rPr>
          <w:rFonts w:hint="eastAsia" w:ascii="Times New Roman" w:hAnsi="Times New Roman"/>
          <w:lang w:val="en-US" w:eastAsia="zh-CN"/>
        </w:rPr>
        <w:t>后来的Dura Pharmaceuticals, Inc. v. Broudo (2005)案将该理论进一步发展：它要求原告必须证明“真实情况被揭发之后，股价切实存在下跌”。这样一来，“损失因果关系”和“交易因果关系”成为了需单独认定的两个内容。于是，“多因子模型—异常收益”这套算法就成了算赔偿金额的主流办法。</w:t>
      </w:r>
      <w:r>
        <w:rPr>
          <w:rStyle w:val="22"/>
          <w:rFonts w:hint="default" w:ascii="Times New Roman" w:hAnsi="Times New Roman"/>
          <w:lang w:val="en-US" w:eastAsia="zh-CN"/>
        </w:rPr>
        <w:footnoteReference w:id="12"/>
      </w:r>
      <w:r>
        <w:rPr>
          <w:rFonts w:hint="eastAsia" w:ascii="Times New Roman" w:hAnsi="Times New Roman"/>
          <w:lang w:val="en-US" w:eastAsia="zh-CN"/>
        </w:rPr>
        <w:t>这种做法的好处在于，它提供了一条可以反复套用的量化方法。但缺点也很十分明显：模型怎么设计、窗口期怎么选择、是否有变量被遗漏——这些因素都可能把大盘或者整个行业的风险一概全算进赔偿里。结果就是，有些人获得的补偿比应得补偿多，或者案情高度相似的案件，赔偿金额却不一样。再后来，United States v. Kaufman (2019)案里，法院推出了一个“推定—折扣”两步法。具体而言，先用统计出来的异常收益作为初步结论，然后允许被告拿出切实的证据予以反驳——比如同期发过盈利预警、或者某类大宗商品价格突然崩盘，进而按照相应比例扣减赔偿金额。如此一来，赔偿金额更能与实际受损相匹配。</w:t>
      </w:r>
      <w:r>
        <w:rPr>
          <w:rStyle w:val="22"/>
          <w:rFonts w:hint="default" w:ascii="Times New Roman" w:hAnsi="Times New Roman"/>
          <w:lang w:val="en-US" w:eastAsia="zh-CN"/>
        </w:rPr>
        <w:footnoteReference w:id="13"/>
      </w:r>
      <w:r>
        <w:rPr>
          <w:rFonts w:hint="eastAsia" w:ascii="Times New Roman" w:hAnsi="Times New Roman"/>
          <w:lang w:val="en-US" w:eastAsia="zh-CN"/>
        </w:rPr>
        <w:t>这一方法的优点在于，它既使用了量化工具，又添加了一个灵活的平衡装置，法院在处理多种原因造成的损失时，就有了回旋的余地。不过，它高度依赖专家证人的水平，而且诉讼花费较高，这可能会让小散户维权的门槛变高，从而削弱集团诉讼本来能提供的救济范围。</w:t>
      </w:r>
    </w:p>
    <w:p w14:paraId="2191A69F">
      <w:pPr>
        <w:bidi w:val="0"/>
        <w:rPr>
          <w:rFonts w:hint="eastAsia" w:ascii="Times New Roman" w:hAnsi="Times New Roman"/>
          <w:lang w:val="en-US" w:eastAsia="zh-CN"/>
        </w:rPr>
      </w:pPr>
      <w:r>
        <w:rPr>
          <w:rFonts w:hint="eastAsia" w:ascii="Times New Roman" w:hAnsi="Times New Roman"/>
          <w:lang w:val="en-US" w:eastAsia="zh-CN"/>
        </w:rPr>
        <w:t>而在澳大利亚，因为它的判例法传统比较谨慎，法院不愿直接照搬“信赖推定”原则。学者Blair &amp; Ramsay提出了一个“有限推定”的方案：只要原告能够证明发行人违反了持续披露义务，而且被隐瞒的信息具有价格敏感性，那么法院就可以先认定本案中的信赖成立。不过发行人也有机会推翻这个推定，比如它可以拿出证据说明，这条信息已经在市场上广泛传开了，或者原告自己早就知道真实情况。</w:t>
      </w:r>
      <w:r>
        <w:rPr>
          <w:rStyle w:val="22"/>
          <w:rFonts w:hint="default" w:ascii="Times New Roman" w:hAnsi="Times New Roman"/>
          <w:lang w:val="en-US" w:eastAsia="zh-CN"/>
        </w:rPr>
        <w:footnoteReference w:id="14"/>
      </w:r>
      <w:r>
        <w:rPr>
          <w:rFonts w:hint="eastAsia" w:ascii="Times New Roman" w:hAnsi="Times New Roman"/>
          <w:lang w:val="en-US" w:eastAsia="zh-CN"/>
        </w:rPr>
        <w:t>这个方案虽然保留了对信赖的审查，但加上了可抗辩的规则，兼顾了原被告双方的利益。问题在于，它高度依赖于被告披露了什么内容、原告在什么时间点做了哪些交易，所以证据成本非常高。而且“广泛传闻”这个标准过于模糊，不同下级法院容易得出不同的裁判结果。</w:t>
      </w:r>
    </w:p>
    <w:p w14:paraId="1B4C3421">
      <w:pPr>
        <w:bidi w:val="0"/>
        <w:rPr>
          <w:rFonts w:hint="eastAsia" w:ascii="Times New Roman" w:hAnsi="Times New Roman"/>
          <w:lang w:val="en-US" w:eastAsia="zh-CN"/>
        </w:rPr>
      </w:pPr>
      <w:r>
        <w:rPr>
          <w:rFonts w:hint="eastAsia" w:ascii="Times New Roman" w:hAnsi="Times New Roman"/>
          <w:lang w:val="en-US" w:eastAsia="zh-CN"/>
        </w:rPr>
        <w:t>再看欧盟地区，法院在因果关系认定上具有“框架统一、方法分散”的特点。《市场滥用条例》只笼统地要求有“因果关系”，具体怎么认定就交给各成员国的法院自己定。学者Cerbino专门研究了意大利罗马地方法院2015到2022年的判决，发现法官大多不会将统计出的显著性直接认定为虚假陈述中的因果关系。他们所使用的是“递减阶梯”法，一步一步去评估同期行业因素和公司自身的特定因素，如果发现某个收益表现异常，就酌情扣掉一部分。</w:t>
      </w:r>
      <w:r>
        <w:rPr>
          <w:rStyle w:val="22"/>
          <w:rFonts w:hint="default" w:ascii="Times New Roman" w:hAnsi="Times New Roman"/>
          <w:lang w:val="en-US" w:eastAsia="zh-CN"/>
        </w:rPr>
        <w:footnoteReference w:id="15"/>
      </w:r>
      <w:r>
        <w:rPr>
          <w:rFonts w:hint="eastAsia" w:ascii="Times New Roman" w:hAnsi="Times New Roman"/>
          <w:lang w:val="en-US" w:eastAsia="zh-CN"/>
        </w:rPr>
        <w:t>这种做法的好处是，法官会对量化结果再做一遍审查，能防止模型误差变成赔偿误差。但缺点也很明显：太依赖法官自己裁量，全国没有统一的扣减标准，同一个国家、案情差不多的案子可能判出不同结果，当事人也很难预料自己大概要赔多少钱。</w:t>
      </w:r>
    </w:p>
    <w:p w14:paraId="71E41B59">
      <w:pPr>
        <w:bidi w:val="0"/>
        <w:rPr>
          <w:rFonts w:hint="default" w:ascii="Times New Roman" w:hAnsi="Times New Roman"/>
          <w:lang w:val="en-US" w:eastAsia="zh-CN"/>
        </w:rPr>
      </w:pPr>
      <w:r>
        <w:rPr>
          <w:rFonts w:hint="eastAsia" w:ascii="Times New Roman" w:hAnsi="Times New Roman"/>
          <w:lang w:val="en-US" w:eastAsia="zh-CN"/>
        </w:rPr>
        <w:t>总的来说，国外研究在交易因果关系的推定、损失金额的量化方法、不相关比例怎么扣减这几个方面，已经形成了一套比较系统的做法，在处理大规模虚假陈述责任纠纷时效率挺高，也给我国2022年的虚假陈述解释提供了“推定+抗辩”模式的参考样本。不过目前的问题是，宏观和行业风险的扣除标准依旧不统一，导致裁判结果的可预期性不够。而且无关比例的扣减要依赖第三方机构出意见，这就抬高了原告的诉讼成本。正因为这样，证券虚假陈述责任纠纷里因果关系的司法认定，到现在还是个既有理论深度、又有实践紧迫性的研究课题。</w:t>
      </w:r>
      <w:r>
        <w:rPr>
          <w:rFonts w:hint="default" w:ascii="Times New Roman" w:hAnsi="Times New Roman"/>
          <w:lang w:val="en-US" w:eastAsia="zh-CN"/>
        </w:rPr>
        <w:br w:type="page"/>
      </w:r>
    </w:p>
    <w:p w14:paraId="5314570D">
      <w:commentRangeStart w:id="10"/>
      <w:commentRangeStart w:id="4"/>
      <w:pPr>
        <w:pStyle w:val="2"/>
        <w:bidi w:val="0"/>
        <w:rPr>
          <w:rFonts w:hint="default" w:ascii="Times New Roman" w:hAnsi="Times New Roman"/>
          <w:lang w:val="en-US" w:eastAsia="zh-CN"/>
        </w:rPr>
      </w:pPr>
      <w:bookmarkStart w:id="15" w:name="_Toc2306"/>
      <w:bookmarkStart w:id="16" w:name="_Toc28116"/>
      <w:r>
        <w:rPr>
          <w:rFonts w:hint="eastAsia" w:ascii="Times New Roman" w:hAnsi="Times New Roman"/>
          <w:lang w:val="en-US" w:eastAsia="zh-CN"/>
        </w:rPr>
        <w:t>二、</w:t>
      </w:r>
      <w:r>
        <w:rPr>
          <w:rFonts w:hint="eastAsia" w:ascii="Times New Roman" w:hAnsi="Times New Roman"/>
          <w:highlight w:val="none"/>
          <w:lang w:val="en-US" w:eastAsia="zh-CN"/>
        </w:rPr>
        <w:t>证券虚假陈述责任纠纷因果关系认定的</w:t>
      </w:r>
      <w:bookmarkEnd w:id="15"/>
      <w:r>
        <w:rPr>
          <w:rFonts w:hint="eastAsia" w:ascii="Times New Roman" w:hAnsi="Times New Roman"/>
          <w:highlight w:val="none"/>
          <w:lang w:val="en-US" w:eastAsia="zh-CN"/>
        </w:rPr>
        <w:t>核心概念及路径演进</w:t>
      </w:r>
      <w:bookmarkEnd w:id="16"/>
      <w:commentRangeEnd w:id="4"/>
      <w:r>
        <w:rPr>
          <w:rStyle w:val="CommentReference"/>
        </w:rPr>
        <w:commentReference w:id="4"/>
      </w:r>
      <w:commentRangeEnd w:id="10"/>
      <w:r>
        <w:rPr>
          <w:rStyle w:val="CommentReference"/>
        </w:rPr>
        <w:commentReference w:id="10"/>
      </w:r>
    </w:p>
    <w:p w14:paraId="11377A83">
      <w:pPr>
        <w:pStyle w:val="3"/>
        <w:bidi w:val="0"/>
        <w:rPr>
          <w:rFonts w:hint="eastAsia" w:ascii="Times New Roman" w:hAnsi="Times New Roman"/>
          <w:lang w:val="en-US" w:eastAsia="zh-CN"/>
        </w:rPr>
      </w:pPr>
      <w:bookmarkStart w:id="17" w:name="_Toc11692"/>
      <w:bookmarkStart w:id="18" w:name="_Toc828"/>
      <w:r>
        <w:rPr>
          <w:rFonts w:hint="eastAsia" w:ascii="Times New Roman" w:hAnsi="Times New Roman"/>
        </w:rPr>
        <w:t>（一）</w:t>
      </w:r>
      <w:r>
        <w:rPr>
          <w:rFonts w:hint="eastAsia" w:ascii="Times New Roman" w:hAnsi="Times New Roman"/>
          <w:lang w:val="en-US" w:eastAsia="zh-CN"/>
        </w:rPr>
        <w:t>核心概念界定</w:t>
      </w:r>
      <w:bookmarkEnd w:id="17"/>
      <w:bookmarkEnd w:id="18"/>
    </w:p>
    <w:p w14:paraId="4E858125">
      <w:pPr>
        <w:pStyle w:val="4"/>
        <w:bidi w:val="0"/>
        <w:rPr>
          <w:rFonts w:hint="default" w:ascii="Times New Roman" w:hAnsi="Times New Roman"/>
          <w:lang w:val="en-US" w:eastAsia="zh-CN"/>
        </w:rPr>
      </w:pPr>
      <w:bookmarkStart w:id="19" w:name="_Toc8241"/>
      <w:bookmarkStart w:id="20" w:name="_Toc5143"/>
      <w:r>
        <w:rPr>
          <w:rFonts w:hint="default" w:ascii="Times New Roman" w:hAnsi="Times New Roman"/>
          <w:lang w:val="en-US" w:eastAsia="zh-CN"/>
        </w:rPr>
        <w:t>1.证券虚假陈述的界定与类型</w:t>
      </w:r>
      <w:bookmarkEnd w:id="19"/>
      <w:bookmarkEnd w:id="20"/>
    </w:p>
    <w:p w14:paraId="6E26AFA6">
      <w:pPr>
        <w:bidi w:val="0"/>
        <w:rPr>
          <w:rFonts w:hint="default" w:ascii="Times New Roman" w:hAnsi="Times New Roman"/>
          <w:lang w:val="en-US" w:eastAsia="zh-CN"/>
        </w:rPr>
      </w:pPr>
      <w:r>
        <w:rPr>
          <w:rFonts w:hint="default" w:ascii="Times New Roman" w:hAnsi="Times New Roman"/>
          <w:lang w:val="en-US" w:eastAsia="zh-CN"/>
        </w:rPr>
        <w:t>证券虚假陈述</w:t>
      </w:r>
      <w:r>
        <w:rPr>
          <w:rFonts w:hint="eastAsia" w:ascii="Times New Roman" w:hAnsi="Times New Roman"/>
          <w:lang w:val="en-US" w:eastAsia="zh-CN"/>
        </w:rPr>
        <w:t>是指</w:t>
      </w:r>
      <w:r>
        <w:rPr>
          <w:rFonts w:hint="default" w:ascii="Times New Roman" w:hAnsi="Times New Roman"/>
          <w:lang w:val="en-US" w:eastAsia="zh-CN"/>
        </w:rPr>
        <w:t>有信息披露义务的主体，在证券发行或者交易的过程中，违反了证券法相关规定，对重大事件做出了不符合事实的描述，比如胡乱编造、误导别人，或者在应该披露的信息上故意漏掉关键内容，或者披露方式不合规。这个概念的底层逻辑，其实就围绕着信息</w:t>
      </w:r>
      <w:r>
        <w:rPr>
          <w:rFonts w:hint="eastAsia" w:ascii="Times New Roman" w:hAnsi="Times New Roman"/>
          <w:lang w:val="en-US" w:eastAsia="zh-CN"/>
        </w:rPr>
        <w:t>是否真实</w:t>
      </w:r>
      <w:r>
        <w:rPr>
          <w:rFonts w:hint="default" w:ascii="Times New Roman" w:hAnsi="Times New Roman"/>
          <w:lang w:val="en-US" w:eastAsia="zh-CN"/>
        </w:rPr>
        <w:t>、准确、完整。尤其是一些重大事件的信息披露，必须满足一个</w:t>
      </w:r>
      <w:r>
        <w:rPr>
          <w:rFonts w:hint="eastAsia" w:ascii="Times New Roman" w:hAnsi="Times New Roman"/>
          <w:lang w:val="en-US" w:eastAsia="zh-CN"/>
        </w:rPr>
        <w:t>“</w:t>
      </w:r>
      <w:r>
        <w:rPr>
          <w:rFonts w:hint="default" w:ascii="Times New Roman" w:hAnsi="Times New Roman"/>
          <w:lang w:val="en-US" w:eastAsia="zh-CN"/>
        </w:rPr>
        <w:t>重大性标准</w:t>
      </w:r>
      <w:r>
        <w:rPr>
          <w:rFonts w:hint="eastAsia" w:ascii="Times New Roman" w:hAnsi="Times New Roman"/>
          <w:lang w:val="en-US" w:eastAsia="zh-CN"/>
        </w:rPr>
        <w:t>”</w:t>
      </w:r>
      <w:r>
        <w:rPr>
          <w:rFonts w:hint="default" w:ascii="Times New Roman" w:hAnsi="Times New Roman"/>
          <w:lang w:val="en-US" w:eastAsia="zh-CN"/>
        </w:rPr>
        <w:t>的要求——也就是说，只有当某个信息的内容足以影响投资者做出买卖决定时，才有义务把它披露出来。</w:t>
      </w:r>
    </w:p>
    <w:p w14:paraId="7F71BC4D">
      <w:pPr>
        <w:bidi w:val="0"/>
        <w:rPr>
          <w:rFonts w:hint="default" w:ascii="Times New Roman" w:hAnsi="Times New Roman"/>
          <w:lang w:val="en-US" w:eastAsia="zh-CN"/>
        </w:rPr>
      </w:pPr>
      <w:r>
        <w:rPr>
          <w:rFonts w:hint="default" w:ascii="Times New Roman" w:hAnsi="Times New Roman"/>
          <w:lang w:val="en-US" w:eastAsia="zh-CN"/>
        </w:rPr>
        <w:t>从具体类型来看，证券虚假陈述大致可以分成三种。第一种是虚假记载，指的是信息披露义务人发布的文件里写了根本不存在的</w:t>
      </w:r>
      <w:r>
        <w:rPr>
          <w:rFonts w:hint="eastAsia" w:ascii="Times New Roman" w:hAnsi="Times New Roman"/>
          <w:lang w:val="en-US" w:eastAsia="zh-CN"/>
        </w:rPr>
        <w:t>“</w:t>
      </w:r>
      <w:r>
        <w:rPr>
          <w:rFonts w:hint="default" w:ascii="Times New Roman" w:hAnsi="Times New Roman"/>
          <w:lang w:val="en-US" w:eastAsia="zh-CN"/>
        </w:rPr>
        <w:t>事实</w:t>
      </w:r>
      <w:r>
        <w:rPr>
          <w:rFonts w:hint="eastAsia" w:ascii="Times New Roman" w:hAnsi="Times New Roman"/>
          <w:lang w:val="en-US" w:eastAsia="zh-CN"/>
        </w:rPr>
        <w:t>”</w:t>
      </w:r>
      <w:r>
        <w:rPr>
          <w:rFonts w:hint="default" w:ascii="Times New Roman" w:hAnsi="Times New Roman"/>
          <w:lang w:val="en-US" w:eastAsia="zh-CN"/>
        </w:rPr>
        <w:t>，比如说虚增公司收入、虚构某项资产，然后拿这些东西去告诉投资者，这属于一种主动的欺骗行为。第二种</w:t>
      </w:r>
      <w:r>
        <w:rPr>
          <w:rFonts w:hint="eastAsia" w:ascii="Times New Roman" w:hAnsi="Times New Roman"/>
          <w:lang w:val="en-US" w:eastAsia="zh-CN"/>
        </w:rPr>
        <w:t>是</w:t>
      </w:r>
      <w:r>
        <w:rPr>
          <w:rFonts w:hint="default" w:ascii="Times New Roman" w:hAnsi="Times New Roman"/>
          <w:lang w:val="en-US" w:eastAsia="zh-CN"/>
        </w:rPr>
        <w:t>误导性陈述，它不像虚假记载那样直接造假，而是通过模糊表达、挑着说、或者用不太恰当的类比，让投资者自己产生错误的理解，并基于这种错误理解去买卖证券。第三种是重大遗漏，也</w:t>
      </w:r>
      <w:r>
        <w:rPr>
          <w:rFonts w:hint="eastAsia" w:ascii="Times New Roman" w:hAnsi="Times New Roman"/>
          <w:lang w:val="en-US" w:eastAsia="zh-CN"/>
        </w:rPr>
        <w:t>即应</w:t>
      </w:r>
      <w:r>
        <w:rPr>
          <w:rFonts w:hint="default" w:ascii="Times New Roman" w:hAnsi="Times New Roman"/>
          <w:lang w:val="en-US" w:eastAsia="zh-CN"/>
        </w:rPr>
        <w:t>披露的</w:t>
      </w:r>
      <w:r>
        <w:rPr>
          <w:rFonts w:hint="eastAsia" w:ascii="Times New Roman" w:hAnsi="Times New Roman"/>
          <w:lang w:val="en-US" w:eastAsia="zh-CN"/>
        </w:rPr>
        <w:t>内容未</w:t>
      </w:r>
      <w:r>
        <w:rPr>
          <w:rFonts w:hint="default" w:ascii="Times New Roman" w:hAnsi="Times New Roman"/>
          <w:lang w:val="en-US" w:eastAsia="zh-CN"/>
        </w:rPr>
        <w:t>披露，尤其是一些负面的重大信息被藏着掖着或者迟迟不公开，这种</w:t>
      </w:r>
      <w:r>
        <w:rPr>
          <w:rFonts w:hint="eastAsia" w:ascii="Times New Roman" w:hAnsi="Times New Roman"/>
          <w:lang w:val="en-US" w:eastAsia="zh-CN"/>
        </w:rPr>
        <w:t>“</w:t>
      </w:r>
      <w:r>
        <w:rPr>
          <w:rFonts w:hint="default" w:ascii="Times New Roman" w:hAnsi="Times New Roman"/>
          <w:lang w:val="en-US" w:eastAsia="zh-CN"/>
        </w:rPr>
        <w:t>不作为</w:t>
      </w:r>
      <w:r>
        <w:rPr>
          <w:rFonts w:hint="eastAsia" w:ascii="Times New Roman" w:hAnsi="Times New Roman"/>
          <w:lang w:val="en-US" w:eastAsia="zh-CN"/>
        </w:rPr>
        <w:t>”</w:t>
      </w:r>
      <w:r>
        <w:rPr>
          <w:rFonts w:hint="default" w:ascii="Times New Roman" w:hAnsi="Times New Roman"/>
          <w:lang w:val="en-US" w:eastAsia="zh-CN"/>
        </w:rPr>
        <w:t>看起来被动，实际上同样严重破坏了市场上的信息对称性。</w:t>
      </w:r>
    </w:p>
    <w:p w14:paraId="15C7244E">
      <w:pPr>
        <w:bidi w:val="0"/>
        <w:rPr>
          <w:rFonts w:hint="default" w:ascii="Times New Roman" w:hAnsi="Times New Roman"/>
          <w:lang w:val="en-US" w:eastAsia="zh-CN"/>
        </w:rPr>
      </w:pPr>
      <w:r>
        <w:rPr>
          <w:rFonts w:hint="default" w:ascii="Times New Roman" w:hAnsi="Times New Roman"/>
          <w:lang w:val="en-US" w:eastAsia="zh-CN"/>
        </w:rPr>
        <w:t>除此之外，证券虚假陈述还可以进一步分成</w:t>
      </w:r>
      <w:r>
        <w:rPr>
          <w:rFonts w:hint="eastAsia" w:ascii="Times New Roman" w:hAnsi="Times New Roman"/>
          <w:lang w:val="en-US" w:eastAsia="zh-CN"/>
        </w:rPr>
        <w:t>“</w:t>
      </w:r>
      <w:r>
        <w:rPr>
          <w:rFonts w:hint="default" w:ascii="Times New Roman" w:hAnsi="Times New Roman"/>
          <w:lang w:val="en-US" w:eastAsia="zh-CN"/>
        </w:rPr>
        <w:t>诱多型</w:t>
      </w:r>
      <w:r>
        <w:rPr>
          <w:rFonts w:hint="eastAsia" w:ascii="Times New Roman" w:hAnsi="Times New Roman"/>
          <w:lang w:val="en-US" w:eastAsia="zh-CN"/>
        </w:rPr>
        <w:t>”</w:t>
      </w:r>
      <w:r>
        <w:rPr>
          <w:rFonts w:hint="default" w:ascii="Times New Roman" w:hAnsi="Times New Roman"/>
          <w:lang w:val="en-US" w:eastAsia="zh-CN"/>
        </w:rPr>
        <w:t>和</w:t>
      </w:r>
      <w:r>
        <w:rPr>
          <w:rFonts w:hint="eastAsia" w:ascii="Times New Roman" w:hAnsi="Times New Roman"/>
          <w:lang w:val="en-US" w:eastAsia="zh-CN"/>
        </w:rPr>
        <w:t>“</w:t>
      </w:r>
      <w:r>
        <w:rPr>
          <w:rFonts w:hint="default" w:ascii="Times New Roman" w:hAnsi="Times New Roman"/>
          <w:lang w:val="en-US" w:eastAsia="zh-CN"/>
        </w:rPr>
        <w:t>诱空型</w:t>
      </w:r>
      <w:r>
        <w:rPr>
          <w:rFonts w:hint="eastAsia" w:ascii="Times New Roman" w:hAnsi="Times New Roman"/>
          <w:lang w:val="en-US" w:eastAsia="zh-CN"/>
        </w:rPr>
        <w:t>”</w:t>
      </w:r>
      <w:r>
        <w:rPr>
          <w:rFonts w:hint="default" w:ascii="Times New Roman" w:hAnsi="Times New Roman"/>
          <w:lang w:val="en-US" w:eastAsia="zh-CN"/>
        </w:rPr>
        <w:t>。所谓诱多型，就是在股价处于高位的时候，放出一些虚假的利好消息，引诱投资者高价买进去；而诱空型正好相反，是在股价偏低的时候散布虚假的利空消息，诱导投资者低价把股票卖掉。这两种类型，本质上都是利用信息不对称来谋取不正当利益。</w:t>
      </w:r>
    </w:p>
    <w:p w14:paraId="10C5733B">
      <w:pPr>
        <w:pStyle w:val="4"/>
        <w:bidi w:val="0"/>
        <w:rPr>
          <w:rFonts w:hint="default" w:ascii="Times New Roman" w:hAnsi="Times New Roman"/>
          <w:lang w:val="en-US" w:eastAsia="zh-CN"/>
        </w:rPr>
      </w:pPr>
      <w:bookmarkStart w:id="21" w:name="_Toc67"/>
      <w:bookmarkStart w:id="22" w:name="_Toc1214"/>
      <w:r>
        <w:rPr>
          <w:rFonts w:hint="default" w:ascii="Times New Roman" w:hAnsi="Times New Roman"/>
          <w:lang w:val="en-US" w:eastAsia="zh-CN"/>
        </w:rPr>
        <w:t>2.因果关系在虚假陈述责任认定中的核心地位</w:t>
      </w:r>
      <w:bookmarkEnd w:id="21"/>
      <w:bookmarkEnd w:id="22"/>
    </w:p>
    <w:p w14:paraId="3D54B510">
      <w:pPr>
        <w:bidi w:val="0"/>
        <w:rPr>
          <w:rFonts w:hint="default" w:ascii="Times New Roman" w:hAnsi="Times New Roman"/>
          <w:lang w:val="en-US" w:eastAsia="zh-CN"/>
        </w:rPr>
      </w:pPr>
      <w:r>
        <w:rPr>
          <w:rFonts w:hint="default" w:ascii="Times New Roman" w:hAnsi="Times New Roman"/>
          <w:lang w:val="en-US" w:eastAsia="zh-CN"/>
        </w:rPr>
        <w:t>在证券虚假陈述责任纠纷这类案件里，因果关系的认定可以说是整个责任构成体系中最关键的一环。这里面首先涉及的是交易因果关系——</w:t>
      </w:r>
      <w:r>
        <w:rPr>
          <w:rFonts w:hint="eastAsia" w:ascii="Times New Roman" w:hAnsi="Times New Roman"/>
          <w:lang w:val="en-US" w:eastAsia="zh-CN"/>
        </w:rPr>
        <w:t>解决“</w:t>
      </w:r>
      <w:r>
        <w:rPr>
          <w:rFonts w:hint="default" w:ascii="Times New Roman" w:hAnsi="Times New Roman"/>
          <w:lang w:val="en-US" w:eastAsia="zh-CN"/>
        </w:rPr>
        <w:t>如果没有</w:t>
      </w:r>
      <w:r>
        <w:rPr>
          <w:rFonts w:hint="eastAsia" w:ascii="Times New Roman" w:hAnsi="Times New Roman"/>
          <w:lang w:val="en-US" w:eastAsia="zh-CN"/>
        </w:rPr>
        <w:t>相关</w:t>
      </w:r>
      <w:r>
        <w:rPr>
          <w:rFonts w:hint="default" w:ascii="Times New Roman" w:hAnsi="Times New Roman"/>
          <w:lang w:val="en-US" w:eastAsia="zh-CN"/>
        </w:rPr>
        <w:t>虚假陈述行为，投资者</w:t>
      </w:r>
      <w:r>
        <w:rPr>
          <w:rFonts w:hint="eastAsia" w:ascii="Times New Roman" w:hAnsi="Times New Roman"/>
          <w:lang w:val="en-US" w:eastAsia="zh-CN"/>
        </w:rPr>
        <w:t>是否还会进行</w:t>
      </w:r>
      <w:r>
        <w:rPr>
          <w:rFonts w:hint="default" w:ascii="Times New Roman" w:hAnsi="Times New Roman"/>
          <w:lang w:val="en-US" w:eastAsia="zh-CN"/>
        </w:rPr>
        <w:t>交易</w:t>
      </w:r>
      <w:r>
        <w:rPr>
          <w:rFonts w:hint="eastAsia" w:ascii="Times New Roman" w:hAnsi="Times New Roman"/>
          <w:lang w:val="en-US" w:eastAsia="zh-CN"/>
        </w:rPr>
        <w:t>”的问题，</w:t>
      </w:r>
      <w:r>
        <w:rPr>
          <w:rFonts w:hint="default" w:ascii="Times New Roman" w:hAnsi="Times New Roman"/>
          <w:lang w:val="en-US" w:eastAsia="zh-CN"/>
        </w:rPr>
        <w:t>也</w:t>
      </w:r>
      <w:r>
        <w:rPr>
          <w:rFonts w:hint="eastAsia" w:ascii="Times New Roman" w:hAnsi="Times New Roman"/>
          <w:lang w:val="en-US" w:eastAsia="zh-CN"/>
        </w:rPr>
        <w:t>即</w:t>
      </w:r>
      <w:r>
        <w:rPr>
          <w:rFonts w:hint="default" w:ascii="Times New Roman" w:hAnsi="Times New Roman"/>
          <w:lang w:val="en-US" w:eastAsia="zh-CN"/>
        </w:rPr>
        <w:t>虚假陈述</w:t>
      </w:r>
      <w:r>
        <w:rPr>
          <w:rFonts w:hint="eastAsia" w:ascii="Times New Roman" w:hAnsi="Times New Roman"/>
          <w:lang w:val="en-US" w:eastAsia="zh-CN"/>
        </w:rPr>
        <w:t>是否切实</w:t>
      </w:r>
      <w:r>
        <w:rPr>
          <w:rFonts w:hint="default" w:ascii="Times New Roman" w:hAnsi="Times New Roman"/>
          <w:lang w:val="en-US" w:eastAsia="zh-CN"/>
        </w:rPr>
        <w:t>影响了投资者的交易决策。</w:t>
      </w:r>
      <w:r>
        <w:rPr>
          <w:rFonts w:hint="eastAsia" w:ascii="Times New Roman" w:hAnsi="Times New Roman"/>
          <w:lang w:val="en-US" w:eastAsia="zh-CN"/>
        </w:rPr>
        <w:t>只有这一</w:t>
      </w:r>
      <w:r>
        <w:rPr>
          <w:rFonts w:hint="default" w:ascii="Times New Roman" w:hAnsi="Times New Roman"/>
          <w:lang w:val="en-US" w:eastAsia="zh-CN"/>
        </w:rPr>
        <w:t>条件成立，投资者才能顺利进入诉讼程序，去主张损害赔偿。</w:t>
      </w:r>
      <w:r>
        <w:rPr>
          <w:rFonts w:hint="eastAsia" w:ascii="Times New Roman" w:hAnsi="Times New Roman"/>
          <w:lang w:val="en-US" w:eastAsia="zh-CN"/>
        </w:rPr>
        <w:t>而</w:t>
      </w:r>
      <w:r>
        <w:rPr>
          <w:rFonts w:hint="default" w:ascii="Times New Roman" w:hAnsi="Times New Roman"/>
          <w:lang w:val="en-US" w:eastAsia="zh-CN"/>
        </w:rPr>
        <w:t>损失因果关系，它要解决的是另一个层面的问题：投资者亏了钱，这笔损失到底是不是因为虚假陈述引起的</w:t>
      </w:r>
      <w:r>
        <w:rPr>
          <w:rFonts w:hint="eastAsia" w:ascii="Times New Roman" w:hAnsi="Times New Roman"/>
          <w:lang w:val="en-US" w:eastAsia="zh-CN"/>
        </w:rPr>
        <w:t>？</w:t>
      </w:r>
      <w:r>
        <w:rPr>
          <w:rFonts w:hint="default" w:ascii="Times New Roman" w:hAnsi="Times New Roman"/>
          <w:lang w:val="en-US" w:eastAsia="zh-CN"/>
        </w:rPr>
        <w:t>这就需要在虚假陈述行为与投资者的实际损失之间，搭起一条直接、合理的因果链条。然后在这个基础上，再把系统性风险和非系统性风险这类因素剔除掉，最终算出被告</w:t>
      </w:r>
      <w:r>
        <w:rPr>
          <w:rFonts w:hint="eastAsia" w:ascii="Times New Roman" w:hAnsi="Times New Roman"/>
          <w:lang w:val="en-US" w:eastAsia="zh-CN"/>
        </w:rPr>
        <w:t>的赔偿数额</w:t>
      </w:r>
      <w:r>
        <w:rPr>
          <w:rFonts w:hint="default" w:ascii="Times New Roman" w:hAnsi="Times New Roman"/>
          <w:lang w:val="en-US" w:eastAsia="zh-CN"/>
        </w:rPr>
        <w:t>。</w:t>
      </w:r>
    </w:p>
    <w:p w14:paraId="7855664B">
      <w:pPr>
        <w:bidi w:val="0"/>
        <w:rPr>
          <w:rFonts w:hint="default" w:ascii="Times New Roman" w:hAnsi="Times New Roman"/>
          <w:lang w:val="en-US" w:eastAsia="zh-CN"/>
        </w:rPr>
      </w:pPr>
      <w:r>
        <w:rPr>
          <w:rFonts w:hint="default" w:ascii="Times New Roman" w:hAnsi="Times New Roman"/>
          <w:lang w:val="en-US" w:eastAsia="zh-CN"/>
        </w:rPr>
        <w:t>这两个环节是前后衔接、一步步递进的关系，合在一起，就构成了虚假陈述责任认定的核心逻辑链条。</w:t>
      </w:r>
    </w:p>
    <w:p w14:paraId="08B7545E">
      <w:pPr>
        <w:pStyle w:val="3"/>
        <w:bidi w:val="0"/>
        <w:rPr>
          <w:rFonts w:hint="default" w:ascii="Times New Roman" w:hAnsi="Times New Roman"/>
          <w:lang w:val="en-US" w:eastAsia="zh-CN"/>
        </w:rPr>
      </w:pPr>
      <w:bookmarkStart w:id="23" w:name="_Toc28054"/>
      <w:bookmarkStart w:id="24" w:name="_Toc17874"/>
      <w:r>
        <w:rPr>
          <w:rFonts w:hint="eastAsia" w:ascii="Times New Roman" w:hAnsi="Times New Roman"/>
          <w:lang w:eastAsia="zh-CN"/>
        </w:rPr>
        <w:t>（</w:t>
      </w:r>
      <w:r>
        <w:rPr>
          <w:rFonts w:hint="eastAsia" w:ascii="Times New Roman" w:hAnsi="Times New Roman"/>
        </w:rPr>
        <w:t>二）</w:t>
      </w:r>
      <w:r>
        <w:rPr>
          <w:rFonts w:hint="eastAsia" w:ascii="Times New Roman" w:hAnsi="Times New Roman"/>
          <w:lang w:val="en-US" w:eastAsia="zh-CN"/>
        </w:rPr>
        <w:t>新旧司法解释关于因果关系认定的路径演进</w:t>
      </w:r>
      <w:bookmarkEnd w:id="23"/>
      <w:bookmarkEnd w:id="24"/>
    </w:p>
    <w:p w14:paraId="27D6BDD5">
      <w:pPr>
        <w:bidi w:val="0"/>
        <w:rPr>
          <w:rFonts w:hint="eastAsia" w:ascii="Times New Roman" w:hAnsi="Times New Roman"/>
        </w:rPr>
      </w:pPr>
      <w:r>
        <w:rPr>
          <w:rFonts w:hint="eastAsia" w:ascii="Times New Roman" w:hAnsi="Times New Roman"/>
        </w:rPr>
        <w:t>我国在处理证券虚假陈述责任纠纷时，关于因果关系的认定规则，</w:t>
      </w:r>
      <w:r>
        <w:rPr>
          <w:rFonts w:hint="eastAsia" w:ascii="Times New Roman" w:hAnsi="Times New Roman"/>
          <w:lang w:val="en-US" w:eastAsia="zh-CN"/>
        </w:rPr>
        <w:t>总体呈现</w:t>
      </w:r>
      <w:r>
        <w:rPr>
          <w:rFonts w:hint="eastAsia" w:ascii="Times New Roman" w:hAnsi="Times New Roman"/>
        </w:rPr>
        <w:t>从粗放</w:t>
      </w:r>
      <w:r>
        <w:rPr>
          <w:rFonts w:hint="eastAsia" w:ascii="Times New Roman" w:hAnsi="Times New Roman"/>
          <w:lang w:val="en-US" w:eastAsia="zh-CN"/>
        </w:rPr>
        <w:t>到</w:t>
      </w:r>
      <w:r>
        <w:rPr>
          <w:rFonts w:hint="eastAsia" w:ascii="Times New Roman" w:hAnsi="Times New Roman"/>
        </w:rPr>
        <w:t>精细、从</w:t>
      </w:r>
      <w:r>
        <w:rPr>
          <w:rFonts w:hint="eastAsia" w:ascii="Times New Roman" w:hAnsi="Times New Roman"/>
          <w:lang w:val="en-US" w:eastAsia="zh-CN"/>
        </w:rPr>
        <w:t>单边保护</w:t>
      </w:r>
      <w:r>
        <w:rPr>
          <w:rFonts w:hint="eastAsia" w:ascii="Times New Roman" w:hAnsi="Times New Roman"/>
        </w:rPr>
        <w:t>投资者</w:t>
      </w:r>
      <w:r>
        <w:rPr>
          <w:rFonts w:hint="eastAsia" w:ascii="Times New Roman" w:hAnsi="Times New Roman"/>
          <w:lang w:val="en-US" w:eastAsia="zh-CN"/>
        </w:rPr>
        <w:t>到</w:t>
      </w:r>
      <w:r>
        <w:rPr>
          <w:rFonts w:hint="eastAsia" w:ascii="Times New Roman" w:hAnsi="Times New Roman"/>
        </w:rPr>
        <w:t>原被告诉讼利益平衡的演进脉络。这个演变过程，最早可以追溯到2003年虚假陈述解释，中间经历了将近二十年的司法实践和理论上的不断反思，最后以2022年虚假陈述解释作为一个重要里程碑。</w:t>
      </w:r>
    </w:p>
    <w:p w14:paraId="3500FE5C">
      <w:pPr>
        <w:pStyle w:val="4"/>
        <w:bidi w:val="0"/>
        <w:rPr>
          <w:rFonts w:hint="default" w:ascii="Times New Roman" w:hAnsi="Times New Roman"/>
          <w:lang w:val="en-US" w:eastAsia="zh-CN"/>
        </w:rPr>
      </w:pPr>
      <w:bookmarkStart w:id="25" w:name="_Toc4970"/>
      <w:r>
        <w:rPr>
          <w:rFonts w:hint="eastAsia" w:ascii="Times New Roman" w:hAnsi="Times New Roman"/>
          <w:lang w:val="en-US" w:eastAsia="zh-CN"/>
        </w:rPr>
        <w:t>1.2003年司法解释中关于因果关系的认定机制</w:t>
      </w:r>
      <w:bookmarkEnd w:id="25"/>
    </w:p>
    <w:p w14:paraId="4C32F121">
      <w:pPr>
        <w:bidi w:val="0"/>
        <w:rPr>
          <w:rFonts w:hint="eastAsia" w:ascii="Times New Roman" w:hAnsi="Times New Roman"/>
        </w:rPr>
      </w:pPr>
      <w:r>
        <w:rPr>
          <w:rFonts w:hint="eastAsia" w:ascii="Times New Roman" w:hAnsi="Times New Roman"/>
        </w:rPr>
        <w:t>2003年虚假陈述解释</w:t>
      </w:r>
      <w:r>
        <w:rPr>
          <w:rFonts w:hint="eastAsia" w:ascii="Times New Roman" w:hAnsi="Times New Roman"/>
          <w:lang w:val="en-US" w:eastAsia="zh-CN"/>
        </w:rPr>
        <w:t>首次以</w:t>
      </w:r>
      <w:r>
        <w:rPr>
          <w:rFonts w:hint="eastAsia" w:ascii="Times New Roman" w:hAnsi="Times New Roman"/>
        </w:rPr>
        <w:t>司法解释的形式，系统性地规定了虚假陈述的民事责任，也初步搭起了我国证券虚假陈述因果关系认定的基本框架。其中第</w:t>
      </w:r>
      <w:r>
        <w:rPr>
          <w:rFonts w:hint="eastAsia" w:ascii="Times New Roman" w:hAnsi="Times New Roman"/>
          <w:lang w:val="en-US" w:eastAsia="zh-CN"/>
        </w:rPr>
        <w:t>十八</w:t>
      </w:r>
      <w:r>
        <w:rPr>
          <w:rFonts w:hint="eastAsia" w:ascii="Times New Roman" w:hAnsi="Times New Roman"/>
        </w:rPr>
        <w:t>条和第</w:t>
      </w:r>
      <w:r>
        <w:rPr>
          <w:rFonts w:hint="eastAsia" w:ascii="Times New Roman" w:hAnsi="Times New Roman"/>
          <w:lang w:val="en-US" w:eastAsia="zh-CN"/>
        </w:rPr>
        <w:t>十九</w:t>
      </w:r>
      <w:r>
        <w:rPr>
          <w:rFonts w:hint="eastAsia" w:ascii="Times New Roman" w:hAnsi="Times New Roman"/>
        </w:rPr>
        <w:t>条，按照我国民法里侵权赔偿诉讼的因果关系理论，再参考国外比较通行的市场欺诈理论和信赖推定原则，</w:t>
      </w:r>
      <w:r>
        <w:rPr>
          <w:rFonts w:hint="eastAsia" w:ascii="Times New Roman" w:hAnsi="Times New Roman"/>
          <w:lang w:val="en-US" w:eastAsia="zh-CN"/>
        </w:rPr>
        <w:t>确定了</w:t>
      </w:r>
      <w:r>
        <w:rPr>
          <w:rFonts w:hint="eastAsia" w:ascii="Times New Roman" w:hAnsi="Times New Roman"/>
        </w:rPr>
        <w:t>因果关系推定规则</w:t>
      </w:r>
      <w:r>
        <w:rPr>
          <w:rFonts w:hint="eastAsia" w:ascii="Times New Roman" w:hAnsi="Times New Roman"/>
          <w:lang w:eastAsia="zh-CN"/>
        </w:rPr>
        <w:t>。</w:t>
      </w:r>
      <w:r>
        <w:rPr>
          <w:rStyle w:val="22"/>
          <w:rFonts w:hint="eastAsia" w:ascii="Times New Roman" w:hAnsi="Times New Roman"/>
          <w:lang w:eastAsia="zh-CN"/>
        </w:rPr>
        <w:footnoteReference w:id="16"/>
      </w:r>
      <w:r>
        <w:rPr>
          <w:rFonts w:hint="eastAsia" w:ascii="Times New Roman" w:hAnsi="Times New Roman"/>
        </w:rPr>
        <w:t>这个规则的意思是：只要投资者是在虚假陈述实施日之后、揭露日或更正日之前买入了证券，然后又在揭露日或更正日之后卖出或者一直</w:t>
      </w:r>
      <w:r>
        <w:rPr>
          <w:rFonts w:hint="eastAsia" w:ascii="Times New Roman" w:hAnsi="Times New Roman"/>
          <w:lang w:val="en-US" w:eastAsia="zh-CN"/>
        </w:rPr>
        <w:t>持有</w:t>
      </w:r>
      <w:r>
        <w:rPr>
          <w:rFonts w:hint="eastAsia" w:ascii="Times New Roman" w:hAnsi="Times New Roman"/>
        </w:rPr>
        <w:t>，结果</w:t>
      </w:r>
      <w:r>
        <w:rPr>
          <w:rFonts w:hint="eastAsia" w:ascii="Times New Roman" w:hAnsi="Times New Roman"/>
          <w:lang w:val="en-US" w:eastAsia="zh-CN"/>
        </w:rPr>
        <w:t>遭受了亏损</w:t>
      </w:r>
      <w:r>
        <w:rPr>
          <w:rFonts w:hint="eastAsia" w:ascii="Times New Roman" w:hAnsi="Times New Roman"/>
        </w:rPr>
        <w:t>，那法院原则上就认定因果关系成立。与此同时，第</w:t>
      </w:r>
      <w:r>
        <w:rPr>
          <w:rFonts w:hint="eastAsia" w:ascii="Times New Roman" w:hAnsi="Times New Roman"/>
          <w:lang w:val="en-US" w:eastAsia="zh-CN"/>
        </w:rPr>
        <w:t>十九</w:t>
      </w:r>
      <w:r>
        <w:rPr>
          <w:rFonts w:hint="eastAsia" w:ascii="Times New Roman" w:hAnsi="Times New Roman"/>
        </w:rPr>
        <w:t>条也</w:t>
      </w:r>
      <w:r>
        <w:rPr>
          <w:rFonts w:hint="eastAsia" w:ascii="Times New Roman" w:hAnsi="Times New Roman"/>
          <w:lang w:val="en-US" w:eastAsia="zh-CN"/>
        </w:rPr>
        <w:t>为</w:t>
      </w:r>
      <w:r>
        <w:rPr>
          <w:rFonts w:hint="eastAsia" w:ascii="Times New Roman" w:hAnsi="Times New Roman"/>
        </w:rPr>
        <w:t>被告</w:t>
      </w:r>
      <w:r>
        <w:rPr>
          <w:rFonts w:hint="eastAsia" w:ascii="Times New Roman" w:hAnsi="Times New Roman"/>
          <w:lang w:val="en-US" w:eastAsia="zh-CN"/>
        </w:rPr>
        <w:t>提供了抗辩事由</w:t>
      </w:r>
      <w:r>
        <w:rPr>
          <w:rFonts w:hint="eastAsia" w:ascii="Times New Roman" w:hAnsi="Times New Roman"/>
        </w:rPr>
        <w:t>，列举了五种可以推翻因果关系的情形，比如在揭露日之前就</w:t>
      </w:r>
      <w:r>
        <w:rPr>
          <w:rFonts w:hint="eastAsia" w:ascii="Times New Roman" w:hAnsi="Times New Roman"/>
          <w:lang w:val="en-US" w:eastAsia="zh-CN"/>
        </w:rPr>
        <w:t>将</w:t>
      </w:r>
      <w:r>
        <w:rPr>
          <w:rFonts w:hint="eastAsia" w:ascii="Times New Roman" w:hAnsi="Times New Roman"/>
        </w:rPr>
        <w:t>证券卖</w:t>
      </w:r>
      <w:r>
        <w:rPr>
          <w:rFonts w:hint="eastAsia" w:ascii="Times New Roman" w:hAnsi="Times New Roman"/>
          <w:lang w:val="en-US" w:eastAsia="zh-CN"/>
        </w:rPr>
        <w:t>出</w:t>
      </w:r>
      <w:r>
        <w:rPr>
          <w:rFonts w:hint="eastAsia" w:ascii="Times New Roman" w:hAnsi="Times New Roman"/>
        </w:rPr>
        <w:t>了，或者明明知道有虚假陈述</w:t>
      </w:r>
      <w:r>
        <w:rPr>
          <w:rFonts w:hint="eastAsia" w:ascii="Times New Roman" w:hAnsi="Times New Roman"/>
          <w:lang w:val="en-US" w:eastAsia="zh-CN"/>
        </w:rPr>
        <w:t>仍选择</w:t>
      </w:r>
      <w:r>
        <w:rPr>
          <w:rFonts w:hint="eastAsia" w:ascii="Times New Roman" w:hAnsi="Times New Roman"/>
        </w:rPr>
        <w:t>投资，又或者损失是系统性风险造成的等等。当时这样设计制度，主要是为了破解证券侵权里投资者举证</w:t>
      </w:r>
      <w:r>
        <w:rPr>
          <w:rFonts w:hint="eastAsia" w:ascii="Times New Roman" w:hAnsi="Times New Roman"/>
          <w:lang w:val="en-US" w:eastAsia="zh-CN"/>
        </w:rPr>
        <w:t>难度大</w:t>
      </w:r>
      <w:r>
        <w:rPr>
          <w:rFonts w:hint="eastAsia" w:ascii="Times New Roman" w:hAnsi="Times New Roman"/>
        </w:rPr>
        <w:t>的问题——在非面对面的证券交易市场上，投资者很难直接证明自己是</w:t>
      </w:r>
      <w:r>
        <w:rPr>
          <w:rFonts w:hint="eastAsia" w:ascii="Times New Roman" w:hAnsi="Times New Roman"/>
          <w:lang w:val="en-US" w:eastAsia="zh-CN"/>
        </w:rPr>
        <w:t>基于信赖了虚假陈述而进行的交易</w:t>
      </w:r>
      <w:r>
        <w:rPr>
          <w:rFonts w:hint="eastAsia" w:ascii="Times New Roman" w:hAnsi="Times New Roman"/>
        </w:rPr>
        <w:t>，只有靠“</w:t>
      </w:r>
      <w:r>
        <w:rPr>
          <w:rFonts w:hint="eastAsia" w:ascii="Times New Roman" w:hAnsi="Times New Roman"/>
          <w:lang w:eastAsia="zh-CN"/>
        </w:rPr>
        <w:t>信赖推定</w:t>
      </w:r>
      <w:r>
        <w:rPr>
          <w:rFonts w:hint="eastAsia" w:ascii="Times New Roman" w:hAnsi="Times New Roman"/>
        </w:rPr>
        <w:t>”这种办法，才能让他们的权利得到</w:t>
      </w:r>
      <w:r>
        <w:rPr>
          <w:rFonts w:hint="eastAsia" w:ascii="Times New Roman" w:hAnsi="Times New Roman"/>
          <w:lang w:val="en-US" w:eastAsia="zh-CN"/>
        </w:rPr>
        <w:t>有效</w:t>
      </w:r>
      <w:r>
        <w:rPr>
          <w:rFonts w:hint="eastAsia" w:ascii="Times New Roman" w:hAnsi="Times New Roman"/>
        </w:rPr>
        <w:t>救济。</w:t>
      </w:r>
    </w:p>
    <w:p w14:paraId="2127DBF0">
      <w:pPr>
        <w:bidi w:val="0"/>
        <w:rPr>
          <w:rFonts w:hint="eastAsia" w:ascii="Times New Roman" w:hAnsi="Times New Roman"/>
        </w:rPr>
      </w:pPr>
      <w:r>
        <w:rPr>
          <w:rFonts w:hint="eastAsia" w:ascii="Times New Roman" w:hAnsi="Times New Roman"/>
        </w:rPr>
        <w:t>不过，2003年虚假陈述解释这种做法虽然简单直接，但也埋下了不少争议。它没有把交易因果关系和损失因果关系区分开</w:t>
      </w:r>
      <w:r>
        <w:rPr>
          <w:rStyle w:val="22"/>
          <w:rFonts w:hint="eastAsia" w:ascii="Times New Roman" w:hAnsi="Times New Roman"/>
        </w:rPr>
        <w:footnoteReference w:id="17"/>
      </w:r>
      <w:r>
        <w:rPr>
          <w:rFonts w:hint="eastAsia" w:ascii="Times New Roman" w:hAnsi="Times New Roman"/>
        </w:rPr>
        <w:t>，</w:t>
      </w:r>
      <w:r>
        <w:rPr>
          <w:rFonts w:hint="eastAsia" w:ascii="Times New Roman" w:hAnsi="Times New Roman"/>
          <w:lang w:val="en-US" w:eastAsia="zh-CN"/>
        </w:rPr>
        <w:t>仅简单依靠</w:t>
      </w:r>
      <w:r>
        <w:rPr>
          <w:rFonts w:hint="eastAsia" w:ascii="Times New Roman" w:hAnsi="Times New Roman"/>
        </w:rPr>
        <w:t>买卖时间点来推定因果关系，等于把一个本来很复杂的因果关系问题，简化成了“三日一价”</w:t>
      </w:r>
      <w:r>
        <w:rPr>
          <w:rFonts w:hint="eastAsia" w:ascii="Times New Roman" w:hAnsi="Times New Roman"/>
          <w:lang w:val="en-US" w:eastAsia="zh-CN"/>
        </w:rPr>
        <w:t>这</w:t>
      </w:r>
      <w:r>
        <w:rPr>
          <w:rFonts w:hint="eastAsia" w:ascii="Times New Roman" w:hAnsi="Times New Roman"/>
        </w:rPr>
        <w:t>种形式上的审查。</w:t>
      </w:r>
      <w:r>
        <w:rPr>
          <w:rStyle w:val="22"/>
          <w:rFonts w:hint="eastAsia" w:ascii="Times New Roman" w:hAnsi="Times New Roman"/>
        </w:rPr>
        <w:footnoteReference w:id="18"/>
      </w:r>
      <w:r>
        <w:rPr>
          <w:rFonts w:hint="eastAsia" w:ascii="Times New Roman" w:hAnsi="Times New Roman"/>
        </w:rPr>
        <w:t>这种概括性规定，虽然方便了法院操作，但在实践中也</w:t>
      </w:r>
      <w:r>
        <w:rPr>
          <w:rFonts w:hint="eastAsia" w:ascii="Times New Roman" w:hAnsi="Times New Roman"/>
          <w:lang w:val="en-US" w:eastAsia="zh-CN"/>
        </w:rPr>
        <w:t>延伸出了一系列问题</w:t>
      </w:r>
      <w:r>
        <w:rPr>
          <w:rFonts w:hint="eastAsia" w:ascii="Times New Roman" w:hAnsi="Times New Roman"/>
        </w:rPr>
        <w:t>。第一，它基本只考虑了“诱多型”虚假陈述这一种情况，</w:t>
      </w:r>
      <w:r>
        <w:rPr>
          <w:rFonts w:hint="eastAsia" w:ascii="Times New Roman" w:hAnsi="Times New Roman"/>
          <w:lang w:val="en-US" w:eastAsia="zh-CN"/>
        </w:rPr>
        <w:t>将</w:t>
      </w:r>
      <w:r>
        <w:rPr>
          <w:rFonts w:hint="eastAsia" w:ascii="Times New Roman" w:hAnsi="Times New Roman"/>
        </w:rPr>
        <w:t>“诱空型”虚假陈述导致的卖出损失排除在救济范围之外。第二，它</w:t>
      </w:r>
      <w:r>
        <w:rPr>
          <w:rFonts w:hint="eastAsia" w:ascii="Times New Roman" w:hAnsi="Times New Roman"/>
          <w:lang w:val="en-US" w:eastAsia="zh-CN"/>
        </w:rPr>
        <w:t>忽视了对</w:t>
      </w:r>
      <w:r>
        <w:rPr>
          <w:rFonts w:hint="eastAsia" w:ascii="Times New Roman" w:hAnsi="Times New Roman"/>
        </w:rPr>
        <w:t>在揭露日前就反向交易的投资者</w:t>
      </w:r>
      <w:r>
        <w:rPr>
          <w:rFonts w:hint="eastAsia" w:ascii="Times New Roman" w:hAnsi="Times New Roman"/>
          <w:lang w:val="en-US" w:eastAsia="zh-CN"/>
        </w:rPr>
        <w:t>的救济</w:t>
      </w:r>
      <w:r>
        <w:rPr>
          <w:rFonts w:hint="eastAsia" w:ascii="Times New Roman" w:hAnsi="Times New Roman"/>
        </w:rPr>
        <w:t>，没考虑到市场上可能已经</w:t>
      </w:r>
      <w:r>
        <w:rPr>
          <w:rFonts w:hint="eastAsia" w:ascii="Times New Roman" w:hAnsi="Times New Roman"/>
          <w:lang w:val="en-US" w:eastAsia="zh-CN"/>
        </w:rPr>
        <w:t>存在</w:t>
      </w:r>
      <w:r>
        <w:rPr>
          <w:rFonts w:hint="eastAsia" w:ascii="Times New Roman" w:hAnsi="Times New Roman"/>
        </w:rPr>
        <w:t>传言，导致投资者提前卖出的现实情况。第三，被告能用来抗辩的事由列举得不够，容易让原被告双方的诉讼利益失衡。这样的制度安排，实质上是让被告在</w:t>
      </w:r>
      <w:r>
        <w:rPr>
          <w:rFonts w:hint="eastAsia" w:ascii="Times New Roman" w:hAnsi="Times New Roman"/>
          <w:lang w:val="en-US" w:eastAsia="zh-CN"/>
        </w:rPr>
        <w:t>不清楚</w:t>
      </w:r>
      <w:r>
        <w:rPr>
          <w:rFonts w:hint="eastAsia" w:ascii="Times New Roman" w:hAnsi="Times New Roman"/>
        </w:rPr>
        <w:t>因果关系的情况下</w:t>
      </w:r>
      <w:r>
        <w:rPr>
          <w:rFonts w:hint="eastAsia" w:ascii="Times New Roman" w:hAnsi="Times New Roman"/>
          <w:lang w:val="en-US" w:eastAsia="zh-CN"/>
        </w:rPr>
        <w:t>替</w:t>
      </w:r>
      <w:r>
        <w:rPr>
          <w:rFonts w:hint="eastAsia" w:ascii="Times New Roman" w:hAnsi="Times New Roman"/>
        </w:rPr>
        <w:t>投资者的投资损失</w:t>
      </w:r>
      <w:r>
        <w:rPr>
          <w:rFonts w:hint="eastAsia" w:ascii="Times New Roman" w:hAnsi="Times New Roman"/>
          <w:lang w:val="en-US" w:eastAsia="zh-CN"/>
        </w:rPr>
        <w:t>买单</w:t>
      </w:r>
      <w:r>
        <w:rPr>
          <w:rFonts w:hint="eastAsia" w:ascii="Times New Roman" w:hAnsi="Times New Roman"/>
        </w:rPr>
        <w:t>，</w:t>
      </w:r>
      <w:r>
        <w:rPr>
          <w:rFonts w:hint="eastAsia" w:ascii="Times New Roman" w:hAnsi="Times New Roman"/>
          <w:lang w:val="en-US" w:eastAsia="zh-CN"/>
        </w:rPr>
        <w:t>这</w:t>
      </w:r>
      <w:r>
        <w:rPr>
          <w:rFonts w:hint="eastAsia" w:ascii="Times New Roman" w:hAnsi="Times New Roman"/>
        </w:rPr>
        <w:t>使民事赔偿制度面临异化为“保险制度”的风险。</w:t>
      </w:r>
    </w:p>
    <w:p w14:paraId="79ACFEDC">
      <w:pPr>
        <w:pStyle w:val="4"/>
        <w:bidi w:val="0"/>
        <w:rPr>
          <w:rFonts w:hint="eastAsia" w:ascii="Times New Roman" w:hAnsi="Times New Roman"/>
          <w:lang w:val="en-US" w:eastAsia="zh-CN"/>
        </w:rPr>
      </w:pPr>
      <w:bookmarkStart w:id="26" w:name="_Toc23130"/>
      <w:r>
        <w:rPr>
          <w:rFonts w:hint="eastAsia" w:ascii="Times New Roman" w:hAnsi="Times New Roman"/>
          <w:lang w:val="en-US" w:eastAsia="zh-CN"/>
        </w:rPr>
        <w:t>2.2022年虚假陈述解释中</w:t>
      </w:r>
      <w:r>
        <w:rPr>
          <w:rFonts w:hint="eastAsia" w:ascii="Times New Roman" w:hAnsi="Times New Roman"/>
        </w:rPr>
        <w:t>关于因果关系的认定机制</w:t>
      </w:r>
      <w:bookmarkEnd w:id="26"/>
    </w:p>
    <w:p w14:paraId="75F75CFC">
      <w:pPr>
        <w:bidi w:val="0"/>
        <w:rPr>
          <w:rFonts w:hint="eastAsia" w:ascii="Times New Roman" w:hAnsi="Times New Roman"/>
          <w:lang w:val="en-US" w:eastAsia="zh-CN"/>
        </w:rPr>
      </w:pPr>
      <w:r>
        <w:rPr>
          <w:rFonts w:hint="eastAsia" w:ascii="Times New Roman" w:hAnsi="Times New Roman"/>
        </w:rPr>
        <w:t>2022年虚假陈述解释对因果关系认定规则的改造，主要体现在下面三个层面</w:t>
      </w:r>
      <w:r>
        <w:rPr>
          <w:rFonts w:hint="eastAsia" w:ascii="Times New Roman" w:hAnsi="Times New Roman"/>
          <w:lang w:eastAsia="zh-CN"/>
        </w:rPr>
        <w:t>：</w:t>
      </w:r>
      <w:r>
        <w:rPr>
          <w:rFonts w:hint="eastAsia" w:ascii="Times New Roman" w:hAnsi="Times New Roman"/>
          <w:lang w:val="en-US" w:eastAsia="zh-CN"/>
        </w:rPr>
        <w:t>其一，把交易因果关系和损失因果关系明确分开来，将责任构成精细化；其二，把“重大性”从形式审查转向实质审查，重塑了因果关系的逻辑前提。第三，推动损失核定的技术化与标准化，让赔偿范围算得更精准。通过上述改动构建了更明晰的因果关系认定路径。</w:t>
      </w:r>
    </w:p>
    <w:p w14:paraId="581B85EF">
      <w:pPr>
        <w:pStyle w:val="5"/>
        <w:bidi w:val="0"/>
        <w:rPr>
          <w:rFonts w:hint="default" w:ascii="Times New Roman" w:hAnsi="Times New Roman"/>
          <w:lang w:val="en-US" w:eastAsia="zh-CN"/>
        </w:rPr>
      </w:pPr>
      <w:bookmarkStart w:id="27" w:name="_Toc29452"/>
      <w:r>
        <w:rPr>
          <w:rFonts w:hint="eastAsia" w:ascii="Times New Roman" w:hAnsi="Times New Roman"/>
          <w:lang w:val="en-US" w:eastAsia="zh-CN"/>
        </w:rPr>
        <w:t>（1）交易因果关系与损失因果关系的二元区分逻辑</w:t>
      </w:r>
      <w:bookmarkEnd w:id="27"/>
    </w:p>
    <w:p w14:paraId="36DF71E5">
      <w:pPr>
        <w:bidi w:val="0"/>
        <w:rPr>
          <w:rFonts w:hint="eastAsia" w:ascii="Times New Roman" w:hAnsi="Times New Roman"/>
          <w:lang w:val="en-US" w:eastAsia="zh-CN"/>
        </w:rPr>
      </w:pPr>
      <w:r>
        <w:rPr>
          <w:rFonts w:hint="eastAsia" w:ascii="Times New Roman" w:hAnsi="Times New Roman"/>
          <w:lang w:val="en-US" w:eastAsia="zh-CN"/>
        </w:rPr>
        <w:t>在2022年虚假陈述解释还未出台时，（2012）黔高民商终字第3号案便首次对交易因果关系进行了单独论述。</w:t>
      </w:r>
      <w:r>
        <w:rPr>
          <w:rStyle w:val="22"/>
          <w:rFonts w:hint="eastAsia" w:ascii="Times New Roman" w:hAnsi="Times New Roman"/>
          <w:lang w:val="en-US" w:eastAsia="zh-CN"/>
        </w:rPr>
        <w:footnoteReference w:id="19"/>
      </w:r>
      <w:r>
        <w:rPr>
          <w:rFonts w:hint="eastAsia" w:ascii="Times New Roman" w:hAnsi="Times New Roman"/>
          <w:lang w:val="en-US" w:eastAsia="zh-CN"/>
        </w:rPr>
        <w:t>当时的法院指出，虚假陈述与投资者的交易决定之间要有因果关系，虚假陈述与投资者的损失之间也要有因果关系，缺了哪一个都不行，因果关系要件就不完整，投资者也就拿不到赔偿。后来，2022年虚假陈述解释通过司法解释的方式，正式确认了这种“交易因果关系”和“损失因果关系”的二元区分方式。</w:t>
      </w:r>
    </w:p>
    <w:p w14:paraId="4BB879CD">
      <w:pPr>
        <w:bidi w:val="0"/>
        <w:rPr>
          <w:rFonts w:hint="eastAsia" w:ascii="Times New Roman" w:hAnsi="Times New Roman"/>
          <w:lang w:val="en-US" w:eastAsia="zh-CN"/>
        </w:rPr>
      </w:pPr>
      <w:r>
        <w:rPr>
          <w:rFonts w:hint="eastAsia" w:ascii="Times New Roman" w:hAnsi="Times New Roman"/>
          <w:lang w:val="en-US" w:eastAsia="zh-CN"/>
        </w:rPr>
        <w:t>针对交易因果关系，2022年虚假陈述解释第十一条规定：如果原告是在虚假陈述实施日之后、揭露日或更正日之前做了相应的交易行为——比如在诱多型虚假陈述中买入了证券，或者在诱空型虚假陈述中卖出了与虚假陈述直接关联的证券——那法院就应该认定交易因果关系成立。</w:t>
      </w:r>
      <w:r>
        <w:rPr>
          <w:rStyle w:val="22"/>
          <w:rFonts w:hint="eastAsia" w:ascii="Times New Roman" w:hAnsi="Times New Roman"/>
          <w:lang w:val="en-US" w:eastAsia="zh-CN"/>
        </w:rPr>
        <w:footnoteReference w:id="20"/>
      </w:r>
      <w:r>
        <w:rPr>
          <w:rFonts w:hint="eastAsia" w:ascii="Times New Roman" w:hAnsi="Times New Roman"/>
          <w:lang w:val="en-US" w:eastAsia="zh-CN"/>
        </w:rPr>
        <w:t>这样就把交易因果关系拆分成了三个要件：第一，存在虚假陈述行为；第二，交易标的证券得跟虚假陈述有关联；第三，投资者得在虚假陈述实施日之后、揭露日之前做了相应的交易，也就是诱多型里买了相关证券，或者诱空型里卖了相关证券。</w:t>
      </w:r>
    </w:p>
    <w:p w14:paraId="4956FD60">
      <w:pPr>
        <w:bidi w:val="0"/>
        <w:rPr>
          <w:rFonts w:hint="eastAsia" w:ascii="Times New Roman" w:hAnsi="Times New Roman"/>
          <w:lang w:val="en-US" w:eastAsia="zh-CN"/>
        </w:rPr>
      </w:pPr>
      <w:r>
        <w:rPr>
          <w:rFonts w:hint="eastAsia" w:ascii="Times New Roman" w:hAnsi="Times New Roman"/>
          <w:lang w:val="en-US" w:eastAsia="zh-CN"/>
        </w:rPr>
        <w:t>具体来说，“存在虚假陈述行为”这个要件，强调的是要满足重大性标准。而要证明重大性标准，就得证明信息披露义务人的虚假陈述导致了相关证券交易价格或者交易量发生了明显变化</w:t>
      </w:r>
      <w:r>
        <w:rPr>
          <w:rStyle w:val="22"/>
          <w:rFonts w:hint="eastAsia" w:ascii="Times New Roman" w:hAnsi="Times New Roman"/>
          <w:lang w:val="en-US" w:eastAsia="zh-CN"/>
        </w:rPr>
        <w:footnoteReference w:id="21"/>
      </w:r>
      <w:r>
        <w:rPr>
          <w:rFonts w:hint="eastAsia" w:ascii="Times New Roman" w:hAnsi="Times New Roman"/>
          <w:lang w:val="en-US" w:eastAsia="zh-CN"/>
        </w:rPr>
        <w:t>，同时还要综合考虑陈述内容的性质、金额占比以及市场反应这些因素，避免把那些轻微的信息披露瑕疵也拉进来规制</w:t>
      </w:r>
      <w:r>
        <w:rPr>
          <w:rStyle w:val="22"/>
          <w:rFonts w:hint="eastAsia" w:ascii="Times New Roman" w:hAnsi="Times New Roman"/>
          <w:lang w:val="en-US" w:eastAsia="zh-CN"/>
        </w:rPr>
        <w:footnoteReference w:id="22"/>
      </w:r>
      <w:r>
        <w:rPr>
          <w:rFonts w:hint="eastAsia" w:ascii="Times New Roman" w:hAnsi="Times New Roman"/>
          <w:lang w:val="en-US" w:eastAsia="zh-CN"/>
        </w:rPr>
        <w:t>。在司法实践里，法院一般会把行政处罚决定或者刑事裁判当作虚假陈述行为存在的初步证据，但还是保留了司法审查权。比如说（2020）沪民终666号案，法院虽然参考了行政处罚决定，但还是自己独立审查了重组预测信息的准确度，最后认定盈利预测的重大差异构成虚假陈述。这个案子就体现了法院对重大性要件的实质把握。</w:t>
      </w:r>
      <w:r>
        <w:rPr>
          <w:rStyle w:val="22"/>
          <w:rFonts w:hint="eastAsia" w:ascii="Times New Roman" w:hAnsi="Times New Roman"/>
          <w:lang w:val="en-US" w:eastAsia="zh-CN"/>
        </w:rPr>
        <w:footnoteReference w:id="23"/>
      </w:r>
      <w:r>
        <w:rPr>
          <w:rFonts w:hint="eastAsia" w:ascii="Times New Roman" w:hAnsi="Times New Roman"/>
          <w:lang w:val="en-US" w:eastAsia="zh-CN"/>
        </w:rPr>
        <w:t>至于“关联性”这个要件，主要从证券种类和市场特性两方面来考察。上市公司在有效市场上发行的证券，一般就可以认定具有关联性。</w:t>
      </w:r>
      <w:r>
        <w:rPr>
          <w:rStyle w:val="22"/>
          <w:rFonts w:hint="eastAsia" w:ascii="Times New Roman" w:hAnsi="Times New Roman"/>
          <w:lang w:val="en-US" w:eastAsia="zh-CN"/>
        </w:rPr>
        <w:footnoteReference w:id="24"/>
      </w:r>
    </w:p>
    <w:p w14:paraId="2A460682">
      <w:pPr>
        <w:bidi w:val="0"/>
        <w:rPr>
          <w:rFonts w:hint="eastAsia" w:ascii="Times New Roman" w:hAnsi="Times New Roman"/>
          <w:lang w:val="en-US" w:eastAsia="zh-CN"/>
        </w:rPr>
      </w:pPr>
      <w:r>
        <w:rPr>
          <w:rFonts w:hint="eastAsia" w:ascii="Times New Roman" w:hAnsi="Times New Roman"/>
          <w:lang w:val="en-US" w:eastAsia="zh-CN"/>
        </w:rPr>
        <w:t>另一方面，2022年虚假陈述解释第十二条也为被告规定了几种抗辩的事由来推翻交易因果关系。比如原告在交易的时候已经知道或者应当知道存在虚假陈述，又比如交易行为是受了其他重大事件的影响，再比如交易行为本身就不合法等等。</w:t>
      </w:r>
    </w:p>
    <w:p w14:paraId="722FDE44">
      <w:pPr>
        <w:bidi w:val="0"/>
        <w:rPr>
          <w:rFonts w:hint="eastAsia" w:ascii="Times New Roman" w:hAnsi="Times New Roman"/>
          <w:lang w:val="en-US" w:eastAsia="zh-CN"/>
        </w:rPr>
      </w:pPr>
      <w:r>
        <w:rPr>
          <w:rFonts w:hint="eastAsia" w:ascii="Times New Roman" w:hAnsi="Times New Roman"/>
          <w:lang w:val="en-US" w:eastAsia="zh-CN"/>
        </w:rPr>
        <w:t>相比之下，损失因果关系的认定就更加偏向客观化和计量化。2022年虚假陈述解释第三十一条明确规定，法院要查清楚虚假陈述和原告损失之间的因果关系。如果损失里面有一部分或者全部是别的因素造成的——比如有人操纵市场、证券市场本身的风险、市场对某个特定事件反应过度，或者上市公司内外部经营环境发生了变化——那就要相应减轻或者免除被告的责任。</w:t>
      </w:r>
      <w:r>
        <w:rPr>
          <w:rStyle w:val="22"/>
          <w:rFonts w:hint="eastAsia" w:ascii="Times New Roman" w:hAnsi="Times New Roman"/>
          <w:color w:val="000000" w:themeColor="text1"/>
          <w14:textFill>
            <w14:solidFill>
              <w14:schemeClr w14:val="tx1"/>
            </w14:solidFill>
          </w14:textFill>
        </w:rPr>
        <w:footnoteReference w:id="25"/>
      </w:r>
      <w:r>
        <w:rPr>
          <w:rFonts w:hint="eastAsia" w:ascii="Times New Roman" w:hAnsi="Times New Roman"/>
          <w:lang w:val="en-US" w:eastAsia="zh-CN"/>
        </w:rPr>
        <w:t>这个司法解释明确引入了系统风险和非系统风险等其它因素的扣除规则，要求用科学的计算方法，把虚假陈述之外那些因素导致的损失，从投资者的实际损失里剔除出去。例如，上海金融法院在（2018）沪74民初1399号案决里首创了“同步指数对比法”，用来核定系统风险的扣除比例</w:t>
      </w:r>
      <w:r>
        <w:rPr>
          <w:rStyle w:val="22"/>
          <w:rFonts w:hint="eastAsia" w:ascii="Times New Roman" w:hAnsi="Times New Roman"/>
        </w:rPr>
        <w:footnoteReference w:id="26"/>
      </w:r>
      <w:r>
        <w:rPr>
          <w:rFonts w:hint="eastAsia" w:ascii="Times New Roman" w:hAnsi="Times New Roman"/>
          <w:lang w:val="en-US" w:eastAsia="zh-CN"/>
        </w:rPr>
        <w:t>；北京金融法院则首创了“多因子迁移同步对比法”，用来认定投资者的损失数额</w:t>
      </w:r>
      <w:r>
        <w:rPr>
          <w:rStyle w:val="22"/>
          <w:rFonts w:hint="eastAsia" w:ascii="Times New Roman" w:hAnsi="Times New Roman"/>
          <w:lang w:val="en-US" w:eastAsia="zh-CN"/>
        </w:rPr>
        <w:footnoteReference w:id="27"/>
      </w:r>
      <w:r>
        <w:rPr>
          <w:rFonts w:hint="eastAsia" w:ascii="Times New Roman" w:hAnsi="Times New Roman"/>
          <w:lang w:val="en-US" w:eastAsia="zh-CN"/>
        </w:rPr>
        <w:t>。这些方法都是为了让证券虚假陈述案件变得更精细、推动金融审判机制更加专业化的一种有效尝试。在非系统风险的量化方面，司法实践也有突破。比如湖南高院在（2019）湘民终519-522号案中，把上市公司发布利空公告这类因素对投资者损失的影响比例酌定为5%，这成了全国头一个量化非系统风险的判决。</w:t>
      </w:r>
      <w:r>
        <w:rPr>
          <w:rStyle w:val="22"/>
          <w:rFonts w:hint="eastAsia" w:ascii="Times New Roman" w:hAnsi="Times New Roman"/>
        </w:rPr>
        <w:footnoteReference w:id="28"/>
      </w:r>
    </w:p>
    <w:p w14:paraId="3AB5749D">
      <w:pPr>
        <w:bidi w:val="0"/>
        <w:rPr>
          <w:rFonts w:hint="eastAsia" w:ascii="Times New Roman" w:hAnsi="Times New Roman"/>
          <w:lang w:val="en-US" w:eastAsia="zh-CN"/>
        </w:rPr>
      </w:pPr>
      <w:r>
        <w:rPr>
          <w:rFonts w:hint="default" w:ascii="Times New Roman" w:hAnsi="Times New Roman"/>
          <w:color w:val="000000" w:themeColor="text1"/>
          <w:lang w:val="en-US" w:eastAsia="zh-CN"/>
          <w14:textFill>
            <w14:solidFill>
              <w14:schemeClr w14:val="tx1"/>
            </w14:solidFill>
          </w14:textFill>
        </w:rPr>
        <w:t>这种二元区分方式的确立，根植于证券市场侵权纠纷的特殊性与复杂性。</w:t>
      </w:r>
      <w:r>
        <w:rPr>
          <w:rFonts w:hint="eastAsia" w:ascii="Times New Roman" w:hAnsi="Times New Roman"/>
          <w:lang w:val="en-US" w:eastAsia="zh-CN"/>
        </w:rPr>
        <w:t>在证券市场里，投资者做交易决策往往是受很多因素影响的，股价的波动也夹杂着市场系统风险、个股特质风险等多种变量。如果只用一套笼统的单一因果关系标准，既不容易精准界定侵权责任的范围，也容易要么让责任泛化，要么被轻易规避。把因果关系拆成两个层次，本质上是对侵权法理论在证券领域的一次精细化运用：交易因果关系侧重解决的是责任成不成立的问题，也就是判断虚假陈述有没有可能引发交易；损失因果关系则聚焦于责任范围有多大，也就是确定虚假陈述到底造成了多少实际可以赔偿的损失。这种区分方式，让司法审查能够更有层次地把无关因素过滤掉，既保护了投资者的求偿权利，又避免了发行人因为那些跟虚假陈述没关系的市场波动而背上过重的责任，总体上体现了保护投资者和维护资本市场稳定之间的价值平衡。</w:t>
      </w:r>
    </w:p>
    <w:p w14:paraId="05506A4B">
      <w:pPr>
        <w:pStyle w:val="5"/>
        <w:bidi w:val="0"/>
        <w:rPr>
          <w:rFonts w:hint="eastAsia" w:ascii="Times New Roman" w:hAnsi="Times New Roman"/>
          <w:lang w:val="en-US" w:eastAsia="zh-CN"/>
        </w:rPr>
      </w:pPr>
      <w:bookmarkStart w:id="28" w:name="_Toc29729"/>
      <w:r>
        <w:rPr>
          <w:rFonts w:hint="eastAsia" w:ascii="Times New Roman" w:hAnsi="Times New Roman"/>
          <w:lang w:val="en-US" w:eastAsia="zh-CN"/>
        </w:rPr>
        <w:t>（2）不同责任主体的因果关系认定差异</w:t>
      </w:r>
      <w:bookmarkEnd w:id="28"/>
    </w:p>
    <w:p w14:paraId="59A3DD5E">
      <w:pPr>
        <w:bidi w:val="0"/>
        <w:rPr>
          <w:rFonts w:hint="eastAsia" w:ascii="Times New Roman" w:hAnsi="Times New Roman"/>
          <w:lang w:val="en-US" w:eastAsia="zh-CN"/>
        </w:rPr>
      </w:pPr>
      <w:r>
        <w:rPr>
          <w:rFonts w:hint="eastAsia" w:ascii="Times New Roman" w:hAnsi="Times New Roman"/>
          <w:lang w:val="en-US" w:eastAsia="zh-CN"/>
        </w:rPr>
        <w:t>在证券虚假陈述责任纠纷这类案件里，不同责任主体在因果关系认定上呈现较大差异。之所以要区别对待，主要是因为各个主体在信息披露链条里扮演的角色不一样，获取信息的能力不同，过错的程度也有所区别。</w:t>
      </w:r>
    </w:p>
    <w:p w14:paraId="22409E79">
      <w:pPr>
        <w:bidi w:val="0"/>
        <w:rPr>
          <w:rFonts w:hint="eastAsia" w:ascii="Times New Roman" w:hAnsi="Times New Roman"/>
          <w:lang w:val="en-US" w:eastAsia="zh-CN"/>
        </w:rPr>
      </w:pPr>
      <w:r>
        <w:rPr>
          <w:rFonts w:hint="eastAsia" w:ascii="Times New Roman" w:hAnsi="Times New Roman"/>
          <w:lang w:val="en-US" w:eastAsia="zh-CN"/>
        </w:rPr>
        <w:t>其一，发行人以及它的控股股东或实际控制人，属于信息披露的第一责任人，适用的是最严格的因果关系推定规则。只要投资者能证明自己是在实施日之后买入了相关证券，那么发行人就要承担主要的赔偿责任。至于控股股东和实际控制人，因为他们通常被看作是“幕后主导者”，所以一般跟发行人一起承担连带责任，因果关系认定的标准跟发行人是一样的。不过在个别案件里，如果能证明虚假陈述纯粹是某个人自己的行为，发行人完全不知情，那这个人也可能单独承担责任。这种严格标准的道理在于：发行人作为信息源的掌控者，对披露什么内容有完全的控制力，而且它自己也从虚假陈述中直接受益——要么融资更方便了，要么市值被维持住了——所以理应承担最重的信赖保护责任。</w:t>
      </w:r>
    </w:p>
    <w:p w14:paraId="1D76F610">
      <w:pPr>
        <w:bidi w:val="0"/>
        <w:rPr>
          <w:rFonts w:hint="eastAsia" w:ascii="Times New Roman" w:hAnsi="Times New Roman"/>
          <w:lang w:val="en-US" w:eastAsia="zh-CN"/>
        </w:rPr>
      </w:pPr>
      <w:r>
        <w:rPr>
          <w:rFonts w:hint="eastAsia" w:ascii="Times New Roman" w:hAnsi="Times New Roman"/>
          <w:lang w:val="en-US" w:eastAsia="zh-CN"/>
        </w:rPr>
        <w:t>其二，董事、监事、高级管理人员的因果关系认定，则呈现出一种“分层化”的特征。按照2022年虚假陈述解释第十三条的规定，独立董事、外部监事和职工监事等，只要能证明自己已经勤勉尽责了，就可以免于承担责任。这实际上是在因果关系认定里引入了过错程度的调节机制。简而言之，董监高的责任边界应该跟他们对信息的接触程度相匹配：那些直接参与决策的董事，跟只负责形式审查的独立董事，在因果关系的推定强度上应该有所区别。</w:t>
      </w:r>
    </w:p>
    <w:p w14:paraId="66673B67">
      <w:pPr>
        <w:bidi w:val="0"/>
        <w:rPr>
          <w:rFonts w:hint="eastAsia" w:ascii="Times New Roman" w:hAnsi="Times New Roman"/>
          <w:lang w:val="en-US" w:eastAsia="zh-CN"/>
        </w:rPr>
      </w:pPr>
      <w:r>
        <w:rPr>
          <w:rFonts w:hint="eastAsia" w:ascii="Times New Roman" w:hAnsi="Times New Roman"/>
          <w:lang w:val="en-US" w:eastAsia="zh-CN"/>
        </w:rPr>
        <w:t>其三，保荐机构、会计师事务所、律师事务所这类中介机构，虽然不一定是虚假陈述的直接行为人，但它们在发行人和投资者之间充当了“看门人”的角色，所以因果关系的认定反而更严格，也更复杂。从司法实践来看，在处理针对中介机构的损失因果关系时，法院通常要求投资者拿出更具体的证据，证明自己的交易决策是依赖于该中介机构的专业报告或服务，而不仅仅是基于发行人公开的那些信息。之所以会有这种差异化的认定，是因为中介机构的特殊角色在于对信息进行加工、验证和补充。换言之，如果投资者的损失是由发行人自己发布的虚假信息导致的，而不是因为信赖了中介机构的专业审查或者保荐意见，那中介机构一般不用承担赔偿责任。因此，法院在审理这类案件的时候，会重点看投资者到底有没有“实质性”地信赖中介机构的服务，然后据此判断损失因果关系是否成立。</w:t>
      </w:r>
    </w:p>
    <w:p w14:paraId="245A487C">
      <w:pPr>
        <w:bidi w:val="0"/>
        <w:rPr>
          <w:rFonts w:hint="eastAsia" w:ascii="Times New Roman" w:hAnsi="Times New Roman"/>
          <w:lang w:val="en-US" w:eastAsia="zh-CN"/>
        </w:rPr>
      </w:pPr>
      <w:r>
        <w:rPr>
          <w:rFonts w:hint="eastAsia" w:ascii="Times New Roman" w:hAnsi="Times New Roman"/>
          <w:lang w:val="en-US" w:eastAsia="zh-CN"/>
        </w:rPr>
        <w:t>上述这些差异，归根结底是侵权责任法里的“过错责任原则”和“自己责任原则”。发行人和控股股东处在信息优势的位置上，而且往往有直接故意，所以让他们承担严格责任；董监高和中介机构获取信息的渠道有限，可能只是存在过失，所以在因果关系认定上给他们保留一定的抗辩空间。除此之外，这种差异化处理也是为了服务一定的政策目标：一方面要用严格责任去威慑发行人不敢造假，另一方面又要避免董监高和中介机构因为过度避险而妨碍资本市场的正常运作。这种精细化的因果关系构造，体现了司法解释在保护投资者和激励市场主体行为之间努力寻求的一种审慎平衡。</w:t>
      </w:r>
    </w:p>
    <w:p w14:paraId="70A312F3">
      <w:pPr>
        <w:bidi w:val="0"/>
        <w:rPr>
          <w:rFonts w:hint="eastAsia" w:ascii="Times New Roman" w:hAnsi="Times New Roman"/>
          <w:lang w:val="en-US" w:eastAsia="zh-CN"/>
        </w:rPr>
      </w:pPr>
      <w:r>
        <w:rPr>
          <w:rFonts w:hint="eastAsia" w:ascii="Times New Roman" w:hAnsi="Times New Roman"/>
          <w:color w:val="000000" w:themeColor="text1"/>
          <w14:textFill>
            <w14:solidFill>
              <w14:schemeClr w14:val="tx1"/>
            </w14:solidFill>
          </w14:textFill>
        </w:rPr>
        <w:t>追溯这一发展历程，变化的原因可归结为三个层面</w:t>
      </w:r>
      <w:r>
        <w:rPr>
          <w:rFonts w:hint="eastAsia" w:ascii="Times New Roman" w:hAnsi="Times New Roman"/>
          <w:lang w:val="en-US" w:eastAsia="zh-CN"/>
        </w:rPr>
        <w:t>。第一个是司法理念的转变：从早期比较简单地偏向保护投资者，转向了更加注重平衡原被告双方的诉讼利益，避免民事赔偿制度变成一种“刚性兑付”的工具。第二个是市场实践在发展：随着多层次资本市场建设不断推进，债券、新三板、资产支持证券这些新品种的虚假陈述案子越来越多，专业投资者、机构投资者索赔也变得常见，这就要求因果关系的认定规则更有包容性、更能适应不同情况。第三个是审判经验在积累：将近二十年的司法实践攒下了大量案例资源，从（2016）最高法民申502号案确立交易因果关系的独立地位，到系统风险和非系统风险的量化探索，再到预测性信息安全港规则的构建——每一个规则的完善，背后都有经典判例撑腰。这些变化最终都指向同一个目标：让虚假陈述赔偿诉讼走得更精细，在保护投资者和平衡市场主体权益之间，做到“收张有度”。</w:t>
      </w:r>
    </w:p>
    <w:p w14:paraId="612D87D6">
      <w:pPr>
        <w:rPr>
          <w:rFonts w:hint="eastAsia" w:ascii="Times New Roman" w:hAnsi="Times New Roman"/>
          <w:lang w:val="en-US" w:eastAsia="zh-CN"/>
        </w:rPr>
      </w:pPr>
      <w:bookmarkStart w:id="29" w:name="_Toc5876"/>
      <w:r>
        <w:rPr>
          <w:rFonts w:hint="eastAsia" w:ascii="Times New Roman" w:hAnsi="Times New Roman"/>
          <w:lang w:val="en-US" w:eastAsia="zh-CN"/>
        </w:rPr>
        <w:br w:type="page"/>
      </w:r>
    </w:p>
    <w:p w14:paraId="26248148">
      <w:pPr>
        <w:pStyle w:val="2"/>
        <w:bidi w:val="0"/>
        <w:rPr>
          <w:rFonts w:hint="default" w:ascii="Times New Roman" w:hAnsi="Times New Roman"/>
          <w:lang w:val="en-US" w:eastAsia="zh-CN"/>
        </w:rPr>
      </w:pPr>
      <w:bookmarkStart w:id="30" w:name="_Toc4052"/>
      <w:r>
        <w:rPr>
          <w:rFonts w:hint="eastAsia" w:ascii="Times New Roman" w:hAnsi="Times New Roman"/>
          <w:lang w:val="en-US" w:eastAsia="zh-CN"/>
        </w:rPr>
        <w:t>三</w:t>
      </w:r>
      <w:r>
        <w:rPr>
          <w:rFonts w:hint="default" w:ascii="Times New Roman" w:hAnsi="Times New Roman"/>
          <w:lang w:val="en-US" w:eastAsia="zh-CN"/>
        </w:rPr>
        <w:t>、证券虚假陈述责任纠纷因果关系认定的</w:t>
      </w:r>
      <w:bookmarkEnd w:id="29"/>
      <w:r>
        <w:rPr>
          <w:rFonts w:hint="eastAsia" w:ascii="Times New Roman" w:hAnsi="Times New Roman"/>
          <w:lang w:val="en-US" w:eastAsia="zh-CN"/>
        </w:rPr>
        <w:t>司法现状</w:t>
      </w:r>
      <w:bookmarkEnd w:id="30"/>
    </w:p>
    <w:p w14:paraId="47BD0CB6">
      <w:pPr>
        <w:pStyle w:val="3"/>
        <w:bidi w:val="0"/>
        <w:rPr>
          <w:rFonts w:hint="default" w:ascii="Times New Roman" w:hAnsi="Times New Roman"/>
          <w:lang w:val="en-US" w:eastAsia="zh-CN"/>
        </w:rPr>
      </w:pPr>
      <w:bookmarkStart w:id="31" w:name="_Toc13811"/>
      <w:bookmarkStart w:id="32" w:name="_Toc17467"/>
      <w:r>
        <w:rPr>
          <w:rFonts w:hint="default" w:ascii="Times New Roman" w:hAnsi="Times New Roman"/>
          <w:lang w:val="en-US" w:eastAsia="zh-CN"/>
        </w:rPr>
        <w:t>（一）样本案例的基础特征分析</w:t>
      </w:r>
      <w:bookmarkEnd w:id="31"/>
      <w:bookmarkEnd w:id="32"/>
    </w:p>
    <w:p w14:paraId="4E76C514">
      <w:pPr>
        <w:rPr>
          <w:rFonts w:hint="eastAsia" w:ascii="Times New Roman" w:hAnsi="Times New Roman"/>
          <w:lang w:val="en-US" w:eastAsia="zh-CN"/>
        </w:rPr>
      </w:pPr>
      <w:r>
        <w:rPr>
          <w:rFonts w:hint="eastAsia" w:ascii="Times New Roman" w:hAnsi="Times New Roman"/>
        </w:rPr>
        <w:t>这次实证分析，我们选了四个关键词来检索，分别是“二审”“虚假陈述责任纠纷”“判决书”以及“2023年至2025年审结”。在北大法宝和中国裁判文书网这两个数据库里，一共找到了86份样本案例。按年份来看，2023年审结了49份，2024年26份，2025年11份；对应的上诉率依次是8.65%、6.3%和17.81%。这些样本覆盖了全国多个省市的中级人民法院和高级人民法院，地域代表性比较充分，同时时间跨度也有一定的参考价值。</w:t>
      </w:r>
    </w:p>
    <w:p w14:paraId="4CAF6C80">
      <w:pPr>
        <w:pStyle w:val="29"/>
        <w:bidi w:val="0"/>
        <w:rPr>
          <w:rFonts w:hint="default" w:ascii="Times New Roman" w:hAnsi="Times New Roman"/>
          <w:lang w:val="en-US" w:eastAsia="zh-CN"/>
        </w:rPr>
      </w:pPr>
      <w:r>
        <w:rPr>
          <w:rFonts w:hint="eastAsia" w:ascii="Times New Roman" w:hAnsi="Times New Roman"/>
          <w:lang w:val="en-US" w:eastAsia="zh-CN"/>
        </w:rPr>
        <w:t>图1 样本案件总量及上诉情况</w:t>
      </w:r>
    </w:p>
    <w:p w14:paraId="7F212BD8">
      <w:pPr>
        <w:pStyle w:val="28"/>
        <w:bidi w:val="0"/>
        <w:rPr>
          <w:rFonts w:ascii="Times New Roman" w:hAnsi="Times New Roman"/>
        </w:rPr>
      </w:pPr>
      <w:r>
        <w:rPr>
          <w:rFonts w:hint="eastAsia" w:ascii="Times New Roman" w:hAnsi="Times New Roman"/>
          <w:lang w:val="en-US" w:eastAsia="zh-CN"/>
        </w:rPr>
        <w:drawing>
          <ns3:anchor distT="0" distB="0" distL="114300" distR="114300" simplePos="0" relativeHeight="251664384" behindDoc="0" locked="0" layoutInCell="1" allowOverlap="1">
            <ns3:simplePos x="0" y="0"/>
            <ns3:positionH relativeFrom="column">
              <ns3:posOffset>381635</ns3:posOffset>
            </ns3:positionH>
            <ns3:positionV relativeFrom="paragraph">
              <ns3:posOffset>147320</ns3:posOffset>
            </ns3:positionV>
            <ns3:extent cx="4389120" cy="2827655"/>
            <ns3:effectExtent l="0" t="0" r="5080" b="4445"/>
            <ns3:wrapTopAndBottom/>
            <ns3:docPr id="4" name="图表 4"/>
            <ns3:cNvGraphicFramePr/>
            <ns4:graphic>
              <ns4:graphicData uri="http://schemas.openxmlformats.org/drawingml/2006/chart">
                <ns11:chart r:id="rId9"/>
              </ns4:graphicData>
            </ns4:graphic>
          </ns3:anchor>
        </w:drawing>
      </w:r>
      <w:r>
        <w:rPr>
          <w:rFonts w:hint="eastAsia" w:ascii="Times New Roman" w:hAnsi="Times New Roman"/>
          <w:lang w:val="en-US" w:eastAsia="zh-CN"/>
        </w:rPr>
        <w:t>数据来源：中国裁判文书网</w:t>
      </w:r>
    </w:p>
    <w:p w14:paraId="0962830E">
      <w:pPr>
        <w:pStyle w:val="27"/>
        <w:bidi w:val="0"/>
        <w:rPr>
          <w:rFonts w:hint="eastAsia" w:ascii="Times New Roman" w:hAnsi="Times New Roman"/>
          <w:lang w:val="en-US" w:eastAsia="zh-CN"/>
        </w:rPr>
      </w:pPr>
      <w:r>
        <w:rPr>
          <w:rFonts w:hint="eastAsia" w:ascii="Times New Roman" w:hAnsi="Times New Roman"/>
          <w:lang w:val="en-US" w:eastAsia="zh-CN"/>
        </w:rPr>
        <w:t>表1 样本案件总量及上诉情况</w:t>
      </w:r>
    </w:p>
    <w:tbl>
      <w:tblPr>
        <w:tblStyle w:val="16"/>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21"/>
        <w:gridCol w:w="2691"/>
        <w:gridCol w:w="2691"/>
        <w:gridCol w:w="1816"/>
      </w:tblGrid>
      <w:tr w14:paraId="3D11E7F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323A6D6">
            <w:pPr>
              <w:snapToGrid w:val="0"/>
              <w:spacing w:line="240" w:lineRule="auto"/>
              <w:ind w:left="0" w:leftChars="0" w:right="0" w:rightChars="0" w:firstLine="0" w:firstLineChars="0"/>
              <w:jc w:val="center"/>
              <w:rPr>
                <w:rFonts w:hint="default" w:ascii="Times New Roman" w:hAnsi="Times New Roman"/>
                <w:b/>
                <w:sz w:val="21"/>
                <w:szCs w:val="21"/>
                <w:vertAlign w:val="baseline"/>
                <w:lang w:val="en-US" w:eastAsia="zh-CN"/>
              </w:rPr>
            </w:pPr>
            <w:r>
              <w:rPr>
                <w:rFonts w:hint="eastAsia" w:ascii="Times New Roman" w:hAnsi="Times New Roman"/>
                <w:b/>
                <w:sz w:val="21"/>
                <w:szCs w:val="21"/>
                <w:vertAlign w:val="baseline"/>
                <w:lang w:val="en-US" w:eastAsia="zh-CN"/>
              </w:rPr>
              <w:t>年份</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BD6C133">
            <w:pPr>
              <w:snapToGrid w:val="0"/>
              <w:spacing w:line="240" w:lineRule="auto"/>
              <w:ind w:left="0" w:leftChars="0" w:right="0" w:rightChars="0" w:firstLine="0" w:firstLineChars="0"/>
              <w:jc w:val="center"/>
              <w:rPr>
                <w:rFonts w:hint="default" w:ascii="Times New Roman" w:hAnsi="Times New Roman"/>
                <w:b/>
                <w:sz w:val="21"/>
                <w:szCs w:val="21"/>
                <w:vertAlign w:val="baseline"/>
                <w:lang w:val="en-US" w:eastAsia="zh-CN"/>
              </w:rPr>
            </w:pPr>
            <w:r>
              <w:rPr>
                <w:rFonts w:hint="eastAsia" w:ascii="Times New Roman" w:hAnsi="Times New Roman"/>
                <w:b/>
                <w:sz w:val="21"/>
                <w:szCs w:val="21"/>
                <w:vertAlign w:val="baseline"/>
                <w:lang w:val="en-US" w:eastAsia="zh-CN"/>
              </w:rPr>
              <w:t>一审案件数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1C0F8F2">
            <w:pPr>
              <w:snapToGrid w:val="0"/>
              <w:spacing w:line="240" w:lineRule="auto"/>
              <w:ind w:left="0" w:leftChars="0" w:right="0" w:rightChars="0" w:firstLine="0" w:firstLineChars="0"/>
              <w:jc w:val="center"/>
              <w:rPr>
                <w:rFonts w:hint="default" w:ascii="Times New Roman" w:hAnsi="Times New Roman"/>
                <w:b/>
                <w:sz w:val="21"/>
                <w:szCs w:val="21"/>
                <w:vertAlign w:val="baseline"/>
                <w:lang w:val="en-US" w:eastAsia="zh-CN"/>
              </w:rPr>
            </w:pPr>
            <w:r>
              <w:rPr>
                <w:rFonts w:hint="eastAsia" w:ascii="Times New Roman" w:hAnsi="Times New Roman"/>
                <w:b/>
                <w:sz w:val="21"/>
                <w:szCs w:val="21"/>
                <w:vertAlign w:val="baseline"/>
                <w:lang w:val="en-US" w:eastAsia="zh-CN"/>
              </w:rPr>
              <w:t>二审案件数</w:t>
            </w:r>
          </w:p>
        </w:tc>
        <w:tc>
          <w:tcPr>
            <w:tcW w:w="1816" w:type="dxa"/>
            <w:tcBorders>
              <w:top w:val="single" w:color="auto" w:sz="12" w:space="0"/>
              <w:left w:val="nil"/>
              <w:bottom w:val="nil"/>
              <w:right w:val="nil"/>
            </w:tcBorders>
            <w:noWrap w:val="0"/>
            <w:tcMar>
              <w:top w:w="-1" w:type="dxa"/>
              <w:left w:w="-1" w:type="dxa"/>
              <w:bottom w:w="-1" w:type="dxa"/>
              <w:right w:w="-1" w:type="dxa"/>
            </w:tcMar>
            <w:vAlign w:val="center"/>
          </w:tcPr>
          <w:p w14:paraId="0A56839E">
            <w:pPr>
              <w:snapToGrid w:val="0"/>
              <w:spacing w:line="240" w:lineRule="auto"/>
              <w:ind w:left="0" w:leftChars="0" w:right="0" w:rightChars="0" w:firstLine="0" w:firstLineChars="0"/>
              <w:jc w:val="center"/>
              <w:rPr>
                <w:rFonts w:hint="default" w:ascii="Times New Roman" w:hAnsi="Times New Roman"/>
                <w:b/>
                <w:sz w:val="21"/>
                <w:szCs w:val="21"/>
                <w:vertAlign w:val="baseline"/>
                <w:lang w:val="en-US" w:eastAsia="zh-CN"/>
              </w:rPr>
            </w:pPr>
            <w:r>
              <w:rPr>
                <w:rFonts w:hint="eastAsia" w:ascii="Times New Roman" w:hAnsi="Times New Roman"/>
                <w:b/>
                <w:sz w:val="21"/>
                <w:szCs w:val="21"/>
                <w:vertAlign w:val="baseline"/>
                <w:lang w:val="en-US" w:eastAsia="zh-CN"/>
              </w:rPr>
              <w:t>上诉率</w:t>
            </w:r>
          </w:p>
        </w:tc>
      </w:tr>
      <w:tr w14:paraId="441A6C1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DD7D985">
            <w:pPr>
              <w:snapToGrid w:val="0"/>
              <w:spacing w:line="240" w:lineRule="auto"/>
              <w:ind w:left="0" w:leftChars="0" w:right="0" w:rightChars="0" w:firstLine="0" w:firstLineChars="0"/>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2023</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DDC2CBC">
            <w:pPr>
              <w:snapToGrid w:val="0"/>
              <w:spacing w:line="240" w:lineRule="auto"/>
              <w:ind w:left="0" w:leftChars="0" w:right="0" w:rightChars="0" w:firstLine="0" w:firstLineChars="0"/>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424</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73D6B37">
            <w:pPr>
              <w:snapToGrid w:val="0"/>
              <w:spacing w:line="240" w:lineRule="auto"/>
              <w:ind w:left="0" w:leftChars="0" w:right="0" w:rightChars="0" w:firstLine="0" w:firstLineChars="0"/>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49</w:t>
            </w:r>
          </w:p>
        </w:tc>
        <w:tc>
          <w:tcPr>
            <w:tcW w:w="1816" w:type="dxa"/>
            <w:tcBorders>
              <w:top w:val="single" w:color="auto" w:sz="4" w:space="0"/>
              <w:left w:val="nil"/>
              <w:bottom w:val="nil"/>
              <w:right w:val="nil"/>
            </w:tcBorders>
            <w:noWrap w:val="0"/>
            <w:tcMar>
              <w:top w:w="-1" w:type="dxa"/>
              <w:left w:w="-1" w:type="dxa"/>
              <w:bottom w:w="-1" w:type="dxa"/>
              <w:right w:w="-1" w:type="dxa"/>
            </w:tcMar>
            <w:vAlign w:val="center"/>
          </w:tcPr>
          <w:p w14:paraId="6CE43DC4">
            <w:pPr>
              <w:snapToGrid w:val="0"/>
              <w:spacing w:line="240" w:lineRule="auto"/>
              <w:ind w:left="0" w:leftChars="0" w:right="0" w:rightChars="0" w:firstLine="0" w:firstLineChars="0"/>
              <w:jc w:val="center"/>
              <w:rPr>
                <w:rFonts w:hint="eastAsia" w:ascii="Times New Roman" w:hAnsi="Times New Roman"/>
                <w:vertAlign w:val="baseline"/>
                <w:lang w:val="en-US" w:eastAsia="zh-CN"/>
              </w:rPr>
            </w:pPr>
            <w:r>
              <w:rPr>
                <w:rFonts w:hint="eastAsia" w:ascii="Times New Roman" w:hAnsi="Times New Roman"/>
                <w:vertAlign w:val="baseline"/>
                <w:lang w:val="en-US" w:eastAsia="zh-CN"/>
              </w:rPr>
              <w:t>8.65%</w:t>
            </w:r>
          </w:p>
        </w:tc>
      </w:tr>
      <w:tr w14:paraId="700CE4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AD3B79B">
            <w:pPr>
              <w:snapToGrid w:val="0"/>
              <w:spacing w:line="240" w:lineRule="auto"/>
              <w:ind w:left="0" w:leftChars="0" w:right="0" w:rightChars="0" w:firstLine="0" w:firstLineChars="0"/>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2024</w:t>
            </w:r>
          </w:p>
        </w:tc>
        <w:tc>
          <w:tcPr>
            <w:tcW w:w="0" w:type="auto"/>
            <w:tcBorders>
              <w:top w:val="nil"/>
              <w:left w:val="nil"/>
              <w:bottom w:val="nil"/>
              <w:right w:val="nil"/>
            </w:tcBorders>
            <w:noWrap w:val="0"/>
            <w:tcMar>
              <w:top w:w="-1" w:type="dxa"/>
              <w:left w:w="-1" w:type="dxa"/>
              <w:bottom w:w="-1" w:type="dxa"/>
              <w:right w:w="-1" w:type="dxa"/>
            </w:tcMar>
            <w:vAlign w:val="center"/>
          </w:tcPr>
          <w:p w14:paraId="4FB2CBA6">
            <w:pPr>
              <w:snapToGrid w:val="0"/>
              <w:spacing w:line="240" w:lineRule="auto"/>
              <w:ind w:left="0" w:leftChars="0" w:right="0" w:rightChars="0" w:firstLine="0" w:firstLineChars="0"/>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165</w:t>
            </w:r>
          </w:p>
        </w:tc>
        <w:tc>
          <w:tcPr>
            <w:tcW w:w="0" w:type="auto"/>
            <w:tcBorders>
              <w:top w:val="nil"/>
              <w:left w:val="nil"/>
              <w:bottom w:val="nil"/>
              <w:right w:val="nil"/>
            </w:tcBorders>
            <w:noWrap w:val="0"/>
            <w:tcMar>
              <w:top w:w="-1" w:type="dxa"/>
              <w:left w:w="-1" w:type="dxa"/>
              <w:bottom w:w="-1" w:type="dxa"/>
              <w:right w:w="-1" w:type="dxa"/>
            </w:tcMar>
            <w:vAlign w:val="center"/>
          </w:tcPr>
          <w:p w14:paraId="7D99F060">
            <w:pPr>
              <w:snapToGrid w:val="0"/>
              <w:spacing w:line="240" w:lineRule="auto"/>
              <w:ind w:left="0" w:leftChars="0" w:right="0" w:rightChars="0" w:firstLine="0" w:firstLineChars="0"/>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26</w:t>
            </w:r>
          </w:p>
        </w:tc>
        <w:tc>
          <w:tcPr>
            <w:tcW w:w="1816" w:type="dxa"/>
            <w:tcBorders>
              <w:top w:val="nil"/>
              <w:left w:val="nil"/>
              <w:bottom w:val="nil"/>
              <w:right w:val="nil"/>
            </w:tcBorders>
            <w:noWrap w:val="0"/>
            <w:tcMar>
              <w:top w:w="-1" w:type="dxa"/>
              <w:left w:w="-1" w:type="dxa"/>
              <w:bottom w:w="-1" w:type="dxa"/>
              <w:right w:w="-1" w:type="dxa"/>
            </w:tcMar>
            <w:vAlign w:val="center"/>
          </w:tcPr>
          <w:p w14:paraId="4DD3F188">
            <w:pPr>
              <w:snapToGrid w:val="0"/>
              <w:spacing w:line="240" w:lineRule="auto"/>
              <w:ind w:left="0" w:leftChars="0" w:right="0" w:rightChars="0" w:firstLine="0" w:firstLineChars="0"/>
              <w:jc w:val="center"/>
              <w:rPr>
                <w:rFonts w:hint="eastAsia" w:ascii="Times New Roman" w:hAnsi="Times New Roman"/>
                <w:vertAlign w:val="baseline"/>
                <w:lang w:val="en-US" w:eastAsia="zh-CN"/>
              </w:rPr>
            </w:pPr>
            <w:r>
              <w:rPr>
                <w:rFonts w:hint="eastAsia" w:ascii="Times New Roman" w:hAnsi="Times New Roman"/>
                <w:vertAlign w:val="baseline"/>
                <w:lang w:val="en-US" w:eastAsia="zh-CN"/>
              </w:rPr>
              <w:t>6.3%</w:t>
            </w:r>
          </w:p>
        </w:tc>
      </w:tr>
      <w:tr w14:paraId="408CDD9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21" w:type="dxa"/>
            <w:tcBorders>
              <w:top w:val="nil"/>
              <w:left w:val="nil"/>
              <w:bottom w:val="single" w:color="auto" w:sz="12" w:space="0"/>
              <w:right w:val="nil"/>
            </w:tcBorders>
            <w:noWrap w:val="0"/>
            <w:tcMar>
              <w:top w:w="-1" w:type="dxa"/>
              <w:left w:w="-1" w:type="dxa"/>
              <w:bottom w:w="-1" w:type="dxa"/>
              <w:right w:w="-1" w:type="dxa"/>
            </w:tcMar>
            <w:vAlign w:val="center"/>
          </w:tcPr>
          <w:p w14:paraId="270CBAF1">
            <w:pPr>
              <w:snapToGrid w:val="0"/>
              <w:spacing w:line="240" w:lineRule="auto"/>
              <w:ind w:left="0" w:leftChars="0" w:right="0" w:rightChars="0" w:firstLine="0" w:firstLineChars="0"/>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2025</w:t>
            </w:r>
          </w:p>
        </w:tc>
        <w:tc>
          <w:tcPr>
            <w:tcW w:w="2691" w:type="dxa"/>
            <w:tcBorders>
              <w:top w:val="nil"/>
              <w:left w:val="nil"/>
              <w:bottom w:val="single" w:color="auto" w:sz="12" w:space="0"/>
              <w:right w:val="nil"/>
            </w:tcBorders>
            <w:noWrap w:val="0"/>
            <w:tcMar>
              <w:top w:w="-1" w:type="dxa"/>
              <w:left w:w="-1" w:type="dxa"/>
              <w:bottom w:w="-1" w:type="dxa"/>
              <w:right w:w="-1" w:type="dxa"/>
            </w:tcMar>
            <w:vAlign w:val="center"/>
          </w:tcPr>
          <w:p w14:paraId="5BA7014A">
            <w:pPr>
              <w:snapToGrid w:val="0"/>
              <w:spacing w:line="240" w:lineRule="auto"/>
              <w:ind w:left="0" w:leftChars="0" w:right="0" w:rightChars="0" w:firstLine="0" w:firstLineChars="0"/>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196</w:t>
            </w:r>
          </w:p>
        </w:tc>
        <w:tc>
          <w:tcPr>
            <w:tcW w:w="2691" w:type="dxa"/>
            <w:tcBorders>
              <w:top w:val="nil"/>
              <w:left w:val="nil"/>
              <w:bottom w:val="single" w:color="auto" w:sz="12" w:space="0"/>
              <w:right w:val="nil"/>
            </w:tcBorders>
            <w:noWrap w:val="0"/>
            <w:tcMar>
              <w:top w:w="-1" w:type="dxa"/>
              <w:left w:w="-1" w:type="dxa"/>
              <w:bottom w:w="-1" w:type="dxa"/>
              <w:right w:w="-1" w:type="dxa"/>
            </w:tcMar>
            <w:vAlign w:val="center"/>
          </w:tcPr>
          <w:p w14:paraId="4DDBC3A3">
            <w:pPr>
              <w:snapToGrid w:val="0"/>
              <w:spacing w:line="240" w:lineRule="auto"/>
              <w:ind w:left="0" w:leftChars="0" w:right="0" w:rightChars="0" w:firstLine="0" w:firstLineChars="0"/>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11</w:t>
            </w:r>
          </w:p>
        </w:tc>
        <w:tc>
          <w:tcPr>
            <w:tcW w:w="1816" w:type="dxa"/>
            <w:tcBorders>
              <w:top w:val="nil"/>
              <w:left w:val="nil"/>
              <w:bottom w:val="single" w:color="auto" w:sz="12" w:space="0"/>
              <w:right w:val="nil"/>
            </w:tcBorders>
            <w:noWrap w:val="0"/>
            <w:tcMar>
              <w:top w:w="-1" w:type="dxa"/>
              <w:left w:w="-1" w:type="dxa"/>
              <w:bottom w:w="-1" w:type="dxa"/>
              <w:right w:w="-1" w:type="dxa"/>
            </w:tcMar>
            <w:vAlign w:val="center"/>
          </w:tcPr>
          <w:p w14:paraId="605F9BC8">
            <w:pPr>
              <w:snapToGrid w:val="0"/>
              <w:spacing w:line="240" w:lineRule="auto"/>
              <w:ind w:left="0" w:leftChars="0" w:right="0" w:rightChars="0" w:firstLine="0" w:firstLineChars="0"/>
              <w:jc w:val="center"/>
              <w:rPr>
                <w:rFonts w:hint="eastAsia" w:ascii="Times New Roman" w:hAnsi="Times New Roman"/>
                <w:vertAlign w:val="baseline"/>
                <w:lang w:val="en-US" w:eastAsia="zh-CN"/>
              </w:rPr>
            </w:pPr>
            <w:r>
              <w:rPr>
                <w:rFonts w:hint="eastAsia" w:ascii="Times New Roman" w:hAnsi="Times New Roman"/>
                <w:vertAlign w:val="baseline"/>
                <w:lang w:val="en-US" w:eastAsia="zh-CN"/>
              </w:rPr>
              <w:t>17.81%</w:t>
            </w:r>
          </w:p>
        </w:tc>
      </w:tr>
    </w:tbl>
    <w:p w14:paraId="5B2B2687">
      <w:pPr>
        <w:pStyle w:val="4"/>
        <w:bidi w:val="0"/>
        <w:rPr>
          <w:rFonts w:hint="default" w:ascii="Times New Roman" w:hAnsi="Times New Roman"/>
          <w:lang w:val="en-US" w:eastAsia="zh-CN"/>
        </w:rPr>
      </w:pPr>
      <w:bookmarkStart w:id="33" w:name="_Toc5503"/>
      <w:bookmarkStart w:id="34" w:name="_Toc3448"/>
      <w:r>
        <w:rPr>
          <w:rFonts w:hint="eastAsia" w:ascii="Times New Roman" w:hAnsi="Times New Roman"/>
          <w:lang w:val="en-US" w:eastAsia="zh-CN"/>
        </w:rPr>
        <w:t>1.</w:t>
      </w:r>
      <w:r>
        <w:rPr>
          <w:rFonts w:hint="default" w:ascii="Times New Roman" w:hAnsi="Times New Roman"/>
          <w:lang w:val="en-US" w:eastAsia="zh-CN"/>
        </w:rPr>
        <w:t>改判案件的类型化</w:t>
      </w:r>
      <w:bookmarkEnd w:id="33"/>
      <w:bookmarkEnd w:id="34"/>
    </w:p>
    <w:p w14:paraId="71068E1B">
      <w:pPr>
        <w:pStyle w:val="29"/>
        <w:bidi w:val="0"/>
        <w:rPr>
          <w:rFonts w:hint="eastAsia" w:ascii="Times New Roman" w:hAnsi="Times New Roman"/>
          <w:b w:val="0"/>
          <w:bCs/>
          <w:sz w:val="18"/>
          <w:szCs w:val="18"/>
          <w:lang w:val="en-US" w:eastAsia="zh-CN"/>
        </w:rPr>
      </w:pPr>
      <w:r>
        <w:rPr>
          <w:rFonts w:hint="eastAsia" w:ascii="Times New Roman" w:hAnsi="Times New Roman"/>
          <w:lang w:val="en-US" w:eastAsia="zh-CN"/>
        </w:rPr>
        <w:drawing>
          <ns3:anchor distT="0" distB="0" distL="114300" distR="114300" simplePos="0" relativeHeight="251661312" behindDoc="0" locked="0" layoutInCell="1" allowOverlap="1">
            <ns3:simplePos x="0" y="0"/>
            <ns3:positionH relativeFrom="column">
              <ns3:posOffset>414020</ns3:posOffset>
            </ns3:positionH>
            <ns3:positionV relativeFrom="paragraph">
              <ns3:posOffset>326390</ns3:posOffset>
            </ns3:positionV>
            <ns3:extent cx="4420235" cy="2249805"/>
            <ns3:effectExtent l="0" t="0" r="12065" b="10795"/>
            <ns3:wrapTopAndBottom/>
            <ns3:docPr id="6" name="图表 6"/>
            <ns3:cNvGraphicFramePr/>
            <ns4:graphic>
              <ns4:graphicData uri="http://schemas.openxmlformats.org/drawingml/2006/chart">
                <ns11:chart r:id="rId10"/>
              </ns4:graphicData>
            </ns4:graphic>
          </ns3:anchor>
        </w:drawing>
      </w:r>
      <w:r>
        <w:rPr>
          <w:rFonts w:hint="eastAsia" w:ascii="Times New Roman" w:hAnsi="Times New Roman"/>
          <w:lang w:val="en-US" w:eastAsia="zh-CN"/>
        </w:rPr>
        <w:t>图2 二审改判案例改判内容分布情况</w:t>
      </w:r>
    </w:p>
    <w:p w14:paraId="7FC55036">
      <w:pPr>
        <w:pStyle w:val="28"/>
        <w:bidi w:val="0"/>
        <w:rPr>
          <w:rFonts w:hint="default" w:ascii="Times New Roman" w:hAnsi="Times New Roman"/>
          <w:lang w:val="en-US" w:eastAsia="zh-CN"/>
        </w:rPr>
      </w:pPr>
      <w:r>
        <w:rPr>
          <w:rFonts w:hint="eastAsia" w:ascii="Times New Roman" w:hAnsi="Times New Roman"/>
          <w:lang w:val="en-US" w:eastAsia="zh-CN"/>
        </w:rPr>
        <w:t>数据来源：中国裁判文书网</w:t>
      </w:r>
    </w:p>
    <w:p w14:paraId="25B90CE1">
      <w:pPr>
        <w:bidi w:val="0"/>
        <w:rPr>
          <w:rFonts w:hint="eastAsia" w:ascii="Times New Roman" w:hAnsi="Times New Roman"/>
          <w:lang w:val="en-US" w:eastAsia="zh-CN"/>
        </w:rPr>
      </w:pPr>
      <w:r>
        <w:rPr>
          <w:rFonts w:hint="eastAsia" w:ascii="Times New Roman" w:hAnsi="Times New Roman"/>
          <w:lang w:val="en-US" w:eastAsia="zh-CN"/>
        </w:rPr>
        <w:t>通过对86份样本判决书进行系统梳理，我们发现，二审改判的内容大多集中在因果关系的认定上，而且呈现出比较明显的类型化特征。在所有样本当中，二审改判的案件总共有7份，改判率为8.14%。这个比例说明，在证券虚假陈述责任纠纷的二审程序里，维持原判的情况还是占了大多数。不过值得注意的一个特点是，那些改判的案件，其争议焦点高度集中在因果关系认定这一块，类型化特征相当突出。</w:t>
      </w:r>
    </w:p>
    <w:p w14:paraId="6E386D60">
      <w:pPr>
        <w:pStyle w:val="27"/>
        <w:bidi w:val="0"/>
        <w:rPr>
          <w:rFonts w:hint="default" w:ascii="Times New Roman" w:hAnsi="Times New Roman"/>
          <w:lang w:val="en-US" w:eastAsia="zh-CN"/>
        </w:rPr>
      </w:pPr>
      <w:r>
        <w:rPr>
          <w:rFonts w:hint="eastAsia" w:ascii="Times New Roman" w:hAnsi="Times New Roman"/>
          <w:lang w:val="en-US" w:eastAsia="zh-CN"/>
        </w:rPr>
        <w:t>表2 二审改判案件案号及改判内容</w:t>
      </w:r>
    </w:p>
    <w:tbl>
      <w:tblPr>
        <w:tblStyle w:val="16"/>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72"/>
        <w:gridCol w:w="1152"/>
        <w:gridCol w:w="1145"/>
        <w:gridCol w:w="1152"/>
        <w:gridCol w:w="1152"/>
        <w:gridCol w:w="1152"/>
        <w:gridCol w:w="1152"/>
        <w:gridCol w:w="1145"/>
      </w:tblGrid>
      <w:tr w14:paraId="314BED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A90D1AC">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eastAsia" w:ascii="Times New Roman" w:hAnsi="Times New Roman" w:cs="Arial"/>
                <w:b w:val="0"/>
                <w:bCs w:val="0"/>
                <w:color w:val="000000"/>
                <w:kern w:val="0"/>
                <w:sz w:val="21"/>
                <w:szCs w:val="21"/>
                <w:lang w:val="en-US" w:eastAsia="zh-CN"/>
              </w:rPr>
              <w:t>案号</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081218D">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default" w:ascii="Times New Roman" w:hAnsi="Times New Roman" w:cs="Arial"/>
                <w:b w:val="0"/>
                <w:bCs w:val="0"/>
                <w:color w:val="000000"/>
                <w:kern w:val="0"/>
                <w:sz w:val="21"/>
                <w:szCs w:val="21"/>
                <w:lang w:val="en-US" w:eastAsia="zh-CN"/>
              </w:rPr>
              <w:t>（2025）浙民终834号</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5A1F8F3">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eastAsia" w:ascii="Times New Roman" w:hAnsi="Times New Roman" w:cs="Arial"/>
                <w:b w:val="0"/>
                <w:bCs w:val="0"/>
                <w:color w:val="000000"/>
                <w:kern w:val="0"/>
                <w:sz w:val="21"/>
                <w:szCs w:val="21"/>
                <w:lang w:val="en-US" w:eastAsia="zh-CN"/>
              </w:rPr>
              <w:t>（2025）</w:t>
            </w:r>
            <w:r>
              <w:rPr>
                <w:rFonts w:hint="default" w:ascii="Times New Roman" w:hAnsi="Times New Roman" w:cs="Arial"/>
                <w:b w:val="0"/>
                <w:bCs w:val="0"/>
                <w:color w:val="000000"/>
                <w:kern w:val="0"/>
                <w:sz w:val="21"/>
                <w:szCs w:val="21"/>
                <w:lang w:val="en-US" w:eastAsia="zh-CN"/>
              </w:rPr>
              <w:t>桂民终</w:t>
            </w:r>
          </w:p>
          <w:p w14:paraId="318A3FE5">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default" w:ascii="Times New Roman" w:hAnsi="Times New Roman" w:cs="Arial"/>
                <w:b w:val="0"/>
                <w:bCs w:val="0"/>
                <w:color w:val="000000"/>
                <w:kern w:val="0"/>
                <w:sz w:val="21"/>
                <w:szCs w:val="21"/>
                <w:lang w:val="en-US" w:eastAsia="zh-CN"/>
              </w:rPr>
              <w:t>17号</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B414A62">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eastAsia" w:ascii="Times New Roman" w:hAnsi="Times New Roman" w:cs="Arial"/>
                <w:b w:val="0"/>
                <w:bCs w:val="0"/>
                <w:color w:val="000000"/>
                <w:kern w:val="0"/>
                <w:sz w:val="21"/>
                <w:szCs w:val="21"/>
                <w:lang w:val="en-US" w:eastAsia="zh-CN"/>
              </w:rPr>
              <w:t>（2024）</w:t>
            </w:r>
            <w:r>
              <w:rPr>
                <w:rFonts w:hint="default" w:ascii="Times New Roman" w:hAnsi="Times New Roman" w:cs="Arial"/>
                <w:b w:val="0"/>
                <w:bCs w:val="0"/>
                <w:color w:val="000000"/>
                <w:kern w:val="0"/>
                <w:sz w:val="21"/>
                <w:szCs w:val="21"/>
                <w:lang w:val="en-US" w:eastAsia="zh-CN"/>
              </w:rPr>
              <w:t>桂民终240号</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F63F955">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eastAsia" w:ascii="Times New Roman" w:hAnsi="Times New Roman" w:cs="Arial"/>
                <w:b w:val="0"/>
                <w:bCs w:val="0"/>
                <w:color w:val="000000"/>
                <w:kern w:val="0"/>
                <w:sz w:val="21"/>
                <w:szCs w:val="21"/>
                <w:lang w:val="en-US" w:eastAsia="zh-CN"/>
              </w:rPr>
              <w:t>（2023）</w:t>
            </w:r>
            <w:r>
              <w:rPr>
                <w:rFonts w:hint="default" w:ascii="Times New Roman" w:hAnsi="Times New Roman" w:cs="Arial"/>
                <w:b w:val="0"/>
                <w:bCs w:val="0"/>
                <w:color w:val="000000"/>
                <w:kern w:val="0"/>
                <w:sz w:val="21"/>
                <w:szCs w:val="21"/>
                <w:lang w:val="en-US" w:eastAsia="zh-CN"/>
              </w:rPr>
              <w:t>内民终553号</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314EC6F">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default" w:ascii="Times New Roman" w:hAnsi="Times New Roman" w:cs="Arial"/>
                <w:b w:val="0"/>
                <w:bCs w:val="0"/>
                <w:color w:val="000000"/>
                <w:kern w:val="0"/>
                <w:sz w:val="21"/>
                <w:szCs w:val="21"/>
                <w:lang w:val="en-US" w:eastAsia="zh-CN"/>
              </w:rPr>
              <w:t>（2024）京民终666号</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EA5FAF8">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eastAsia" w:ascii="Times New Roman" w:hAnsi="Times New Roman" w:cs="Arial"/>
                <w:b w:val="0"/>
                <w:bCs w:val="0"/>
                <w:color w:val="000000"/>
                <w:kern w:val="0"/>
                <w:sz w:val="21"/>
                <w:szCs w:val="21"/>
                <w:lang w:val="en-US" w:eastAsia="zh-CN"/>
              </w:rPr>
              <w:t>（2022）</w:t>
            </w:r>
            <w:r>
              <w:rPr>
                <w:rFonts w:hint="default" w:ascii="Times New Roman" w:hAnsi="Times New Roman" w:cs="Arial"/>
                <w:b w:val="0"/>
                <w:bCs w:val="0"/>
                <w:color w:val="000000"/>
                <w:kern w:val="0"/>
                <w:sz w:val="21"/>
                <w:szCs w:val="21"/>
                <w:lang w:val="en-US" w:eastAsia="zh-CN"/>
              </w:rPr>
              <w:t>冀民终692号</w:t>
            </w:r>
          </w:p>
        </w:tc>
        <w:tc>
          <w:tcPr>
            <w:tcW w:w="1145" w:type="dxa"/>
            <w:tcBorders>
              <w:top w:val="single" w:color="auto" w:sz="12" w:space="0"/>
              <w:left w:val="nil"/>
              <w:bottom w:val="nil"/>
              <w:right w:val="nil"/>
            </w:tcBorders>
            <w:noWrap w:val="0"/>
            <w:tcMar>
              <w:top w:w="-1" w:type="dxa"/>
              <w:left w:w="-1" w:type="dxa"/>
              <w:bottom w:w="-1" w:type="dxa"/>
              <w:right w:w="-1" w:type="dxa"/>
            </w:tcMar>
            <w:vAlign w:val="center"/>
          </w:tcPr>
          <w:p w14:paraId="01ECEC85">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default" w:ascii="Times New Roman" w:hAnsi="Times New Roman" w:cs="Arial"/>
                <w:b w:val="0"/>
                <w:bCs w:val="0"/>
                <w:color w:val="000000"/>
                <w:kern w:val="0"/>
                <w:sz w:val="21"/>
                <w:szCs w:val="21"/>
                <w:lang w:val="en-US" w:eastAsia="zh-CN"/>
              </w:rPr>
              <w:t>（2025）宁民终</w:t>
            </w:r>
          </w:p>
          <w:p w14:paraId="2D7AA8C4">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default" w:ascii="Times New Roman" w:hAnsi="Times New Roman" w:cs="Arial"/>
                <w:b w:val="0"/>
                <w:bCs w:val="0"/>
                <w:color w:val="000000"/>
                <w:kern w:val="0"/>
                <w:sz w:val="21"/>
                <w:szCs w:val="21"/>
                <w:lang w:val="en-US" w:eastAsia="zh-CN"/>
              </w:rPr>
              <w:t>91号</w:t>
            </w:r>
          </w:p>
        </w:tc>
      </w:tr>
      <w:tr w14:paraId="72A6B6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472"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41DF64F6">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eastAsia" w:ascii="Times New Roman" w:hAnsi="Times New Roman" w:cs="Arial"/>
                <w:b w:val="0"/>
                <w:bCs w:val="0"/>
                <w:color w:val="000000"/>
                <w:kern w:val="0"/>
                <w:sz w:val="21"/>
                <w:szCs w:val="21"/>
                <w:lang w:val="en-US" w:eastAsia="zh-CN"/>
              </w:rPr>
              <w:t>改判内容</w:t>
            </w:r>
          </w:p>
        </w:tc>
        <w:tc>
          <w:tcPr>
            <w:tcW w:w="1152"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70FA63EA">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eastAsia" w:ascii="Times New Roman" w:hAnsi="Times New Roman" w:cs="Arial"/>
                <w:b w:val="0"/>
                <w:bCs w:val="0"/>
                <w:color w:val="000000"/>
                <w:kern w:val="0"/>
                <w:sz w:val="21"/>
                <w:szCs w:val="21"/>
                <w:lang w:val="en-US" w:eastAsia="zh-CN"/>
              </w:rPr>
              <w:t>揭露日基准日认定</w:t>
            </w:r>
          </w:p>
        </w:tc>
        <w:tc>
          <w:tcPr>
            <w:tcW w:w="1145"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26DC8E39">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eastAsia" w:ascii="Times New Roman" w:hAnsi="Times New Roman" w:cs="Arial"/>
                <w:b w:val="0"/>
                <w:bCs w:val="0"/>
                <w:color w:val="000000"/>
                <w:kern w:val="0"/>
                <w:sz w:val="21"/>
                <w:szCs w:val="21"/>
                <w:lang w:val="en-US" w:eastAsia="zh-CN"/>
              </w:rPr>
              <w:t>非系统性风险认定</w:t>
            </w:r>
          </w:p>
        </w:tc>
        <w:tc>
          <w:tcPr>
            <w:tcW w:w="1152"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4EAAE088">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eastAsia" w:ascii="Times New Roman" w:hAnsi="Times New Roman" w:cs="Arial"/>
                <w:b w:val="0"/>
                <w:bCs w:val="0"/>
                <w:color w:val="000000"/>
                <w:kern w:val="0"/>
                <w:sz w:val="21"/>
                <w:szCs w:val="21"/>
                <w:lang w:val="en-US" w:eastAsia="zh-CN"/>
              </w:rPr>
              <w:t>非系统性风险认定</w:t>
            </w:r>
          </w:p>
        </w:tc>
        <w:tc>
          <w:tcPr>
            <w:tcW w:w="1152"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0E77B962">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eastAsia" w:ascii="Times New Roman" w:hAnsi="Times New Roman" w:cs="Arial"/>
                <w:b w:val="0"/>
                <w:bCs w:val="0"/>
                <w:color w:val="000000"/>
                <w:kern w:val="0"/>
                <w:sz w:val="21"/>
                <w:szCs w:val="21"/>
                <w:lang w:val="en-US" w:eastAsia="zh-CN"/>
              </w:rPr>
              <w:t>因果关系认定</w:t>
            </w:r>
          </w:p>
        </w:tc>
        <w:tc>
          <w:tcPr>
            <w:tcW w:w="1152"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183BAE08">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eastAsia" w:ascii="Times New Roman" w:hAnsi="Times New Roman" w:cs="Arial"/>
                <w:b w:val="0"/>
                <w:bCs w:val="0"/>
                <w:color w:val="000000"/>
                <w:kern w:val="0"/>
                <w:sz w:val="21"/>
                <w:szCs w:val="21"/>
                <w:lang w:val="en-US" w:eastAsia="zh-CN"/>
              </w:rPr>
              <w:t>交易因果关系认定</w:t>
            </w:r>
          </w:p>
        </w:tc>
        <w:tc>
          <w:tcPr>
            <w:tcW w:w="1152"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2BAF75C2">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eastAsia" w:ascii="Times New Roman" w:hAnsi="Times New Roman" w:cs="Arial"/>
                <w:b w:val="0"/>
                <w:bCs w:val="0"/>
                <w:color w:val="000000"/>
                <w:kern w:val="0"/>
                <w:sz w:val="21"/>
                <w:szCs w:val="21"/>
                <w:lang w:val="en-US" w:eastAsia="zh-CN"/>
              </w:rPr>
              <w:t>损失数额</w:t>
            </w:r>
          </w:p>
        </w:tc>
        <w:tc>
          <w:tcPr>
            <w:tcW w:w="1145"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1C222E48">
            <w:pPr>
              <w:widowControl/>
              <w:snapToGrid w:val="0"/>
              <w:spacing w:line="360" w:lineRule="auto"/>
              <w:ind w:firstLine="0" w:firstLineChars="0"/>
              <w:jc w:val="center"/>
              <w:rPr>
                <w:rFonts w:hint="default" w:ascii="Times New Roman" w:hAnsi="Times New Roman" w:cs="Arial"/>
                <w:b w:val="0"/>
                <w:bCs w:val="0"/>
                <w:color w:val="000000"/>
                <w:kern w:val="0"/>
                <w:sz w:val="21"/>
                <w:szCs w:val="21"/>
                <w:lang w:val="en-US" w:eastAsia="zh-CN"/>
              </w:rPr>
            </w:pPr>
            <w:r>
              <w:rPr>
                <w:rFonts w:hint="eastAsia" w:ascii="Times New Roman" w:hAnsi="Times New Roman" w:cs="Arial"/>
                <w:b w:val="0"/>
                <w:bCs w:val="0"/>
                <w:color w:val="000000"/>
                <w:kern w:val="0"/>
                <w:sz w:val="21"/>
                <w:szCs w:val="21"/>
                <w:lang w:val="en-US" w:eastAsia="zh-CN"/>
              </w:rPr>
              <w:t>损失数额</w:t>
            </w:r>
          </w:p>
        </w:tc>
      </w:tr>
    </w:tbl>
    <w:p w14:paraId="109BA4DA">
      <w:pPr>
        <w:bidi w:val="0"/>
        <w:rPr>
          <w:rFonts w:hint="default" w:ascii="Times New Roman" w:hAnsi="Times New Roman"/>
          <w:lang w:val="en-US" w:eastAsia="zh-CN"/>
        </w:rPr>
      </w:pPr>
      <w:r>
        <w:rPr>
          <w:rFonts w:hint="default" w:ascii="Times New Roman" w:hAnsi="Times New Roman"/>
          <w:lang w:val="en-US" w:eastAsia="zh-CN"/>
        </w:rPr>
        <w:t>具体来看，在7份二审改判的判决书里，有2份是直接因为因果关系认定问题而改判的，分别是（2023）内民终553号和（2024）京民终666号。第一个案子</w:t>
      </w:r>
      <w:r>
        <w:rPr>
          <w:rFonts w:hint="eastAsia" w:ascii="Times New Roman" w:hAnsi="Times New Roman"/>
          <w:lang w:val="en-US" w:eastAsia="zh-CN"/>
        </w:rPr>
        <w:t>中</w:t>
      </w:r>
      <w:r>
        <w:rPr>
          <w:rFonts w:hint="default" w:ascii="Times New Roman" w:hAnsi="Times New Roman"/>
          <w:lang w:val="en-US" w:eastAsia="zh-CN"/>
        </w:rPr>
        <w:t>，一审法院认为“无法排除市场因素及天安财险被接管的影响”，所以否定了因果关系的成立；但二审法院根据2022年虚假陈述解释第十一条，推定交易因果关系成立，还通过调取交易数据、委托中证法律服务中心核算损失，最后决定按60%的比例支持赔偿请求。</w:t>
      </w:r>
      <w:r>
        <w:rPr>
          <w:rStyle w:val="22"/>
          <w:rFonts w:hint="default" w:ascii="Times New Roman" w:hAnsi="Times New Roman"/>
          <w:lang w:val="en-US" w:eastAsia="zh-CN"/>
        </w:rPr>
        <w:footnoteReference w:id="29"/>
      </w:r>
      <w:r>
        <w:rPr>
          <w:rFonts w:hint="default" w:ascii="Times New Roman" w:hAnsi="Times New Roman"/>
          <w:lang w:val="en-US" w:eastAsia="zh-CN"/>
        </w:rPr>
        <w:t>再看第二个案子，一审本来已经认定了交易因果关系成立，结果二审却</w:t>
      </w:r>
      <w:r>
        <w:rPr>
          <w:rFonts w:hint="eastAsia" w:ascii="Times New Roman" w:hAnsi="Times New Roman"/>
          <w:lang w:val="en-US" w:eastAsia="zh-CN"/>
        </w:rPr>
        <w:t>直接将其推翻</w:t>
      </w:r>
      <w:r>
        <w:rPr>
          <w:rFonts w:hint="default" w:ascii="Times New Roman" w:hAnsi="Times New Roman"/>
          <w:lang w:val="en-US" w:eastAsia="zh-CN"/>
        </w:rPr>
        <w:t>——理由是新三板定向增发不适用信赖推定原则，而且没法推定投资者参考了公开信息，所以最终否定了交易因果关系。</w:t>
      </w:r>
      <w:r>
        <w:rPr>
          <w:rStyle w:val="22"/>
          <w:rFonts w:hint="default" w:ascii="Times New Roman" w:hAnsi="Times New Roman"/>
          <w:lang w:val="en-US" w:eastAsia="zh-CN"/>
        </w:rPr>
        <w:footnoteReference w:id="30"/>
      </w:r>
      <w:r>
        <w:rPr>
          <w:rFonts w:hint="default" w:ascii="Times New Roman" w:hAnsi="Times New Roman"/>
          <w:lang w:val="en-US" w:eastAsia="zh-CN"/>
        </w:rPr>
        <w:t>这两个案子改判的核心都</w:t>
      </w:r>
      <w:r>
        <w:rPr>
          <w:rFonts w:hint="eastAsia" w:ascii="Times New Roman" w:hAnsi="Times New Roman"/>
          <w:lang w:val="en-US" w:eastAsia="zh-CN"/>
        </w:rPr>
        <w:t>围绕</w:t>
      </w:r>
      <w:r>
        <w:rPr>
          <w:rFonts w:hint="default" w:ascii="Times New Roman" w:hAnsi="Times New Roman"/>
          <w:lang w:val="en-US" w:eastAsia="zh-CN"/>
        </w:rPr>
        <w:t>因果关系，</w:t>
      </w:r>
      <w:r>
        <w:rPr>
          <w:rFonts w:hint="eastAsia" w:ascii="Times New Roman" w:hAnsi="Times New Roman"/>
          <w:lang w:val="en-US" w:eastAsia="zh-CN"/>
        </w:rPr>
        <w:t>足以说明</w:t>
      </w:r>
      <w:r>
        <w:rPr>
          <w:rFonts w:hint="default" w:ascii="Times New Roman" w:hAnsi="Times New Roman"/>
          <w:lang w:val="en-US" w:eastAsia="zh-CN"/>
        </w:rPr>
        <w:t>不同审级的法院在因果关系的判断标准上确实存在实质性分歧。</w:t>
      </w:r>
    </w:p>
    <w:p w14:paraId="6F4EC866">
      <w:pPr>
        <w:bidi w:val="0"/>
        <w:rPr>
          <w:rFonts w:hint="default" w:ascii="Times New Roman" w:hAnsi="Times New Roman"/>
          <w:lang w:val="en-US" w:eastAsia="zh-CN"/>
        </w:rPr>
      </w:pPr>
      <w:r>
        <w:rPr>
          <w:rFonts w:hint="eastAsia" w:ascii="Times New Roman" w:hAnsi="Times New Roman"/>
          <w:lang w:val="en-US" w:eastAsia="zh-CN"/>
        </w:rPr>
        <w:t>其余5份改判判决书中</w:t>
      </w:r>
      <w:r>
        <w:rPr>
          <w:rFonts w:hint="default" w:ascii="Times New Roman" w:hAnsi="Times New Roman"/>
          <w:lang w:val="en-US" w:eastAsia="zh-CN"/>
        </w:rPr>
        <w:t>，有3份虽然不完全是直接改判因果关系，但改判的内容跟因果关系也密切相关。具体来说，（2025）浙民终834号</w:t>
      </w:r>
      <w:r>
        <w:rPr>
          <w:rFonts w:hint="eastAsia" w:ascii="Times New Roman" w:hAnsi="Times New Roman"/>
          <w:lang w:val="en-US" w:eastAsia="zh-CN"/>
        </w:rPr>
        <w:t>案</w:t>
      </w:r>
      <w:r>
        <w:rPr>
          <w:rFonts w:hint="default" w:ascii="Times New Roman" w:hAnsi="Times New Roman"/>
          <w:lang w:val="en-US" w:eastAsia="zh-CN"/>
        </w:rPr>
        <w:t>改判了揭露日和基准日的认定；（2025）桂民终17号和（2024）桂民终240号</w:t>
      </w:r>
      <w:r>
        <w:rPr>
          <w:rFonts w:hint="eastAsia" w:ascii="Times New Roman" w:hAnsi="Times New Roman"/>
          <w:lang w:val="en-US" w:eastAsia="zh-CN"/>
        </w:rPr>
        <w:t>案</w:t>
      </w:r>
      <w:r>
        <w:rPr>
          <w:rFonts w:hint="default" w:ascii="Times New Roman" w:hAnsi="Times New Roman"/>
          <w:lang w:val="en-US" w:eastAsia="zh-CN"/>
        </w:rPr>
        <w:t>，都是改判了非系统性风险影响的认定。根据2022年虚假陈述解释第十一条第三款</w:t>
      </w:r>
      <w:r>
        <w:rPr>
          <w:rFonts w:hint="eastAsia" w:ascii="Times New Roman" w:hAnsi="Times New Roman"/>
          <w:lang w:val="en-US" w:eastAsia="zh-CN"/>
        </w:rPr>
        <w:t>的规定</w:t>
      </w:r>
      <w:r>
        <w:rPr>
          <w:rFonts w:hint="default" w:ascii="Times New Roman" w:hAnsi="Times New Roman"/>
          <w:lang w:val="en-US" w:eastAsia="zh-CN"/>
        </w:rPr>
        <w:t>，揭露日</w:t>
      </w:r>
      <w:r>
        <w:rPr>
          <w:rFonts w:hint="eastAsia" w:ascii="Times New Roman" w:hAnsi="Times New Roman"/>
          <w:lang w:val="en-US" w:eastAsia="zh-CN"/>
        </w:rPr>
        <w:t>如何</w:t>
      </w:r>
      <w:r>
        <w:rPr>
          <w:rFonts w:hint="default" w:ascii="Times New Roman" w:hAnsi="Times New Roman"/>
          <w:lang w:val="en-US" w:eastAsia="zh-CN"/>
        </w:rPr>
        <w:t>定，直接决定了交易因果关系的时间范围，进而影响整个交易因果关系的认定；而根据2022年虚假陈述解释第三十一条</w:t>
      </w:r>
      <w:r>
        <w:rPr>
          <w:rFonts w:hint="eastAsia" w:ascii="Times New Roman" w:hAnsi="Times New Roman"/>
          <w:lang w:val="en-US" w:eastAsia="zh-CN"/>
        </w:rPr>
        <w:t>的规定</w:t>
      </w:r>
      <w:r>
        <w:rPr>
          <w:rFonts w:hint="default" w:ascii="Times New Roman" w:hAnsi="Times New Roman"/>
          <w:lang w:val="en-US" w:eastAsia="zh-CN"/>
        </w:rPr>
        <w:t>，非系统性风险怎么认定，又直接关系到损失因果关系的责任范围。</w:t>
      </w:r>
      <w:r>
        <w:rPr>
          <w:rFonts w:hint="eastAsia" w:ascii="Times New Roman" w:hAnsi="Times New Roman"/>
          <w:lang w:val="en-US" w:eastAsia="zh-CN"/>
        </w:rPr>
        <w:t>换言之</w:t>
      </w:r>
      <w:r>
        <w:rPr>
          <w:rFonts w:hint="default" w:ascii="Times New Roman" w:hAnsi="Times New Roman"/>
          <w:lang w:val="en-US" w:eastAsia="zh-CN"/>
        </w:rPr>
        <w:t>，揭露日和非系统性风险</w:t>
      </w:r>
      <w:r>
        <w:rPr>
          <w:rFonts w:hint="eastAsia" w:ascii="Times New Roman" w:hAnsi="Times New Roman"/>
          <w:lang w:val="en-US" w:eastAsia="zh-CN"/>
        </w:rPr>
        <w:t>的认定</w:t>
      </w:r>
      <w:r>
        <w:rPr>
          <w:rFonts w:hint="default" w:ascii="Times New Roman" w:hAnsi="Times New Roman"/>
          <w:lang w:val="en-US" w:eastAsia="zh-CN"/>
        </w:rPr>
        <w:t>本来就是因果关系认定体系里的关键环节。从这些分布特征就能看出来，在证券虚假陈述纠纷里，各级法院的主要分歧基本上都集中在因果关系相关的内容上，因果关系认定已经成为二审改判的核心领域。</w:t>
      </w:r>
    </w:p>
    <w:p w14:paraId="1F358C9C">
      <w:pPr>
        <w:bidi w:val="0"/>
        <w:rPr>
          <w:rFonts w:hint="default" w:ascii="Times New Roman" w:hAnsi="Times New Roman"/>
          <w:lang w:val="en-US" w:eastAsia="zh-CN"/>
        </w:rPr>
      </w:pPr>
      <w:r>
        <w:rPr>
          <w:rFonts w:hint="default" w:ascii="Times New Roman" w:hAnsi="Times New Roman"/>
          <w:lang w:val="en-US" w:eastAsia="zh-CN"/>
        </w:rPr>
        <w:t>从改判的具体理由来看，7份改判判决书里，因为因果关系认定错误而改判的有2份，因为事实认定不清、证据不足而改判的有3份，因为法律适用错误而改判的也有2份。这里需要说明</w:t>
      </w:r>
      <w:r>
        <w:rPr>
          <w:rFonts w:hint="eastAsia" w:ascii="Times New Roman" w:hAnsi="Times New Roman"/>
          <w:lang w:val="en-US" w:eastAsia="zh-CN"/>
        </w:rPr>
        <w:t>的是</w:t>
      </w:r>
      <w:r>
        <w:rPr>
          <w:rFonts w:hint="default" w:ascii="Times New Roman" w:hAnsi="Times New Roman"/>
          <w:lang w:val="en-US" w:eastAsia="zh-CN"/>
        </w:rPr>
        <w:t>，在证券虚假陈述这类案件中，所谓的</w:t>
      </w:r>
      <w:r>
        <w:rPr>
          <w:rFonts w:hint="eastAsia" w:ascii="Times New Roman" w:hAnsi="Times New Roman"/>
          <w:lang w:val="en-US" w:eastAsia="zh-CN"/>
        </w:rPr>
        <w:t>“</w:t>
      </w:r>
      <w:r>
        <w:rPr>
          <w:rFonts w:hint="default" w:ascii="Times New Roman" w:hAnsi="Times New Roman"/>
          <w:lang w:val="en-US" w:eastAsia="zh-CN"/>
        </w:rPr>
        <w:t>事实认定不清、证据不足</w:t>
      </w:r>
      <w:r>
        <w:rPr>
          <w:rFonts w:hint="eastAsia" w:ascii="Times New Roman" w:hAnsi="Times New Roman"/>
          <w:lang w:val="en-US" w:eastAsia="zh-CN"/>
        </w:rPr>
        <w:t>”</w:t>
      </w:r>
      <w:r>
        <w:rPr>
          <w:rFonts w:hint="default" w:ascii="Times New Roman" w:hAnsi="Times New Roman"/>
          <w:lang w:val="en-US" w:eastAsia="zh-CN"/>
        </w:rPr>
        <w:t>，其实往往体现为对非系统性风险、揭露日警示性这些因果关系要素的判断上存在分歧。</w:t>
      </w:r>
      <w:r>
        <w:rPr>
          <w:rFonts w:hint="eastAsia" w:ascii="Times New Roman" w:hAnsi="Times New Roman"/>
          <w:lang w:val="en-US" w:eastAsia="zh-CN"/>
        </w:rPr>
        <w:t>比如</w:t>
      </w:r>
      <w:r>
        <w:rPr>
          <w:rFonts w:hint="default" w:ascii="Times New Roman" w:hAnsi="Times New Roman"/>
          <w:lang w:val="en-US" w:eastAsia="zh-CN"/>
        </w:rPr>
        <w:t>，（2025）桂民终17号</w:t>
      </w:r>
      <w:r>
        <w:rPr>
          <w:rFonts w:hint="eastAsia" w:ascii="Times New Roman" w:hAnsi="Times New Roman"/>
          <w:lang w:val="en-US" w:eastAsia="zh-CN"/>
        </w:rPr>
        <w:t>案中，</w:t>
      </w:r>
      <w:r>
        <w:rPr>
          <w:rFonts w:hint="default" w:ascii="Times New Roman" w:hAnsi="Times New Roman"/>
          <w:lang w:val="en-US" w:eastAsia="zh-CN"/>
        </w:rPr>
        <w:t>一审</w:t>
      </w:r>
      <w:r>
        <w:rPr>
          <w:rFonts w:hint="eastAsia" w:ascii="Times New Roman" w:hAnsi="Times New Roman"/>
          <w:lang w:val="en-US" w:eastAsia="zh-CN"/>
        </w:rPr>
        <w:t>法院并未</w:t>
      </w:r>
      <w:r>
        <w:rPr>
          <w:rFonts w:hint="default" w:ascii="Times New Roman" w:hAnsi="Times New Roman"/>
          <w:lang w:val="en-US" w:eastAsia="zh-CN"/>
        </w:rPr>
        <w:t>采纳被告提交的《2018年年度业绩预告》等证据，二审法院认为这属于事实认定错误，于是依法纠正，最后把非系统性风险的占比改判为28.067%。</w:t>
      </w:r>
      <w:r>
        <w:rPr>
          <w:rStyle w:val="22"/>
          <w:rFonts w:hint="eastAsia" w:ascii="Times New Roman" w:hAnsi="Times New Roman"/>
          <w:lang w:val="en-US" w:eastAsia="zh-CN"/>
        </w:rPr>
        <w:footnoteReference w:id="31"/>
      </w:r>
      <w:r>
        <w:rPr>
          <w:rFonts w:hint="default" w:ascii="Times New Roman" w:hAnsi="Times New Roman"/>
          <w:lang w:val="en-US" w:eastAsia="zh-CN"/>
        </w:rPr>
        <w:t>这个</w:t>
      </w:r>
      <w:r>
        <w:rPr>
          <w:rFonts w:hint="eastAsia" w:ascii="Times New Roman" w:hAnsi="Times New Roman"/>
          <w:lang w:val="en-US" w:eastAsia="zh-CN"/>
        </w:rPr>
        <w:t>案例</w:t>
      </w:r>
      <w:r>
        <w:rPr>
          <w:rFonts w:hint="default" w:ascii="Times New Roman" w:hAnsi="Times New Roman"/>
          <w:lang w:val="en-US" w:eastAsia="zh-CN"/>
        </w:rPr>
        <w:t>说明，因果关系的认定不只是法律适用的问题，它还牵扯到很复杂的事实判断和证据采信，确实是司法实践中的一个难点。</w:t>
      </w:r>
    </w:p>
    <w:p w14:paraId="01504E50">
      <w:pPr>
        <w:pStyle w:val="4"/>
        <w:bidi w:val="0"/>
        <w:rPr>
          <w:rFonts w:hint="default" w:ascii="Times New Roman" w:hAnsi="Times New Roman"/>
          <w:lang w:val="en-US" w:eastAsia="zh-CN"/>
        </w:rPr>
      </w:pPr>
      <w:bookmarkStart w:id="35" w:name="_Toc2162"/>
      <w:bookmarkStart w:id="36" w:name="_Toc3992"/>
      <w:r>
        <w:rPr>
          <w:rFonts w:hint="eastAsia" w:ascii="Times New Roman" w:hAnsi="Times New Roman"/>
          <w:lang w:val="en-US" w:eastAsia="zh-CN"/>
        </w:rPr>
        <w:t>2.二审</w:t>
      </w:r>
      <w:r>
        <w:rPr>
          <w:rFonts w:hint="default" w:ascii="Times New Roman" w:hAnsi="Times New Roman"/>
          <w:lang w:val="en-US" w:eastAsia="zh-CN"/>
        </w:rPr>
        <w:t>争议焦点的分布频率</w:t>
      </w:r>
      <w:bookmarkEnd w:id="35"/>
      <w:bookmarkEnd w:id="36"/>
    </w:p>
    <w:p w14:paraId="6FAD291F">
      <w:pPr>
        <w:bidi w:val="0"/>
        <w:rPr>
          <w:rFonts w:hint="default" w:ascii="Times New Roman" w:hAnsi="Times New Roman"/>
          <w:lang w:val="en-US" w:eastAsia="zh-CN"/>
        </w:rPr>
      </w:pPr>
      <w:r>
        <w:rPr>
          <w:rFonts w:hint="default" w:ascii="Times New Roman" w:hAnsi="Times New Roman"/>
          <w:lang w:val="en-US" w:eastAsia="zh-CN"/>
        </w:rPr>
        <w:t>我们对这86份二审判决书里的争议焦点做了词频统计和归类分析，结果发现，跟因果关系</w:t>
      </w:r>
      <w:r>
        <w:rPr>
          <w:rFonts w:hint="eastAsia" w:ascii="Times New Roman" w:hAnsi="Times New Roman"/>
          <w:lang w:val="en-US" w:eastAsia="zh-CN"/>
        </w:rPr>
        <w:t>相关</w:t>
      </w:r>
      <w:r>
        <w:rPr>
          <w:rFonts w:hint="default" w:ascii="Times New Roman" w:hAnsi="Times New Roman"/>
          <w:lang w:val="en-US" w:eastAsia="zh-CN"/>
        </w:rPr>
        <w:t>的争议焦点占比非常高。</w:t>
      </w:r>
      <w:r>
        <w:rPr>
          <w:rFonts w:hint="eastAsia" w:ascii="Times New Roman" w:hAnsi="Times New Roman"/>
          <w:lang w:val="en-US" w:eastAsia="zh-CN"/>
        </w:rPr>
        <w:t>足以说明</w:t>
      </w:r>
      <w:r>
        <w:rPr>
          <w:rFonts w:hint="default" w:ascii="Times New Roman" w:hAnsi="Times New Roman"/>
          <w:lang w:val="en-US" w:eastAsia="zh-CN"/>
        </w:rPr>
        <w:t>因果关系已经成为上诉人</w:t>
      </w:r>
      <w:r>
        <w:rPr>
          <w:rFonts w:hint="eastAsia" w:ascii="Times New Roman" w:hAnsi="Times New Roman"/>
          <w:lang w:val="en-US" w:eastAsia="zh-CN"/>
        </w:rPr>
        <w:t>重要的抗辩要件</w:t>
      </w:r>
      <w:r>
        <w:rPr>
          <w:rFonts w:hint="default" w:ascii="Times New Roman" w:hAnsi="Times New Roman"/>
          <w:lang w:val="en-US" w:eastAsia="zh-CN"/>
        </w:rPr>
        <w:t>。</w:t>
      </w:r>
    </w:p>
    <w:p w14:paraId="45987222">
      <w:pPr>
        <w:pStyle w:val="29"/>
        <w:bidi w:val="0"/>
        <w:rPr>
          <w:rFonts w:hint="default" w:ascii="Times New Roman" w:hAnsi="Times New Roman"/>
          <w:lang w:val="en-US" w:eastAsia="zh-CN"/>
        </w:rPr>
      </w:pPr>
      <w:r>
        <w:rPr>
          <w:rFonts w:hint="eastAsia" w:ascii="Times New Roman" w:hAnsi="Times New Roman"/>
          <w:lang w:val="en-US" w:eastAsia="zh-CN"/>
        </w:rPr>
        <w:t>图3 二审争议焦点分布</w:t>
      </w:r>
    </w:p>
    <w:p w14:paraId="5F4C6C25">
      <w:pPr>
        <w:pStyle w:val="28"/>
        <w:bidi w:val="0"/>
        <w:rPr>
          <w:rFonts w:hint="eastAsia" w:ascii="Times New Roman" w:hAnsi="Times New Roman"/>
          <w:lang w:val="en-US" w:eastAsia="zh-CN"/>
        </w:rPr>
      </w:pPr>
      <w:r>
        <w:rPr>
          <w:rFonts w:hint="eastAsia" w:ascii="Times New Roman" w:hAnsi="Times New Roman"/>
          <w:lang w:eastAsia="zh-CN"/>
        </w:rPr>
        <w:drawing>
          <ns3:anchor distT="0" distB="0" distL="114300" distR="114300" simplePos="0" relativeHeight="251660288" behindDoc="0" locked="0" layoutInCell="1" allowOverlap="1">
            <ns3:simplePos x="0" y="0"/>
            <ns3:positionH relativeFrom="column">
              <ns3:posOffset>376555</ns3:posOffset>
            </ns3:positionH>
            <ns3:positionV relativeFrom="paragraph">
              <ns3:posOffset>226060</ns3:posOffset>
            </ns3:positionV>
            <ns3:extent cx="4540250" cy="3194050"/>
            <ns3:effectExtent l="0" t="0" r="6350" b="6350"/>
            <ns3:wrapTopAndBottom/>
            <ns3:docPr id="7" name="图表 7"/>
            <ns3:cNvGraphicFramePr/>
            <ns4:graphic>
              <ns4:graphicData uri="http://schemas.openxmlformats.org/drawingml/2006/chart">
                <ns11:chart r:id="rId11"/>
              </ns4:graphicData>
            </ns4:graphic>
          </ns3:anchor>
        </w:drawing>
      </w:r>
      <w:r>
        <w:rPr>
          <w:rFonts w:hint="eastAsia" w:ascii="Times New Roman" w:hAnsi="Times New Roman"/>
          <w:lang w:val="en-US" w:eastAsia="zh-CN"/>
        </w:rPr>
        <w:t>数据来源：中国裁判文书网</w:t>
      </w:r>
    </w:p>
    <w:p w14:paraId="7856FA4D">
      <w:pPr>
        <w:pStyle w:val="28"/>
        <w:bidi w:val="0"/>
        <w:rPr>
          <w:rFonts w:hint="default" w:ascii="Times New Roman" w:hAnsi="Times New Roman" w:eastAsiaTheme="minorEastAsia"/>
          <w:lang w:val="en-US" w:eastAsia="zh-CN"/>
        </w:rPr>
      </w:pPr>
      <w:r>
        <w:rPr>
          <w:rFonts w:hint="eastAsia" w:ascii="Times New Roman" w:hAnsi="Times New Roman"/>
          <w:lang w:val="en-US" w:eastAsia="zh-CN"/>
        </w:rPr>
        <w:t>注：日期认定是指实施日/揭露日的认定，主体责任是指中介机构、董监高等各主体的责任的认定。</w:t>
      </w:r>
    </w:p>
    <w:p w14:paraId="7BD1D3E9">
      <w:pPr>
        <w:bidi w:val="0"/>
        <w:rPr>
          <w:rFonts w:hint="default" w:ascii="Times New Roman" w:hAnsi="Times New Roman"/>
          <w:color w:val="000000" w:themeColor="text1"/>
          <w:lang w:val="en-US" w:eastAsia="zh-CN"/>
          <w14:textFill>
            <w14:solidFill>
              <w14:schemeClr w14:val="tx1"/>
            </w14:solidFill>
          </w14:textFill>
        </w:rPr>
      </w:pPr>
      <w:r>
        <w:rPr>
          <w:rFonts w:hint="default" w:ascii="Times New Roman" w:hAnsi="Times New Roman"/>
          <w:color w:val="000000" w:themeColor="text1"/>
          <w:lang w:val="en-US" w:eastAsia="zh-CN"/>
          <w14:textFill>
            <w14:solidFill>
              <w14:schemeClr w14:val="tx1"/>
            </w14:solidFill>
          </w14:textFill>
        </w:rPr>
        <w:t>统计出来的结果显示，在所有争议焦点里，与因果关系相关的争议焦点在所有争议焦点中出现频次最高，占比达到了55%。这</w:t>
      </w:r>
      <w:r>
        <w:rPr>
          <w:rFonts w:hint="eastAsia" w:ascii="Times New Roman" w:hAnsi="Times New Roman"/>
          <w:color w:val="000000" w:themeColor="text1"/>
          <w:lang w:val="en-US" w:eastAsia="zh-CN"/>
          <w14:textFill>
            <w14:solidFill>
              <w14:schemeClr w14:val="tx1"/>
            </w14:solidFill>
          </w14:textFill>
        </w:rPr>
        <w:t>一数据充分说明</w:t>
      </w:r>
      <w:r>
        <w:rPr>
          <w:rFonts w:hint="default" w:ascii="Times New Roman" w:hAnsi="Times New Roman"/>
          <w:color w:val="000000" w:themeColor="text1"/>
          <w:lang w:val="en-US" w:eastAsia="zh-CN"/>
          <w14:textFill>
            <w14:solidFill>
              <w14:schemeClr w14:val="tx1"/>
            </w14:solidFill>
          </w14:textFill>
        </w:rPr>
        <w:t>：因果关系的认定，依然是当事人之间</w:t>
      </w:r>
      <w:r>
        <w:rPr>
          <w:rFonts w:hint="eastAsia" w:ascii="Times New Roman" w:hAnsi="Times New Roman"/>
          <w:color w:val="000000" w:themeColor="text1"/>
          <w:lang w:val="en-US" w:eastAsia="zh-CN"/>
          <w14:textFill>
            <w14:solidFill>
              <w14:schemeClr w14:val="tx1"/>
            </w14:solidFill>
          </w14:textFill>
        </w:rPr>
        <w:t>分歧最大的部分</w:t>
      </w:r>
      <w:r>
        <w:rPr>
          <w:rFonts w:hint="default" w:ascii="Times New Roman" w:hAnsi="Times New Roman"/>
          <w:color w:val="000000" w:themeColor="text1"/>
          <w:lang w:val="en-US" w:eastAsia="zh-CN"/>
          <w14:textFill>
            <w14:solidFill>
              <w14:schemeClr w14:val="tx1"/>
            </w14:solidFill>
          </w14:textFill>
        </w:rPr>
        <w:t>，同时也是法院审理时</w:t>
      </w:r>
      <w:r>
        <w:rPr>
          <w:rFonts w:hint="eastAsia" w:ascii="Times New Roman" w:hAnsi="Times New Roman"/>
          <w:color w:val="000000" w:themeColor="text1"/>
          <w:lang w:val="en-US" w:eastAsia="zh-CN"/>
          <w14:textFill>
            <w14:solidFill>
              <w14:schemeClr w14:val="tx1"/>
            </w14:solidFill>
          </w14:textFill>
        </w:rPr>
        <w:t>的重点与难点</w:t>
      </w:r>
      <w:r>
        <w:rPr>
          <w:rFonts w:hint="default" w:ascii="Times New Roman" w:hAnsi="Times New Roman"/>
          <w:color w:val="000000" w:themeColor="text1"/>
          <w:lang w:val="en-US" w:eastAsia="zh-CN"/>
          <w14:textFill>
            <w14:solidFill>
              <w14:schemeClr w14:val="tx1"/>
            </w14:solidFill>
          </w14:textFill>
        </w:rPr>
        <w:t>。相比之下，</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主体责任</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出现了18次，</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董监高责任</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只出现了2次，</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虚假陈述行为认定</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有7次，其他的争议焦点加在一起是10次。从这种分布格局可以看出，自从2022年虚假陈述解释颁布实施以来，虚假陈述行为本身该怎么认定，已经相对比较清楚了，</w:t>
      </w:r>
      <w:r>
        <w:rPr>
          <w:rFonts w:hint="eastAsia" w:ascii="Times New Roman" w:hAnsi="Times New Roman"/>
          <w:color w:val="000000" w:themeColor="text1"/>
          <w:lang w:val="en-US" w:eastAsia="zh-CN"/>
          <w14:textFill>
            <w14:solidFill>
              <w14:schemeClr w14:val="tx1"/>
            </w14:solidFill>
          </w14:textFill>
        </w:rPr>
        <w:t>大家争议的核心</w:t>
      </w:r>
      <w:r>
        <w:rPr>
          <w:rFonts w:hint="default" w:ascii="Times New Roman" w:hAnsi="Times New Roman"/>
          <w:color w:val="000000" w:themeColor="text1"/>
          <w:lang w:val="en-US" w:eastAsia="zh-CN"/>
          <w14:textFill>
            <w14:solidFill>
              <w14:schemeClr w14:val="tx1"/>
            </w14:solidFill>
          </w14:textFill>
        </w:rPr>
        <w:t>慢慢转移到了更复杂的因果关系认定上面。</w:t>
      </w:r>
    </w:p>
    <w:p w14:paraId="162DC932">
      <w:pPr>
        <w:pStyle w:val="29"/>
        <w:bidi w:val="0"/>
        <w:rPr>
          <w:rFonts w:hint="eastAsia" w:ascii="Times New Roman" w:hAnsi="Times New Roman"/>
          <w:lang w:val="en-US" w:eastAsia="zh-CN"/>
        </w:rPr>
      </w:pPr>
      <w:r>
        <w:rPr>
          <w:rFonts w:hint="eastAsia" w:ascii="Times New Roman" w:hAnsi="Times New Roman" w:eastAsiaTheme="minorEastAsia"/>
          <w:lang w:eastAsia="zh-CN"/>
        </w:rPr>
        <w:drawing>
          <ns3:anchor distT="0" distB="0" distL="114300" distR="114300" simplePos="0" relativeHeight="251665408" behindDoc="0" locked="0" layoutInCell="1" allowOverlap="1">
            <ns3:simplePos x="0" y="0"/>
            <ns3:positionH relativeFrom="column">
              <ns3:posOffset>1242060</ns3:posOffset>
            </ns3:positionH>
            <ns3:positionV relativeFrom="paragraph">
              <ns3:posOffset>408940</ns3:posOffset>
            </ns3:positionV>
            <ns3:extent cx="2781300" cy="2201545"/>
            <ns3:effectExtent l="0" t="0" r="0" b="8255"/>
            <ns3:wrapTopAndBottom/>
            <ns3:docPr id="3" name="图表 3"/>
            <ns3:cNvGraphicFramePr/>
            <ns4:graphic>
              <ns4:graphicData uri="http://schemas.openxmlformats.org/drawingml/2006/chart">
                <ns11:chart r:id="rId12"/>
              </ns4:graphicData>
            </ns4:graphic>
          </ns3:anchor>
        </w:drawing>
      </w:r>
      <w:r>
        <w:rPr>
          <w:rFonts w:hint="eastAsia" w:ascii="Times New Roman" w:hAnsi="Times New Roman"/>
          <w:lang w:val="en-US" w:eastAsia="zh-CN"/>
        </w:rPr>
        <w:t>图4 因果关系争议焦点占比</w:t>
      </w:r>
    </w:p>
    <w:p w14:paraId="00BD9A78">
      <w:pPr>
        <w:pStyle w:val="28"/>
        <w:bidi w:val="0"/>
        <w:rPr>
          <w:rFonts w:hint="default" w:ascii="Times New Roman" w:hAnsi="Times New Roman"/>
          <w:lang w:val="en-US" w:eastAsia="zh-CN"/>
        </w:rPr>
      </w:pPr>
      <w:r>
        <w:rPr>
          <w:rFonts w:hint="eastAsia" w:ascii="Times New Roman" w:hAnsi="Times New Roman"/>
          <w:lang w:val="en-US" w:eastAsia="zh-CN"/>
        </w:rPr>
        <w:t>注：与因果关系相关的争议焦点包括因果关系、交易因果关系、损失因果关系、实施日、揭露日、基准日、系统性风险、非系统性风险的认定</w:t>
      </w:r>
    </w:p>
    <w:p w14:paraId="2C59BA8E">
      <w:pPr>
        <w:bidi w:val="0"/>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t>进一步</w:t>
      </w:r>
      <w:r>
        <w:rPr>
          <w:rFonts w:hint="eastAsia" w:ascii="Times New Roman" w:hAnsi="Times New Roman"/>
          <w:b w:val="0"/>
          <w:bCs w:val="0"/>
          <w:color w:val="000000" w:themeColor="text1"/>
          <w:lang w:val="en-US" w:eastAsia="zh-CN"/>
          <w14:textFill>
            <w14:solidFill>
              <w14:schemeClr w14:val="tx1"/>
            </w14:solidFill>
          </w14:textFill>
        </w:rPr>
        <w:t>具体至各年份因果关系焦点出现频次可知</w:t>
      </w:r>
      <w:r>
        <w:rPr>
          <w:rFonts w:hint="default" w:ascii="Times New Roman" w:hAnsi="Times New Roman"/>
          <w:b w:val="0"/>
          <w:bCs w:val="0"/>
          <w:color w:val="000000" w:themeColor="text1"/>
          <w:lang w:val="en-US" w:eastAsia="zh-CN"/>
          <w14:textFill>
            <w14:solidFill>
              <w14:schemeClr w14:val="tx1"/>
            </w14:solidFill>
          </w14:textFill>
        </w:rPr>
        <w:t>，2023年</w:t>
      </w:r>
      <w:r>
        <w:rPr>
          <w:rFonts w:hint="eastAsia" w:ascii="Times New Roman" w:hAnsi="Times New Roman"/>
          <w:b w:val="0"/>
          <w:bCs w:val="0"/>
          <w:color w:val="000000" w:themeColor="text1"/>
          <w:lang w:val="en-US" w:eastAsia="zh-CN"/>
          <w14:textFill>
            <w14:solidFill>
              <w14:schemeClr w14:val="tx1"/>
            </w14:solidFill>
          </w14:textFill>
        </w:rPr>
        <w:t>、2024年、2025年二审案件中，与因果关系相关的案件占比分别为61%、73%、81%，呈明显的逐年增长的趋势</w:t>
      </w:r>
      <w:r>
        <w:rPr>
          <w:rFonts w:hint="default" w:ascii="Times New Roman" w:hAnsi="Times New Roman"/>
          <w:b w:val="0"/>
          <w:bCs w:val="0"/>
          <w:color w:val="000000" w:themeColor="text1"/>
          <w:lang w:val="en-US" w:eastAsia="zh-CN"/>
          <w14:textFill>
            <w14:solidFill>
              <w14:schemeClr w14:val="tx1"/>
            </w14:solidFill>
          </w14:textFill>
        </w:rPr>
        <w:t>。这一波动反映出，随着司法实践的深入，因果关系认定标准在部分案件中趋于</w:t>
      </w:r>
      <w:r>
        <w:rPr>
          <w:rFonts w:hint="eastAsia" w:ascii="Times New Roman" w:hAnsi="Times New Roman"/>
          <w:b w:val="0"/>
          <w:bCs w:val="0"/>
          <w:color w:val="000000" w:themeColor="text1"/>
          <w:lang w:val="en-US" w:eastAsia="zh-CN"/>
          <w14:textFill>
            <w14:solidFill>
              <w14:schemeClr w14:val="tx1"/>
            </w14:solidFill>
          </w14:textFill>
        </w:rPr>
        <w:t>稳定</w:t>
      </w:r>
      <w:r>
        <w:rPr>
          <w:rFonts w:hint="default" w:ascii="Times New Roman" w:hAnsi="Times New Roman"/>
          <w:b w:val="0"/>
          <w:bCs w:val="0"/>
          <w:color w:val="000000" w:themeColor="text1"/>
          <w:lang w:val="en-US" w:eastAsia="zh-CN"/>
          <w14:textFill>
            <w14:solidFill>
              <w14:schemeClr w14:val="tx1"/>
            </w14:solidFill>
          </w14:textFill>
        </w:rPr>
        <w:t>，但在新型案件、复杂案件中仍存在较大争议。</w:t>
      </w:r>
      <w:r>
        <w:rPr>
          <w:rFonts w:hint="eastAsia" w:ascii="Times New Roman" w:hAnsi="Times New Roman"/>
          <w:b w:val="0"/>
          <w:bCs w:val="0"/>
          <w:color w:val="000000" w:themeColor="text1"/>
          <w:lang w:val="en-US" w:eastAsia="zh-CN"/>
          <w14:textFill>
            <w14:solidFill>
              <w14:schemeClr w14:val="tx1"/>
            </w14:solidFill>
          </w14:textFill>
        </w:rPr>
        <w:t>尤其</w:t>
      </w:r>
      <w:r>
        <w:rPr>
          <w:rFonts w:hint="default" w:ascii="Times New Roman" w:hAnsi="Times New Roman"/>
          <w:b w:val="0"/>
          <w:bCs w:val="0"/>
          <w:color w:val="000000" w:themeColor="text1"/>
          <w:lang w:val="en-US" w:eastAsia="zh-CN"/>
          <w14:textFill>
            <w14:solidFill>
              <w14:schemeClr w14:val="tx1"/>
            </w14:solidFill>
          </w14:textFill>
        </w:rPr>
        <w:t>是2025年的数据显示，因果关系争议并未因司法解释的完善而消减，反而在特定类型案件中呈现回归态势，这与近期司法实践中出现的交易因果关系阻断事由多元化趋势密切相关。</w:t>
      </w:r>
    </w:p>
    <w:p w14:paraId="27FD208C">
      <w:pPr>
        <w:pStyle w:val="29"/>
        <w:bidi w:val="0"/>
        <w:rPr>
          <w:rFonts w:hint="default" w:ascii="Times New Roman" w:hAnsi="Times New Roman"/>
          <w:color w:val="000000" w:themeColor="text1"/>
          <w:lang w:val="en-US" w:eastAsia="zh-CN"/>
          <w14:textFill>
            <w14:solidFill>
              <w14:schemeClr w14:val="tx1"/>
            </w14:solidFill>
          </w14:textFill>
        </w:rPr>
      </w:pPr>
      <w:r>
        <w:rPr>
          <w:rFonts w:hint="eastAsia" w:ascii="Times New Roman" w:hAnsi="Times New Roman"/>
          <w:lang w:val="en-US" w:eastAsia="zh-CN"/>
        </w:rPr>
        <w:t>图5 因果关系争议焦点分布情况</w:t>
      </w:r>
    </w:p>
    <w:p w14:paraId="4ED16B09">
      <w:pPr>
        <w:pStyle w:val="4"/>
        <w:bidi w:val="0"/>
        <w:rPr>
          <w:rFonts w:hint="default" w:ascii="Times New Roman" w:hAnsi="Times New Roman"/>
          <w:lang w:val="en-US" w:eastAsia="zh-CN"/>
        </w:rPr>
      </w:pPr>
      <w:bookmarkStart w:id="37" w:name="_Toc25923"/>
      <w:bookmarkStart w:id="38" w:name="_Toc31775"/>
      <w:r>
        <w:rPr>
          <w:rFonts w:hint="default" w:ascii="Times New Roman" w:hAnsi="Times New Roman"/>
          <w:lang w:val="en-US" w:eastAsia="zh-CN"/>
        </w:rPr>
        <w:drawing>
          <ns3:anchor distT="0" distB="0" distL="114300" distR="114300" simplePos="0" relativeHeight="251662336" behindDoc="0" locked="0" layoutInCell="1" allowOverlap="1">
            <ns3:simplePos x="0" y="0"/>
            <ns3:positionH relativeFrom="column">
              <ns3:posOffset>-14605</ns3:posOffset>
            </ns3:positionH>
            <ns3:positionV relativeFrom="paragraph">
              <ns3:posOffset>88900</ns3:posOffset>
            </ns3:positionV>
            <ns3:extent cx="5244465" cy="3129280"/>
            <ns3:effectExtent l="0" t="0" r="635" b="7620"/>
            <ns3:wrapTopAndBottom/>
            <ns3:docPr id="12" name="图表 12"/>
            <ns3:cNvGraphicFramePr/>
            <ns4:graphic>
              <ns4:graphicData uri="http://schemas.openxmlformats.org/drawingml/2006/chart">
                <ns11:chart r:id="rId13"/>
              </ns4:graphicData>
            </ns4:graphic>
          </ns3:anchor>
        </w:drawing>
      </w:r>
      <w:r>
        <w:rPr>
          <w:rFonts w:hint="eastAsia" w:ascii="Times New Roman" w:hAnsi="Times New Roman"/>
          <w:lang w:val="en-US" w:eastAsia="zh-CN"/>
        </w:rPr>
        <w:t>3.因果关系认定的细化</w:t>
      </w:r>
      <w:bookmarkEnd w:id="37"/>
      <w:bookmarkEnd w:id="38"/>
    </w:p>
    <w:p w14:paraId="364BC4D8">
      <w:pPr>
        <w:bidi w:val="0"/>
        <w:rPr>
          <w:rFonts w:hint="default" w:ascii="Times New Roman" w:hAnsi="Times New Roman"/>
          <w:b w:val="0"/>
          <w:bCs w:val="0"/>
          <w:color w:val="000000" w:themeColor="text1"/>
          <w:lang w:val="en-US" w:eastAsia="zh-CN"/>
          <w14:textFill>
            <w14:solidFill>
              <w14:schemeClr w14:val="tx1"/>
            </w14:solidFill>
          </w14:textFill>
        </w:rPr>
      </w:pPr>
      <w:r>
        <w:rPr>
          <w:rFonts w:hint="eastAsia" w:ascii="Times New Roman" w:hAnsi="Times New Roman"/>
          <w:b w:val="0"/>
          <w:bCs w:val="0"/>
          <w:color w:val="000000" w:themeColor="text1"/>
          <w:lang w:val="en-US" w:eastAsia="zh-CN"/>
          <w14:textFill>
            <w14:solidFill>
              <w14:schemeClr w14:val="tx1"/>
            </w14:solidFill>
          </w14:textFill>
        </w:rPr>
        <w:t>2022年虚假陈述解释</w:t>
      </w:r>
      <w:r>
        <w:rPr>
          <w:rFonts w:hint="default" w:ascii="Times New Roman" w:hAnsi="Times New Roman"/>
          <w:b w:val="0"/>
          <w:bCs w:val="0"/>
          <w:color w:val="000000" w:themeColor="text1"/>
          <w:lang w:val="en-US" w:eastAsia="zh-CN"/>
          <w14:textFill>
            <w14:solidFill>
              <w14:schemeClr w14:val="tx1"/>
            </w14:solidFill>
          </w14:textFill>
        </w:rPr>
        <w:t>将因果关系明确区分为交易因果关系与损失因果关系，这一立法安排体现了对虚假陈述责任构成的精细化考量。交易因果关系解决的是责任成立问题，即投资者的交易决定是否因信赖虚假陈述而作出；损失因果关系解决的是责任范围问题，即投资者的损失在多大程度上可归因于虚假陈述行为。</w:t>
      </w:r>
      <w:r>
        <w:rPr>
          <w:rFonts w:hint="eastAsia" w:ascii="Times New Roman" w:hAnsi="Times New Roman"/>
          <w:b w:val="0"/>
          <w:bCs w:val="0"/>
          <w:color w:val="000000" w:themeColor="text1"/>
          <w:lang w:val="en-US" w:eastAsia="zh-CN"/>
          <w14:textFill>
            <w14:solidFill>
              <w14:schemeClr w14:val="tx1"/>
            </w14:solidFill>
          </w14:textFill>
        </w:rPr>
        <w:t>在样本案例</w:t>
      </w:r>
      <w:r>
        <w:rPr>
          <w:rFonts w:hint="default" w:ascii="Times New Roman" w:hAnsi="Times New Roman"/>
          <w:b w:val="0"/>
          <w:bCs w:val="0"/>
          <w:color w:val="000000" w:themeColor="text1"/>
          <w:lang w:val="en-US" w:eastAsia="zh-CN"/>
          <w14:textFill>
            <w14:solidFill>
              <w14:schemeClr w14:val="tx1"/>
            </w14:solidFill>
          </w14:textFill>
        </w:rPr>
        <w:t>中，这一区分得到了充分体现。</w:t>
      </w:r>
    </w:p>
    <w:p w14:paraId="72E551F1">
      <w:pPr>
        <w:pStyle w:val="29"/>
        <w:bidi w:val="0"/>
        <w:rPr>
          <w:rFonts w:hint="default" w:ascii="Times New Roman" w:hAnsi="Times New Roman"/>
          <w:lang w:val="en-US" w:eastAsia="zh-CN"/>
        </w:rPr>
      </w:pPr>
      <w:r>
        <w:rPr>
          <w:rFonts w:hint="default" w:ascii="Times New Roman" w:hAnsi="Times New Roman"/>
          <w:lang w:val="en-US" w:eastAsia="zh-CN"/>
        </w:rPr>
        <w:drawing>
          <ns3:anchor distT="0" distB="0" distL="114300" distR="114300" simplePos="0" relativeHeight="251663360" behindDoc="0" locked="0" layoutInCell="1" allowOverlap="1">
            <ns3:simplePos x="0" y="0"/>
            <ns3:positionH relativeFrom="column">
              <ns3:posOffset>658495</ns3:posOffset>
            </ns3:positionH>
            <ns3:positionV relativeFrom="paragraph">
              <ns3:posOffset>497840</ns3:posOffset>
            </ns3:positionV>
            <ns3:extent cx="4088765" cy="2732405"/>
            <ns3:effectExtent l="0" t="0" r="635" b="10795"/>
            <ns3:wrapTopAndBottom/>
            <ns3:docPr id="13" name="图表 13"/>
            <ns3:cNvGraphicFramePr/>
            <ns4:graphic>
              <ns4:graphicData uri="http://schemas.openxmlformats.org/drawingml/2006/chart">
                <ns11:chart r:id="rId14"/>
              </ns4:graphicData>
            </ns4:graphic>
          </ns3:anchor>
        </w:drawing>
      </w:r>
      <w:r>
        <w:rPr>
          <w:rFonts w:hint="eastAsia" w:ascii="Times New Roman" w:hAnsi="Times New Roman"/>
          <w:lang w:val="en-US" w:eastAsia="zh-CN"/>
        </w:rPr>
        <w:t>图6 因果关系、交易因果关系及损失因果关系争议焦点出现频次</w:t>
      </w:r>
    </w:p>
    <w:p w14:paraId="35856704">
      <w:pPr>
        <w:bidi w:val="0"/>
        <w:rPr>
          <w:rFonts w:hint="default" w:ascii="Times New Roman" w:hAnsi="Times New Roman"/>
          <w:color w:val="000000" w:themeColor="text1"/>
          <w:lang w:val="en-US" w:eastAsia="zh-CN"/>
          <w14:textFill>
            <w14:solidFill>
              <w14:schemeClr w14:val="tx1"/>
            </w14:solidFill>
          </w14:textFill>
        </w:rPr>
      </w:pPr>
      <w:r>
        <w:rPr>
          <w:rFonts w:hint="default" w:ascii="Times New Roman" w:hAnsi="Times New Roman"/>
          <w:color w:val="000000" w:themeColor="text1"/>
          <w:lang w:val="en-US" w:eastAsia="zh-CN"/>
          <w14:textFill>
            <w14:solidFill>
              <w14:schemeClr w14:val="tx1"/>
            </w14:solidFill>
          </w14:textFill>
        </w:rPr>
        <w:t>统计数据显示，</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交易因果关系</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单独作为争议焦点出现了16次，</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因果关系</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作为一个概括性概念也出现了16次，而</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损失因果关系</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只出现了3次。从这几个数字里能看出两点：第一，交易因果关系引发的争议，频率明显高于损失因果关系，两者比例超过5:1</w:t>
      </w:r>
      <w:r>
        <w:rPr>
          <w:rFonts w:hint="eastAsia" w:ascii="Times New Roman" w:hAnsi="Times New Roman"/>
          <w:color w:val="000000" w:themeColor="text1"/>
          <w:lang w:val="en-US" w:eastAsia="zh-CN"/>
          <w14:textFill>
            <w14:solidFill>
              <w14:schemeClr w14:val="tx1"/>
            </w14:solidFill>
          </w14:textFill>
        </w:rPr>
        <w:t>。这说明，</w:t>
      </w:r>
      <w:r>
        <w:rPr>
          <w:rFonts w:hint="default" w:ascii="Times New Roman" w:hAnsi="Times New Roman"/>
          <w:color w:val="000000" w:themeColor="text1"/>
          <w:lang w:val="en-US" w:eastAsia="zh-CN"/>
          <w14:textFill>
            <w14:solidFill>
              <w14:schemeClr w14:val="tx1"/>
            </w14:solidFill>
          </w14:textFill>
        </w:rPr>
        <w:t>司法实践</w:t>
      </w:r>
      <w:r>
        <w:rPr>
          <w:rFonts w:hint="eastAsia" w:ascii="Times New Roman" w:hAnsi="Times New Roman"/>
          <w:color w:val="000000" w:themeColor="text1"/>
          <w:lang w:val="en-US" w:eastAsia="zh-CN"/>
          <w14:textFill>
            <w14:solidFill>
              <w14:schemeClr w14:val="tx1"/>
            </w14:solidFill>
          </w14:textFill>
        </w:rPr>
        <w:t>中大家争议最大的，主</w:t>
      </w:r>
      <w:r>
        <w:rPr>
          <w:rFonts w:hint="default" w:ascii="Times New Roman" w:hAnsi="Times New Roman"/>
          <w:color w:val="000000" w:themeColor="text1"/>
          <w:lang w:val="en-US" w:eastAsia="zh-CN"/>
          <w14:textFill>
            <w14:solidFill>
              <w14:schemeClr w14:val="tx1"/>
            </w14:solidFill>
          </w14:textFill>
        </w:rPr>
        <w:t>要是在交易这个阶段，而不是后面损失怎么算的问题。第二，法院在写判决书时，已经开始用“交易因果关系”和“损失因果关系”这种更细的表述了，这说明法院对2022年虚假陈述解释第十一条、第十二条和第三十一条的适用理解在逐步加深。</w:t>
      </w:r>
    </w:p>
    <w:p w14:paraId="4405D64E">
      <w:pPr>
        <w:bidi w:val="0"/>
        <w:rPr>
          <w:rFonts w:hint="default" w:ascii="Times New Roman" w:hAnsi="Times New Roman"/>
          <w:color w:val="000000" w:themeColor="text1"/>
          <w:lang w:val="en-US" w:eastAsia="zh-CN"/>
          <w14:textFill>
            <w14:solidFill>
              <w14:schemeClr w14:val="tx1"/>
            </w14:solidFill>
          </w14:textFill>
        </w:rPr>
      </w:pPr>
      <w:r>
        <w:rPr>
          <w:rFonts w:hint="default" w:ascii="Times New Roman" w:hAnsi="Times New Roman"/>
          <w:color w:val="000000" w:themeColor="text1"/>
          <w:lang w:val="en-US" w:eastAsia="zh-CN"/>
          <w14:textFill>
            <w14:solidFill>
              <w14:schemeClr w14:val="tx1"/>
            </w14:solidFill>
          </w14:textFill>
        </w:rPr>
        <w:t>交易因果关系的高频争议与</w:t>
      </w:r>
      <w:r>
        <w:rPr>
          <w:rFonts w:hint="eastAsia" w:ascii="Times New Roman" w:hAnsi="Times New Roman"/>
          <w:color w:val="000000" w:themeColor="text1"/>
          <w:lang w:val="en-US" w:eastAsia="zh-CN"/>
          <w14:textFill>
            <w14:solidFill>
              <w14:schemeClr w14:val="tx1"/>
            </w14:solidFill>
          </w14:textFill>
        </w:rPr>
        <w:t>2022年虚假陈述解释</w:t>
      </w:r>
      <w:r>
        <w:rPr>
          <w:rFonts w:hint="default" w:ascii="Times New Roman" w:hAnsi="Times New Roman"/>
          <w:color w:val="000000" w:themeColor="text1"/>
          <w:lang w:val="en-US" w:eastAsia="zh-CN"/>
          <w14:textFill>
            <w14:solidFill>
              <w14:schemeClr w14:val="tx1"/>
            </w14:solidFill>
          </w14:textFill>
        </w:rPr>
        <w:t>确立的</w:t>
      </w:r>
      <w:r>
        <w:rPr>
          <w:rFonts w:hint="eastAsia" w:ascii="Times New Roman" w:hAnsi="Times New Roman"/>
          <w:color w:val="000000" w:themeColor="text1"/>
          <w:lang w:val="en-US" w:eastAsia="zh-CN"/>
          <w14:textFill>
            <w14:solidFill>
              <w14:schemeClr w14:val="tx1"/>
            </w14:solidFill>
          </w14:textFill>
        </w:rPr>
        <w:t>“信赖推定”</w:t>
      </w:r>
      <w:r>
        <w:rPr>
          <w:rFonts w:hint="default" w:ascii="Times New Roman" w:hAnsi="Times New Roman"/>
          <w:color w:val="000000" w:themeColor="text1"/>
          <w:lang w:val="en-US" w:eastAsia="zh-CN"/>
          <w14:textFill>
            <w14:solidFill>
              <w14:schemeClr w14:val="tx1"/>
            </w14:solidFill>
          </w14:textFill>
        </w:rPr>
        <w:t>原则密切相关。按照第十一条的规定，只要投资者是在实施日之后、揭露日之前买入了相关证券，那法律上就直接推定交易因果关系成立。这个推定大大降低了投资者要承担的举证责任，但同时也给被告留了抗辩空间，具体写在了第十二条里。在样本案例中，被告用来阻断交易因果关系的抗辩理由主要有这么几类：原告在交易的时候已经知道或者应当知道虚假陈述存在（第十二条第二款）；原告的交易是受了虚假陈述实施之后发生的其他重大事件影响（第十二条第三款）；原告的交易属于员工持股计划之类的特定安排（第十二条第五款）。</w:t>
      </w:r>
      <w:r>
        <w:rPr>
          <w:rFonts w:hint="eastAsia" w:ascii="Times New Roman" w:hAnsi="Times New Roman"/>
          <w:color w:val="000000" w:themeColor="text1"/>
          <w:lang w:val="en-US" w:eastAsia="zh-CN"/>
          <w14:textFill>
            <w14:solidFill>
              <w14:schemeClr w14:val="tx1"/>
            </w14:solidFill>
          </w14:textFill>
        </w:rPr>
        <w:t>比如</w:t>
      </w:r>
      <w:r>
        <w:rPr>
          <w:rFonts w:hint="default" w:ascii="Times New Roman" w:hAnsi="Times New Roman"/>
          <w:color w:val="000000" w:themeColor="text1"/>
          <w:lang w:val="en-US" w:eastAsia="zh-CN"/>
          <w14:textFill>
            <w14:solidFill>
              <w14:schemeClr w14:val="tx1"/>
            </w14:solidFill>
          </w14:textFill>
        </w:rPr>
        <w:t>，（2024）京民终666号这个案子，二审法院就是基于新三板定向增发具有“面对面”交易的特点，认为不具备适用信赖推定原则的基础，最终否定了交易因果关系。</w:t>
      </w:r>
      <w:r>
        <w:rPr>
          <w:rStyle w:val="22"/>
          <w:rFonts w:hint="default" w:ascii="Times New Roman" w:hAnsi="Times New Roman"/>
          <w:color w:val="000000" w:themeColor="text1"/>
          <w:lang w:val="en-US" w:eastAsia="zh-CN"/>
          <w14:textFill>
            <w14:solidFill>
              <w14:schemeClr w14:val="tx1"/>
            </w14:solidFill>
          </w14:textFill>
        </w:rPr>
        <w:footnoteReference w:id="32"/>
      </w:r>
    </w:p>
    <w:p w14:paraId="50A5D7D9">
      <w:pPr>
        <w:bidi w:val="0"/>
        <w:rPr>
          <w:rFonts w:hint="default" w:ascii="Times New Roman" w:hAnsi="Times New Roman"/>
          <w:color w:val="000000" w:themeColor="text1"/>
          <w:lang w:val="en-US" w:eastAsia="zh-CN"/>
          <w14:textFill>
            <w14:solidFill>
              <w14:schemeClr w14:val="tx1"/>
            </w14:solidFill>
          </w14:textFill>
        </w:rPr>
      </w:pPr>
      <w:r>
        <w:rPr>
          <w:rFonts w:hint="default" w:ascii="Times New Roman" w:hAnsi="Times New Roman"/>
          <w:color w:val="000000" w:themeColor="text1"/>
          <w:lang w:val="en-US" w:eastAsia="zh-CN"/>
          <w14:textFill>
            <w14:solidFill>
              <w14:schemeClr w14:val="tx1"/>
            </w14:solidFill>
          </w14:textFill>
        </w:rPr>
        <w:t>损失因果关系在样本</w:t>
      </w:r>
      <w:r>
        <w:rPr>
          <w:rFonts w:hint="eastAsia" w:ascii="Times New Roman" w:hAnsi="Times New Roman"/>
          <w:color w:val="000000" w:themeColor="text1"/>
          <w:lang w:val="en-US" w:eastAsia="zh-CN"/>
          <w14:textFill>
            <w14:solidFill>
              <w14:schemeClr w14:val="tx1"/>
            </w14:solidFill>
          </w14:textFill>
        </w:rPr>
        <w:t>案例</w:t>
      </w:r>
      <w:r>
        <w:rPr>
          <w:rFonts w:hint="default" w:ascii="Times New Roman" w:hAnsi="Times New Roman"/>
          <w:color w:val="000000" w:themeColor="text1"/>
          <w:lang w:val="en-US" w:eastAsia="zh-CN"/>
          <w14:textFill>
            <w14:solidFill>
              <w14:schemeClr w14:val="tx1"/>
            </w14:solidFill>
          </w14:textFill>
        </w:rPr>
        <w:t>中出现的争议次数相对较少，并不意味着该问题已得到妥善解决。实际情况是，现在法院在处理损失计算时，普遍采用一种</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委托鉴定</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的模式。也就是说，在大多数案件里，法院会把损失核定这件事交给中证法律服务中心这类专业机构去做，它们用</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多因子迁移同步对比法</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或者</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同步指数对比法</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来扣除系统性风险、非系统性风险等各种因素，最后算出该赔多少钱。这一技术化处理方式在一定程度上转移了损失因果关系的争议焦点，大家不再直接争论因果关系本身，而是变成了对鉴定方法</w:t>
      </w:r>
      <w:r>
        <w:rPr>
          <w:rFonts w:hint="eastAsia" w:ascii="Times New Roman" w:hAnsi="Times New Roman"/>
          <w:color w:val="000000" w:themeColor="text1"/>
          <w:lang w:val="en-US" w:eastAsia="zh-CN"/>
          <w14:textFill>
            <w14:solidFill>
              <w14:schemeClr w14:val="tx1"/>
            </w14:solidFill>
          </w14:textFill>
        </w:rPr>
        <w:t>是否</w:t>
      </w:r>
      <w:r>
        <w:rPr>
          <w:rFonts w:hint="default" w:ascii="Times New Roman" w:hAnsi="Times New Roman"/>
          <w:color w:val="000000" w:themeColor="text1"/>
          <w:lang w:val="en-US" w:eastAsia="zh-CN"/>
          <w14:textFill>
            <w14:solidFill>
              <w14:schemeClr w14:val="tx1"/>
            </w14:solidFill>
          </w14:textFill>
        </w:rPr>
        <w:t>科学、合理的争执。不过，像（2023）内民终553号这类改判案件里，二审法院还是对一审认定的损失因果关系做了实质性调整。</w:t>
      </w:r>
      <w:r>
        <w:rPr>
          <w:rStyle w:val="22"/>
          <w:rFonts w:hint="default" w:ascii="Times New Roman" w:hAnsi="Times New Roman"/>
          <w:color w:val="000000" w:themeColor="text1"/>
          <w:lang w:val="en-US" w:eastAsia="zh-CN"/>
          <w14:textFill>
            <w14:solidFill>
              <w14:schemeClr w14:val="tx1"/>
            </w14:solidFill>
          </w14:textFill>
        </w:rPr>
        <w:footnoteReference w:id="33"/>
      </w:r>
      <w:r>
        <w:rPr>
          <w:rFonts w:hint="default" w:ascii="Times New Roman" w:hAnsi="Times New Roman"/>
          <w:color w:val="000000" w:themeColor="text1"/>
          <w:lang w:val="en-US" w:eastAsia="zh-CN"/>
          <w14:textFill>
            <w14:solidFill>
              <w14:schemeClr w14:val="tx1"/>
            </w14:solidFill>
          </w14:textFill>
        </w:rPr>
        <w:t>这说明，损失因果关系的判断不纯粹是个技术活，</w:t>
      </w:r>
      <w:r>
        <w:rPr>
          <w:rFonts w:hint="eastAsia" w:ascii="Times New Roman" w:hAnsi="Times New Roman"/>
          <w:color w:val="000000" w:themeColor="text1"/>
          <w:lang w:val="en-US" w:eastAsia="zh-CN"/>
          <w14:textFill>
            <w14:solidFill>
              <w14:schemeClr w14:val="tx1"/>
            </w14:solidFill>
          </w14:textFill>
        </w:rPr>
        <w:t>其中</w:t>
      </w:r>
      <w:r>
        <w:rPr>
          <w:rFonts w:hint="default" w:ascii="Times New Roman" w:hAnsi="Times New Roman"/>
          <w:color w:val="000000" w:themeColor="text1"/>
          <w:lang w:val="en-US" w:eastAsia="zh-CN"/>
          <w14:textFill>
            <w14:solidFill>
              <w14:schemeClr w14:val="tx1"/>
            </w14:solidFill>
          </w14:textFill>
        </w:rPr>
        <w:t>依然涉及法律适用的价值判断。</w:t>
      </w:r>
    </w:p>
    <w:p w14:paraId="377AEC2F">
      <w:pPr>
        <w:pStyle w:val="3"/>
        <w:bidi w:val="0"/>
        <w:rPr>
          <w:rFonts w:hint="default" w:ascii="Times New Roman" w:hAnsi="Times New Roman"/>
          <w:lang w:val="en-US" w:eastAsia="zh-CN"/>
        </w:rPr>
      </w:pPr>
      <w:bookmarkStart w:id="39" w:name="_Toc11911"/>
      <w:bookmarkStart w:id="40" w:name="_Toc30852"/>
      <w:r>
        <w:rPr>
          <w:rFonts w:hint="default" w:ascii="Times New Roman" w:hAnsi="Times New Roman"/>
          <w:lang w:val="en-US" w:eastAsia="zh-CN"/>
        </w:rPr>
        <w:t>（二）因果关系认定的实证梳理</w:t>
      </w:r>
      <w:bookmarkEnd w:id="39"/>
      <w:bookmarkEnd w:id="40"/>
    </w:p>
    <w:p w14:paraId="34AC1ADA">
      <w:pPr>
        <w:pStyle w:val="4"/>
        <w:bidi w:val="0"/>
        <w:rPr>
          <w:rFonts w:hint="default" w:ascii="Times New Roman" w:hAnsi="Times New Roman"/>
          <w:lang w:val="en-US" w:eastAsia="zh-CN"/>
        </w:rPr>
      </w:pPr>
      <w:bookmarkStart w:id="41" w:name="_Toc29061"/>
      <w:bookmarkStart w:id="42" w:name="_Toc11604"/>
      <w:r>
        <w:rPr>
          <w:rFonts w:hint="eastAsia" w:ascii="Times New Roman" w:hAnsi="Times New Roman"/>
          <w:lang w:val="en-US" w:eastAsia="zh-CN"/>
        </w:rPr>
        <w:t>1.</w:t>
      </w:r>
      <w:r>
        <w:rPr>
          <w:rFonts w:hint="default" w:ascii="Times New Roman" w:hAnsi="Times New Roman"/>
          <w:lang w:val="en-US" w:eastAsia="zh-CN"/>
        </w:rPr>
        <w:t>交易因果关系的认定：从</w:t>
      </w:r>
      <w:r>
        <w:rPr>
          <w:rFonts w:hint="eastAsia" w:ascii="Times New Roman" w:hAnsi="Times New Roman"/>
          <w:lang w:val="en-US" w:eastAsia="zh-CN"/>
        </w:rPr>
        <w:t>“信赖推定”</w:t>
      </w:r>
      <w:r>
        <w:rPr>
          <w:rFonts w:hint="default" w:ascii="Times New Roman" w:hAnsi="Times New Roman"/>
          <w:lang w:val="en-US" w:eastAsia="zh-CN"/>
        </w:rPr>
        <w:t>到</w:t>
      </w:r>
      <w:r>
        <w:rPr>
          <w:rFonts w:hint="eastAsia" w:ascii="Times New Roman" w:hAnsi="Times New Roman"/>
          <w:lang w:val="en-US" w:eastAsia="zh-CN"/>
        </w:rPr>
        <w:t>“</w:t>
      </w:r>
      <w:r>
        <w:rPr>
          <w:rFonts w:hint="default" w:ascii="Times New Roman" w:hAnsi="Times New Roman"/>
          <w:lang w:val="en-US" w:eastAsia="zh-CN"/>
        </w:rPr>
        <w:t>可抗辩的推定</w:t>
      </w:r>
      <w:bookmarkEnd w:id="41"/>
      <w:r>
        <w:rPr>
          <w:rFonts w:hint="eastAsia" w:ascii="Times New Roman" w:hAnsi="Times New Roman"/>
          <w:lang w:val="en-US" w:eastAsia="zh-CN"/>
        </w:rPr>
        <w:t>”</w:t>
      </w:r>
      <w:bookmarkEnd w:id="42"/>
    </w:p>
    <w:p w14:paraId="397486B3">
      <w:pPr>
        <w:bidi w:val="0"/>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t>交易因果关系的认定呈现出</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推定成立—反证</w:t>
      </w:r>
      <w:r>
        <w:rPr>
          <w:rFonts w:hint="eastAsia" w:ascii="Times New Roman" w:hAnsi="Times New Roman"/>
          <w:b w:val="0"/>
          <w:bCs w:val="0"/>
          <w:color w:val="000000" w:themeColor="text1"/>
          <w:lang w:val="en-US" w:eastAsia="zh-CN"/>
          <w14:textFill>
            <w14:solidFill>
              <w14:schemeClr w14:val="tx1"/>
            </w14:solidFill>
          </w14:textFill>
        </w:rPr>
        <w:t>抗辩”</w:t>
      </w:r>
      <w:r>
        <w:rPr>
          <w:rFonts w:hint="default" w:ascii="Times New Roman" w:hAnsi="Times New Roman"/>
          <w:b w:val="0"/>
          <w:bCs w:val="0"/>
          <w:color w:val="000000" w:themeColor="text1"/>
          <w:lang w:val="en-US" w:eastAsia="zh-CN"/>
          <w14:textFill>
            <w14:solidFill>
              <w14:schemeClr w14:val="tx1"/>
            </w14:solidFill>
          </w14:textFill>
        </w:rPr>
        <w:t>的特征。</w:t>
      </w:r>
      <w:r>
        <w:rPr>
          <w:rFonts w:hint="eastAsia" w:ascii="Times New Roman" w:hAnsi="Times New Roman"/>
          <w:b w:val="0"/>
          <w:bCs w:val="0"/>
          <w:color w:val="000000" w:themeColor="text1"/>
          <w:lang w:val="en-US" w:eastAsia="zh-CN"/>
          <w14:textFill>
            <w14:solidFill>
              <w14:schemeClr w14:val="tx1"/>
            </w14:solidFill>
          </w14:textFill>
        </w:rPr>
        <w:t>2022年虚假陈述解释</w:t>
      </w:r>
      <w:r>
        <w:rPr>
          <w:rFonts w:hint="default" w:ascii="Times New Roman" w:hAnsi="Times New Roman"/>
          <w:b w:val="0"/>
          <w:bCs w:val="0"/>
          <w:color w:val="000000" w:themeColor="text1"/>
          <w:lang w:val="en-US" w:eastAsia="zh-CN"/>
          <w14:textFill>
            <w14:solidFill>
              <w14:schemeClr w14:val="tx1"/>
            </w14:solidFill>
          </w14:textFill>
        </w:rPr>
        <w:t>第十一条确立的推定规则，使投资者仅需证明交易时间符合</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实施日—揭露日</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区间即可初步建立因果关系，这一规则在样本案例中得到普遍适用。然而，被告通过第十二条进行</w:t>
      </w:r>
      <w:r>
        <w:rPr>
          <w:rFonts w:hint="eastAsia" w:ascii="Times New Roman" w:hAnsi="Times New Roman"/>
          <w:b w:val="0"/>
          <w:bCs w:val="0"/>
          <w:color w:val="000000" w:themeColor="text1"/>
          <w:lang w:val="en-US" w:eastAsia="zh-CN"/>
          <w14:textFill>
            <w14:solidFill>
              <w14:schemeClr w14:val="tx1"/>
            </w14:solidFill>
          </w14:textFill>
        </w:rPr>
        <w:t>抗辩的</w:t>
      </w:r>
      <w:r>
        <w:rPr>
          <w:rFonts w:hint="default" w:ascii="Times New Roman" w:hAnsi="Times New Roman"/>
          <w:b w:val="0"/>
          <w:bCs w:val="0"/>
          <w:color w:val="000000" w:themeColor="text1"/>
          <w:lang w:val="en-US" w:eastAsia="zh-CN"/>
          <w14:textFill>
            <w14:solidFill>
              <w14:schemeClr w14:val="tx1"/>
            </w14:solidFill>
          </w14:textFill>
        </w:rPr>
        <w:t>尝试日益增多，且</w:t>
      </w:r>
      <w:r>
        <w:rPr>
          <w:rFonts w:hint="eastAsia" w:ascii="Times New Roman" w:hAnsi="Times New Roman"/>
          <w:b w:val="0"/>
          <w:bCs w:val="0"/>
          <w:color w:val="000000" w:themeColor="text1"/>
          <w:lang w:val="en-US" w:eastAsia="zh-CN"/>
          <w14:textFill>
            <w14:solidFill>
              <w14:schemeClr w14:val="tx1"/>
            </w14:solidFill>
          </w14:textFill>
        </w:rPr>
        <w:t>抗辩</w:t>
      </w:r>
      <w:r>
        <w:rPr>
          <w:rFonts w:hint="default" w:ascii="Times New Roman" w:hAnsi="Times New Roman"/>
          <w:b w:val="0"/>
          <w:bCs w:val="0"/>
          <w:color w:val="000000" w:themeColor="text1"/>
          <w:lang w:val="en-US" w:eastAsia="zh-CN"/>
          <w14:textFill>
            <w14:solidFill>
              <w14:schemeClr w14:val="tx1"/>
            </w14:solidFill>
          </w14:textFill>
        </w:rPr>
        <w:t>事由呈现多元化、精细化趋势。</w:t>
      </w:r>
      <w:r>
        <w:rPr>
          <w:rFonts w:hint="eastAsia" w:ascii="Times New Roman" w:hAnsi="Times New Roman"/>
          <w:b w:val="0"/>
          <w:bCs w:val="0"/>
          <w:color w:val="000000" w:themeColor="text1"/>
          <w:lang w:val="en-US" w:eastAsia="zh-CN"/>
          <w14:textFill>
            <w14:solidFill>
              <w14:schemeClr w14:val="tx1"/>
            </w14:solidFill>
          </w14:textFill>
        </w:rPr>
        <w:t>如何认定抗辩事由的成立系目前裁判的焦点和难点。</w:t>
      </w:r>
    </w:p>
    <w:p w14:paraId="3ACEB683">
      <w:pPr>
        <w:pStyle w:val="5"/>
        <w:bidi w:val="0"/>
        <w:rPr>
          <w:rFonts w:hint="default" w:ascii="Times New Roman" w:hAnsi="Times New Roman"/>
          <w:lang w:val="en-US" w:eastAsia="zh-CN"/>
        </w:rPr>
      </w:pPr>
      <w:r>
        <w:rPr>
          <w:rFonts w:hint="eastAsia" w:ascii="Times New Roman" w:hAnsi="Times New Roman"/>
          <w:lang w:val="en-US" w:eastAsia="zh-CN"/>
        </w:rPr>
        <w:t>（1）</w:t>
      </w:r>
      <w:r>
        <w:rPr>
          <w:rFonts w:hint="default" w:ascii="Times New Roman" w:hAnsi="Times New Roman"/>
          <w:lang w:val="en-US" w:eastAsia="zh-CN"/>
        </w:rPr>
        <w:t>新三板市场的交易因果关系认定</w:t>
      </w:r>
    </w:p>
    <w:p w14:paraId="6152EB58">
      <w:pPr>
        <w:bidi w:val="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新三板市场，可以理解为是一个全国性的、专门用来交易非上市股份有限公司股权的平台，主要服务的对象是那些还没上市的中小微型企业。与传统的主板、创业板、科创板有所差异，新三板市场不算真正意义上的二级交易市场，它本质上是一个场外交易市场。这个特殊性，给交易因果关系的认定带来了一些麻烦。</w:t>
      </w:r>
    </w:p>
    <w:p w14:paraId="3AAA0585">
      <w:pPr>
        <w:bidi w:val="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以（2024）京民终666号案为例。一审法院认为，虽然新三板跟沪深两市的交易所有差别，但它还是有价格发现功能的，所以应该适用信赖推定原则。结果二审法院把这个认定给推翻了，理由有二：第一，新三板的定向增发采用的是“面对面”磋商方式，跟主板那种集中竞价交易完全不同，这就没有适用信赖推定原则的基础；第二，投资者在认购股票当天就签了回购协议，不管核心收购条件成不成立，都能保证自己有一定收益，这个因素对他的投资决策起了决定性作用。而投资者自己又拿不出证据，证明他确实参考了那份含有虚假陈述的年报信息。基于这两点，二审法院认定交易因果关系不成立。</w:t>
      </w:r>
      <w:r>
        <w:rPr>
          <w:rStyle w:val="22"/>
          <w:rFonts w:hint="eastAsia" w:ascii="Times New Roman" w:hAnsi="Times New Roman"/>
          <w:color w:val="000000" w:themeColor="text1"/>
          <w:lang w:val="en-US" w:eastAsia="zh-CN"/>
          <w14:textFill>
            <w14:solidFill>
              <w14:schemeClr w14:val="tx1"/>
            </w14:solidFill>
          </w14:textFill>
        </w:rPr>
        <w:footnoteReference w:id="34"/>
      </w:r>
    </w:p>
    <w:p w14:paraId="2D4CFE65">
      <w:pPr>
        <w:bidi w:val="0"/>
        <w:rPr>
          <w:rFonts w:hint="default"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从这个案子的裁判逻辑能看出来，法院在判断交易因果关系的时候，思路已经发生了变化：不再只是简单地看“时间区间推定”，而是转向去实质性审查投资者做出交易决策的真实原因到底什么。尤其是面对机构投资者和定增投资者，法院给他们设定了更高的注意义务和举证要求。比如在（2023）鲁民终356号案里，法院进一步指出，投资者作为专业投资机构，在参与非公开发行股份这种“面对面”交易时，理应承担比普通投资者更高的专业注意义务。而且，这个案子里的交易行为，早在虚假陈述实施日之前就已经达成了意向，再加上还有实际控制人给出的保障性承诺，所以法院最终认定交易因果关系不成立。</w:t>
      </w:r>
      <w:r>
        <w:rPr>
          <w:rStyle w:val="22"/>
          <w:rFonts w:hint="default" w:ascii="Times New Roman" w:hAnsi="Times New Roman"/>
          <w:color w:val="000000" w:themeColor="text1"/>
          <w:lang w:val="en-US" w:eastAsia="zh-CN"/>
          <w14:textFill>
            <w14:solidFill>
              <w14:schemeClr w14:val="tx1"/>
            </w14:solidFill>
          </w14:textFill>
        </w:rPr>
        <w:footnoteReference w:id="35"/>
      </w:r>
    </w:p>
    <w:p w14:paraId="377E2721">
      <w:pPr>
        <w:pStyle w:val="5"/>
        <w:bidi w:val="0"/>
        <w:rPr>
          <w:rFonts w:hint="default" w:ascii="Times New Roman" w:hAnsi="Times New Roman"/>
          <w:lang w:val="en-US" w:eastAsia="zh-CN"/>
        </w:rPr>
      </w:pPr>
      <w:r>
        <w:rPr>
          <w:rFonts w:hint="eastAsia" w:ascii="Times New Roman" w:hAnsi="Times New Roman"/>
          <w:lang w:val="en-US" w:eastAsia="zh-CN"/>
        </w:rPr>
        <w:t>（2）</w:t>
      </w:r>
      <w:r>
        <w:rPr>
          <w:rFonts w:hint="default" w:ascii="Times New Roman" w:hAnsi="Times New Roman"/>
          <w:lang w:val="en-US" w:eastAsia="zh-CN"/>
        </w:rPr>
        <w:t>揭露日认定对因果关系的影响</w:t>
      </w:r>
    </w:p>
    <w:p w14:paraId="05C18CC9">
      <w:pPr>
        <w:bidi w:val="0"/>
        <w:rPr>
          <w:rFonts w:hint="default" w:ascii="Times New Roman" w:hAnsi="Times New Roman"/>
          <w:color w:val="000000" w:themeColor="text1"/>
          <w:lang w:val="en-US" w:eastAsia="zh-CN"/>
          <w14:textFill>
            <w14:solidFill>
              <w14:schemeClr w14:val="tx1"/>
            </w14:solidFill>
          </w14:textFill>
        </w:rPr>
      </w:pPr>
      <w:r>
        <w:rPr>
          <w:rFonts w:hint="default" w:ascii="Times New Roman" w:hAnsi="Times New Roman"/>
          <w:color w:val="000000" w:themeColor="text1"/>
          <w:lang w:val="en-US" w:eastAsia="zh-CN"/>
          <w14:textFill>
            <w14:solidFill>
              <w14:schemeClr w14:val="tx1"/>
            </w14:solidFill>
          </w14:textFill>
        </w:rPr>
        <w:t>揭露日</w:t>
      </w:r>
      <w:r>
        <w:rPr>
          <w:rFonts w:hint="eastAsia" w:ascii="Times New Roman" w:hAnsi="Times New Roman"/>
          <w:color w:val="000000" w:themeColor="text1"/>
          <w:lang w:val="en-US" w:eastAsia="zh-CN"/>
          <w14:textFill>
            <w14:solidFill>
              <w14:schemeClr w14:val="tx1"/>
            </w14:solidFill>
          </w14:textFill>
        </w:rPr>
        <w:t>如何</w:t>
      </w:r>
      <w:r>
        <w:rPr>
          <w:rFonts w:hint="default" w:ascii="Times New Roman" w:hAnsi="Times New Roman"/>
          <w:color w:val="000000" w:themeColor="text1"/>
          <w:lang w:val="en-US" w:eastAsia="zh-CN"/>
          <w14:textFill>
            <w14:solidFill>
              <w14:schemeClr w14:val="tx1"/>
            </w14:solidFill>
          </w14:textFill>
        </w:rPr>
        <w:t>定，直接关系到投资者的交易行为</w:t>
      </w:r>
      <w:r>
        <w:rPr>
          <w:rFonts w:hint="eastAsia" w:ascii="Times New Roman" w:hAnsi="Times New Roman"/>
          <w:color w:val="000000" w:themeColor="text1"/>
          <w:lang w:val="en-US" w:eastAsia="zh-CN"/>
          <w14:textFill>
            <w14:solidFill>
              <w14:schemeClr w14:val="tx1"/>
            </w14:solidFill>
          </w14:textFill>
        </w:rPr>
        <w:t>是否属于</w:t>
      </w:r>
      <w:r>
        <w:rPr>
          <w:rFonts w:hint="default" w:ascii="Times New Roman" w:hAnsi="Times New Roman"/>
          <w:color w:val="000000" w:themeColor="text1"/>
          <w:lang w:val="en-US" w:eastAsia="zh-CN"/>
          <w14:textFill>
            <w14:solidFill>
              <w14:schemeClr w14:val="tx1"/>
            </w14:solidFill>
          </w14:textFill>
        </w:rPr>
        <w:t>虚假陈述的影响期间，进而影响交易因果关系和损失因果关系</w:t>
      </w:r>
      <w:r>
        <w:rPr>
          <w:rFonts w:hint="eastAsia" w:ascii="Times New Roman" w:hAnsi="Times New Roman"/>
          <w:color w:val="000000" w:themeColor="text1"/>
          <w:lang w:val="en-US" w:eastAsia="zh-CN"/>
          <w14:textFill>
            <w14:solidFill>
              <w14:schemeClr w14:val="tx1"/>
            </w14:solidFill>
          </w14:textFill>
        </w:rPr>
        <w:t>是否</w:t>
      </w:r>
      <w:r>
        <w:rPr>
          <w:rFonts w:hint="default" w:ascii="Times New Roman" w:hAnsi="Times New Roman"/>
          <w:color w:val="000000" w:themeColor="text1"/>
          <w:lang w:val="en-US" w:eastAsia="zh-CN"/>
          <w14:textFill>
            <w14:solidFill>
              <w14:schemeClr w14:val="tx1"/>
            </w14:solidFill>
          </w14:textFill>
        </w:rPr>
        <w:t>成立。2022年虚假陈述解释第八条</w:t>
      </w:r>
      <w:r>
        <w:rPr>
          <w:rFonts w:hint="eastAsia" w:ascii="Times New Roman" w:hAnsi="Times New Roman"/>
          <w:color w:val="000000" w:themeColor="text1"/>
          <w:lang w:val="en-US" w:eastAsia="zh-CN"/>
          <w14:textFill>
            <w14:solidFill>
              <w14:schemeClr w14:val="tx1"/>
            </w14:solidFill>
          </w14:textFill>
        </w:rPr>
        <w:t>明确其定义</w:t>
      </w:r>
      <w:r>
        <w:rPr>
          <w:rFonts w:hint="default" w:ascii="Times New Roman" w:hAnsi="Times New Roman"/>
          <w:color w:val="000000" w:themeColor="text1"/>
          <w:lang w:val="en-US" w:eastAsia="zh-CN"/>
          <w14:textFill>
            <w14:solidFill>
              <w14:schemeClr w14:val="tx1"/>
            </w14:solidFill>
          </w14:textFill>
        </w:rPr>
        <w:t>：虚假陈述揭露日，是虚假陈述第一次在有全国性影响的媒体上被公开揭露，并且让证券市场知道的那一天。</w:t>
      </w:r>
    </w:p>
    <w:p w14:paraId="5DC0E38B">
      <w:pPr>
        <w:bidi w:val="0"/>
        <w:rPr>
          <w:rFonts w:hint="default"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以</w:t>
      </w:r>
      <w:r>
        <w:rPr>
          <w:rFonts w:hint="default" w:ascii="Times New Roman" w:hAnsi="Times New Roman"/>
          <w:color w:val="000000" w:themeColor="text1"/>
          <w:lang w:val="en-US" w:eastAsia="zh-CN"/>
          <w14:textFill>
            <w14:solidFill>
              <w14:schemeClr w14:val="tx1"/>
            </w14:solidFill>
          </w14:textFill>
        </w:rPr>
        <w:t>（2025）浙民终834号案</w:t>
      </w:r>
      <w:r>
        <w:rPr>
          <w:rFonts w:hint="eastAsia" w:ascii="Times New Roman" w:hAnsi="Times New Roman"/>
          <w:color w:val="000000" w:themeColor="text1"/>
          <w:lang w:val="en-US" w:eastAsia="zh-CN"/>
          <w14:textFill>
            <w14:solidFill>
              <w14:schemeClr w14:val="tx1"/>
            </w14:solidFill>
          </w14:textFill>
        </w:rPr>
        <w:t>为例，围</w:t>
      </w:r>
      <w:r>
        <w:rPr>
          <w:rFonts w:hint="default" w:ascii="Times New Roman" w:hAnsi="Times New Roman"/>
          <w:color w:val="000000" w:themeColor="text1"/>
          <w:lang w:val="en-US" w:eastAsia="zh-CN"/>
          <w14:textFill>
            <w14:solidFill>
              <w14:schemeClr w14:val="tx1"/>
            </w14:solidFill>
          </w14:textFill>
        </w:rPr>
        <w:t>某公司前后发了好几次内容不一样的披露公告。一审法院认为，2023年7月28日那份立案调查公告，没披露具体违规内容，而且公告后股价不跌反涨，警示性不够，所以认定2024年1月30日的会计差错更正公告日才是揭露日。但二审法院把一审的认定推翻了，明确了两条裁判规则：第一，虚假陈述被揭露的意义在于给证券市场发出一个警示信号，并不意味着市场必须对这个虚假陈述的事实了解得一清二楚；第二，证监会的立案调查公告，说明监管机构已经掌握了比较确实充分的证据，而且公告里明确写着</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敬请广大投资者理性投资，注意投资风险</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，这种表述足以起到警示作用。</w:t>
      </w:r>
      <w:r>
        <w:rPr>
          <w:rStyle w:val="22"/>
          <w:rFonts w:hint="default" w:ascii="Times New Roman" w:hAnsi="Times New Roman"/>
          <w:color w:val="000000" w:themeColor="text1"/>
          <w:lang w:val="en-US" w:eastAsia="zh-CN"/>
          <w14:textFill>
            <w14:solidFill>
              <w14:schemeClr w14:val="tx1"/>
            </w14:solidFill>
          </w14:textFill>
        </w:rPr>
        <w:footnoteReference w:id="36"/>
      </w:r>
      <w:r>
        <w:rPr>
          <w:rFonts w:hint="default" w:ascii="Times New Roman" w:hAnsi="Times New Roman"/>
          <w:color w:val="000000" w:themeColor="text1"/>
          <w:lang w:val="en-US" w:eastAsia="zh-CN"/>
          <w14:textFill>
            <w14:solidFill>
              <w14:schemeClr w14:val="tx1"/>
            </w14:solidFill>
          </w14:textFill>
        </w:rPr>
        <w:t>这个案子的裁判逻辑，实际上确立了一个标准：判断揭露日时，“警示性优先于完整性”。</w:t>
      </w:r>
    </w:p>
    <w:p w14:paraId="372B7465">
      <w:pPr>
        <w:bidi w:val="0"/>
        <w:rPr>
          <w:rFonts w:hint="default" w:ascii="Times New Roman" w:hAnsi="Times New Roman"/>
          <w:color w:val="000000" w:themeColor="text1"/>
          <w:lang w:val="en-US" w:eastAsia="zh-CN"/>
          <w14:textFill>
            <w14:solidFill>
              <w14:schemeClr w14:val="tx1"/>
            </w14:solidFill>
          </w14:textFill>
        </w:rPr>
      </w:pPr>
      <w:r>
        <w:rPr>
          <w:rFonts w:hint="default" w:ascii="Times New Roman" w:hAnsi="Times New Roman"/>
          <w:color w:val="000000" w:themeColor="text1"/>
          <w:lang w:val="en-US" w:eastAsia="zh-CN"/>
          <w14:textFill>
            <w14:solidFill>
              <w14:schemeClr w14:val="tx1"/>
            </w14:solidFill>
          </w14:textFill>
        </w:rPr>
        <w:t>再看（2023）湘民终162号案，法院对揭露日的认定标准做了进一步的阐述。法院认为，虚假陈述揭露日不光是虚假陈述行为第一次被公开揭露的那一天，还得是被证券市场广泛知悉的那一天。法院综合了几个因素：揭露内容</w:t>
      </w:r>
      <w:r>
        <w:rPr>
          <w:rFonts w:hint="eastAsia" w:ascii="Times New Roman" w:hAnsi="Times New Roman"/>
          <w:color w:val="000000" w:themeColor="text1"/>
          <w:lang w:val="en-US" w:eastAsia="zh-CN"/>
          <w14:textFill>
            <w14:solidFill>
              <w14:schemeClr w14:val="tx1"/>
            </w14:solidFill>
          </w14:textFill>
        </w:rPr>
        <w:t>是否明确</w:t>
      </w:r>
      <w:r>
        <w:rPr>
          <w:rFonts w:hint="default" w:ascii="Times New Roman" w:hAnsi="Times New Roman"/>
          <w:color w:val="000000" w:themeColor="text1"/>
          <w:lang w:val="en-US" w:eastAsia="zh-CN"/>
          <w14:textFill>
            <w14:solidFill>
              <w14:schemeClr w14:val="tx1"/>
            </w14:solidFill>
          </w14:textFill>
        </w:rPr>
        <w:t>，揭露范围</w:t>
      </w:r>
      <w:r>
        <w:rPr>
          <w:rFonts w:hint="eastAsia" w:ascii="Times New Roman" w:hAnsi="Times New Roman"/>
          <w:color w:val="000000" w:themeColor="text1"/>
          <w:lang w:val="en-US" w:eastAsia="zh-CN"/>
          <w14:textFill>
            <w14:solidFill>
              <w14:schemeClr w14:val="tx1"/>
            </w14:solidFill>
          </w14:textFill>
        </w:rPr>
        <w:t>是否具有</w:t>
      </w:r>
      <w:r>
        <w:rPr>
          <w:rFonts w:hint="default" w:ascii="Times New Roman" w:hAnsi="Times New Roman"/>
          <w:color w:val="000000" w:themeColor="text1"/>
          <w:lang w:val="en-US" w:eastAsia="zh-CN"/>
          <w14:textFill>
            <w14:solidFill>
              <w14:schemeClr w14:val="tx1"/>
            </w14:solidFill>
          </w14:textFill>
        </w:rPr>
        <w:t>全国性，揭露时间</w:t>
      </w:r>
      <w:r>
        <w:rPr>
          <w:rFonts w:hint="eastAsia" w:ascii="Times New Roman" w:hAnsi="Times New Roman"/>
          <w:color w:val="000000" w:themeColor="text1"/>
          <w:lang w:val="en-US" w:eastAsia="zh-CN"/>
          <w14:textFill>
            <w14:solidFill>
              <w14:schemeClr w14:val="tx1"/>
            </w14:solidFill>
          </w14:textFill>
        </w:rPr>
        <w:t>是否为首次</w:t>
      </w:r>
      <w:r>
        <w:rPr>
          <w:rFonts w:hint="default" w:ascii="Times New Roman" w:hAnsi="Times New Roman"/>
          <w:color w:val="000000" w:themeColor="text1"/>
          <w:lang w:val="en-US" w:eastAsia="zh-CN"/>
          <w14:textFill>
            <w14:solidFill>
              <w14:schemeClr w14:val="tx1"/>
            </w14:solidFill>
          </w14:textFill>
        </w:rPr>
        <w:t>，以及揭露之后市场有没有反应等等。最终认定2019年5月7日是揭露日，而不是上市公司自己主张的2019年2月27日。</w:t>
      </w:r>
      <w:r>
        <w:rPr>
          <w:rStyle w:val="22"/>
          <w:rFonts w:hint="default" w:ascii="Times New Roman" w:hAnsi="Times New Roman"/>
          <w:color w:val="000000" w:themeColor="text1"/>
          <w:lang w:val="en-US" w:eastAsia="zh-CN"/>
          <w14:textFill>
            <w14:solidFill>
              <w14:schemeClr w14:val="tx1"/>
            </w14:solidFill>
          </w14:textFill>
        </w:rPr>
        <w:footnoteReference w:id="37"/>
      </w:r>
    </w:p>
    <w:p w14:paraId="2C77A192">
      <w:pPr>
        <w:pStyle w:val="5"/>
        <w:bidi w:val="0"/>
        <w:rPr>
          <w:rFonts w:hint="default" w:ascii="Times New Roman" w:hAnsi="Times New Roman"/>
          <w:lang w:val="en-US" w:eastAsia="zh-CN"/>
        </w:rPr>
      </w:pPr>
      <w:r>
        <w:rPr>
          <w:rFonts w:hint="eastAsia" w:ascii="Times New Roman" w:hAnsi="Times New Roman"/>
          <w:lang w:val="en-US" w:eastAsia="zh-CN"/>
        </w:rPr>
        <w:t>（3）抗辩事由</w:t>
      </w:r>
    </w:p>
    <w:p w14:paraId="62BB19B7">
      <w:pPr>
        <w:bidi w:val="0"/>
        <w:rPr>
          <w:rFonts w:hint="default" w:ascii="Times New Roman" w:hAnsi="Times New Roman"/>
          <w:color w:val="000000" w:themeColor="text1"/>
          <w:lang w:val="en-US" w:eastAsia="zh-CN"/>
          <w14:textFill>
            <w14:solidFill>
              <w14:schemeClr w14:val="tx1"/>
            </w14:solidFill>
          </w14:textFill>
        </w:rPr>
      </w:pPr>
      <w:r>
        <w:rPr>
          <w:rFonts w:hint="default" w:ascii="Times New Roman" w:hAnsi="Times New Roman"/>
          <w:color w:val="000000" w:themeColor="text1"/>
          <w:lang w:val="en-US" w:eastAsia="zh-CN"/>
          <w14:textFill>
            <w14:solidFill>
              <w14:schemeClr w14:val="tx1"/>
            </w14:solidFill>
          </w14:textFill>
        </w:rPr>
        <w:t>从样本案例来看，被告提出的反证事由大致可以分成</w:t>
      </w:r>
      <w:r>
        <w:rPr>
          <w:rFonts w:hint="eastAsia" w:ascii="Times New Roman" w:hAnsi="Times New Roman"/>
          <w:color w:val="000000" w:themeColor="text1"/>
          <w:lang w:val="en-US" w:eastAsia="zh-CN"/>
          <w14:textFill>
            <w14:solidFill>
              <w14:schemeClr w14:val="tx1"/>
            </w14:solidFill>
          </w14:textFill>
        </w:rPr>
        <w:t>以下几类：</w:t>
      </w:r>
      <w:r>
        <w:rPr>
          <w:rFonts w:hint="default" w:ascii="Times New Roman" w:hAnsi="Times New Roman"/>
          <w:color w:val="000000" w:themeColor="text1"/>
          <w:lang w:val="en-US" w:eastAsia="zh-CN"/>
          <w14:textFill>
            <w14:solidFill>
              <w14:schemeClr w14:val="tx1"/>
            </w14:solidFill>
          </w14:textFill>
        </w:rPr>
        <w:t>第一类是交易时点抗辩，就是说原告买入股票是在揭露日之后，或者卖出是在揭露日之前</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第二类是知情抗辩，主张原告作为专业投资者、内幕信息知情人或者公司员工，在交易的时候已经知道或者应该知道存在虚假陈述</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第三类是重大事件抗辩，认为原告的交易是受了虚假陈述实施之后发生的重大资产重组、破产重整、重大利好等事件的影响，而不是因为信赖虚假陈述</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第四类是特定安排抗辩，主张原告的交易是基于员工持股计划、定向增发协议、回购协议这类事先定好的安排，而不是依赖公开信息。</w:t>
      </w:r>
    </w:p>
    <w:p w14:paraId="4A358BA8">
      <w:pPr>
        <w:bidi w:val="0"/>
        <w:rPr>
          <w:rFonts w:hint="default" w:ascii="Times New Roman" w:hAnsi="Times New Roman"/>
          <w:color w:val="000000" w:themeColor="text1"/>
          <w:lang w:val="en-US" w:eastAsia="zh-CN"/>
          <w14:textFill>
            <w14:solidFill>
              <w14:schemeClr w14:val="tx1"/>
            </w14:solidFill>
          </w14:textFill>
        </w:rPr>
      </w:pPr>
      <w:r>
        <w:rPr>
          <w:rFonts w:hint="default" w:ascii="Times New Roman" w:hAnsi="Times New Roman"/>
          <w:color w:val="000000" w:themeColor="text1"/>
          <w:lang w:val="en-US" w:eastAsia="zh-CN"/>
          <w14:textFill>
            <w14:solidFill>
              <w14:schemeClr w14:val="tx1"/>
            </w14:solidFill>
          </w14:textFill>
        </w:rPr>
        <w:t>在维持原判的79份判决书</w:t>
      </w:r>
      <w:r>
        <w:rPr>
          <w:rFonts w:hint="eastAsia" w:ascii="Times New Roman" w:hAnsi="Times New Roman"/>
          <w:color w:val="000000" w:themeColor="text1"/>
          <w:lang w:val="en-US" w:eastAsia="zh-CN"/>
          <w14:textFill>
            <w14:solidFill>
              <w14:schemeClr w14:val="tx1"/>
            </w14:solidFill>
          </w14:textFill>
        </w:rPr>
        <w:t>里</w:t>
      </w:r>
      <w:r>
        <w:rPr>
          <w:rFonts w:hint="default" w:ascii="Times New Roman" w:hAnsi="Times New Roman"/>
          <w:color w:val="000000" w:themeColor="text1"/>
          <w:lang w:val="en-US" w:eastAsia="zh-CN"/>
          <w14:textFill>
            <w14:solidFill>
              <w14:schemeClr w14:val="tx1"/>
            </w14:solidFill>
          </w14:textFill>
        </w:rPr>
        <w:t>，法院支持了被告的反证主张、从而阻断交易因果关系的案例，大概占15%左右。这些案例主要集中在员工持股计划、新三板定向增发这类比较特殊的情形。比如说，北京金融法院、上海金融法院以及深圳市中级人民法院在相关典型案例中都认定：员工通过持股计划取得股票，这种交易行为并不是基于上市公司的公开披露信息，正好符合2022年虚假陈述解释第十二条规定的情形，所以不成立交易因果关系。这种裁判思路，可以看作是对“买者自负”原则的一种适度回归，同时也反映出司法实践在尝试对投资者进行类型化区分保护。</w:t>
      </w:r>
    </w:p>
    <w:p w14:paraId="13104DDB">
      <w:pPr>
        <w:pStyle w:val="4"/>
        <w:bidi w:val="0"/>
        <w:rPr>
          <w:rFonts w:hint="default" w:ascii="Times New Roman" w:hAnsi="Times New Roman"/>
          <w:lang w:val="en-US" w:eastAsia="zh-CN"/>
        </w:rPr>
      </w:pPr>
      <w:bookmarkStart w:id="43" w:name="_Toc21081"/>
      <w:bookmarkStart w:id="44" w:name="_Toc282"/>
      <w:r>
        <w:rPr>
          <w:rFonts w:hint="eastAsia" w:ascii="Times New Roman" w:hAnsi="Times New Roman"/>
          <w:lang w:val="en-US" w:eastAsia="zh-CN"/>
        </w:rPr>
        <w:t>2.</w:t>
      </w:r>
      <w:r>
        <w:rPr>
          <w:rFonts w:hint="default" w:ascii="Times New Roman" w:hAnsi="Times New Roman"/>
          <w:lang w:val="en-US" w:eastAsia="zh-CN"/>
        </w:rPr>
        <w:t>损失因果关系的认定：风险扣除与多因一果的处理</w:t>
      </w:r>
      <w:bookmarkEnd w:id="43"/>
      <w:bookmarkEnd w:id="44"/>
    </w:p>
    <w:p w14:paraId="49477E59">
      <w:pPr>
        <w:bidi w:val="0"/>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t>损失因果关系解决的是虚假陈述行为在多大程度上造成了投资者的实际损失。与交易因果关系的</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全有或全无</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不同，损失因果关系涉及责任范围的划分，被告可以主张部分损失由其他因素导致，从而减轻或免除赔偿责任。</w:t>
      </w:r>
      <w:r>
        <w:rPr>
          <w:rFonts w:hint="eastAsia" w:ascii="Times New Roman" w:hAnsi="Times New Roman"/>
          <w:b w:val="0"/>
          <w:bCs w:val="0"/>
          <w:color w:val="000000" w:themeColor="text1"/>
          <w:lang w:val="en-US" w:eastAsia="zh-CN"/>
          <w14:textFill>
            <w14:solidFill>
              <w14:schemeClr w14:val="tx1"/>
            </w14:solidFill>
          </w14:textFill>
        </w:rPr>
        <w:t>2022年</w:t>
      </w:r>
      <w:r>
        <w:rPr>
          <w:rFonts w:hint="default" w:ascii="Times New Roman" w:hAnsi="Times New Roman"/>
          <w:b w:val="0"/>
          <w:bCs w:val="0"/>
          <w:color w:val="000000" w:themeColor="text1"/>
          <w:lang w:val="en-US" w:eastAsia="zh-CN"/>
          <w14:textFill>
            <w14:solidFill>
              <w14:schemeClr w14:val="tx1"/>
            </w14:solidFill>
          </w14:textFill>
        </w:rPr>
        <w:t>虚假陈述解释第三十一条明确规定，被告能够举证证明原告的损失部分或者全部是由他人操纵市场、证券市场的风险、证券市场对特定事件的过度反应、上市公司内外部经营环境等其他因素所导致的，对其关于相应减轻或者免除责任的抗辩，人民法院应当予以支持。</w:t>
      </w:r>
    </w:p>
    <w:p w14:paraId="1C48DEC5">
      <w:pPr>
        <w:pStyle w:val="5"/>
        <w:bidi w:val="0"/>
        <w:rPr>
          <w:rFonts w:hint="default" w:ascii="Times New Roman" w:hAnsi="Times New Roman"/>
          <w:lang w:val="en-US" w:eastAsia="zh-CN"/>
        </w:rPr>
      </w:pPr>
      <w:r>
        <w:rPr>
          <w:rFonts w:hint="eastAsia" w:ascii="Times New Roman" w:hAnsi="Times New Roman"/>
          <w:lang w:val="en-US" w:eastAsia="zh-CN"/>
        </w:rPr>
        <w:t>（1）</w:t>
      </w:r>
      <w:r>
        <w:rPr>
          <w:rFonts w:hint="default" w:ascii="Times New Roman" w:hAnsi="Times New Roman"/>
          <w:lang w:val="en-US" w:eastAsia="zh-CN"/>
        </w:rPr>
        <w:t>系统性风险的扣除</w:t>
      </w:r>
    </w:p>
    <w:p w14:paraId="671EA66E">
      <w:pPr>
        <w:bidi w:val="0"/>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t>系统性风险是指由宏观经济、政策、大盘走势等整体性因素导致的市场风险。在司法实践中，法院普遍委托专业机构进行损失核定，常见的核定机构包括中证资本市场法律服务中心、上海高金金融研究院等。</w:t>
      </w:r>
    </w:p>
    <w:p w14:paraId="552276D2">
      <w:pPr>
        <w:bidi w:val="0"/>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t>在（2025）粤民终2802号案中，法院认可了中证法律服务中心采用</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同步指数对比法</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测算系统风险扣除比例的做法。</w:t>
      </w:r>
      <w:r>
        <w:rPr>
          <w:rStyle w:val="22"/>
          <w:rFonts w:hint="default" w:ascii="Times New Roman" w:hAnsi="Times New Roman"/>
          <w:b w:val="0"/>
          <w:bCs w:val="0"/>
          <w:color w:val="000000" w:themeColor="text1"/>
          <w:lang w:val="en-US" w:eastAsia="zh-CN"/>
          <w14:textFill>
            <w14:solidFill>
              <w14:schemeClr w14:val="tx1"/>
            </w14:solidFill>
          </w14:textFill>
        </w:rPr>
        <w:footnoteReference w:id="38"/>
      </w:r>
      <w:r>
        <w:rPr>
          <w:rFonts w:hint="default" w:ascii="Times New Roman" w:hAnsi="Times New Roman"/>
          <w:b w:val="0"/>
          <w:bCs w:val="0"/>
          <w:color w:val="000000" w:themeColor="text1"/>
          <w:lang w:val="en-US" w:eastAsia="zh-CN"/>
          <w14:textFill>
            <w14:solidFill>
              <w14:schemeClr w14:val="tx1"/>
            </w14:solidFill>
          </w14:textFill>
        </w:rPr>
        <w:t>在（2024）粤民终355号案中，法院同样采纳了中证法律服务中心的测算意见，认为该测算方法可以合理计算不同时期买入股票的投资者因市场系统风险受到的损失。</w:t>
      </w:r>
      <w:r>
        <w:rPr>
          <w:rStyle w:val="22"/>
          <w:rFonts w:hint="default" w:ascii="Times New Roman" w:hAnsi="Times New Roman"/>
          <w:b w:val="0"/>
          <w:bCs w:val="0"/>
          <w:color w:val="000000" w:themeColor="text1"/>
          <w:lang w:val="en-US" w:eastAsia="zh-CN"/>
          <w14:textFill>
            <w14:solidFill>
              <w14:schemeClr w14:val="tx1"/>
            </w14:solidFill>
          </w14:textFill>
        </w:rPr>
        <w:footnoteReference w:id="39"/>
      </w:r>
    </w:p>
    <w:p w14:paraId="6A847E70">
      <w:pPr>
        <w:bidi w:val="0"/>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t>对于新三板市场，系统风险的认定更为特殊。在（2023）苏民终6号案中，法院指出，新三板市场不同于A股市场，大多数股票成交不活跃，交易不连续，缺乏丰富的可供参考的大盘指数、行业指数。法院选择以全国中小企业股份转让系统官方编制的三板做市指数作为主要参考指数，同时选取与被告具有竞业关系的类似挂牌公司股票作为参考对象，从市场整体及行业局部两个角度考察外部市场环境对股价波动的影响，酌定扣除30%的系统性风险。</w:t>
      </w:r>
      <w:r>
        <w:rPr>
          <w:rStyle w:val="22"/>
          <w:rFonts w:hint="default" w:ascii="Times New Roman" w:hAnsi="Times New Roman"/>
          <w:b w:val="0"/>
          <w:bCs w:val="0"/>
          <w:color w:val="000000" w:themeColor="text1"/>
          <w:lang w:val="en-US" w:eastAsia="zh-CN"/>
          <w14:textFill>
            <w14:solidFill>
              <w14:schemeClr w14:val="tx1"/>
            </w14:solidFill>
          </w14:textFill>
        </w:rPr>
        <w:footnoteReference w:id="40"/>
      </w:r>
    </w:p>
    <w:p w14:paraId="0E23E76F">
      <w:pPr>
        <w:pStyle w:val="5"/>
        <w:bidi w:val="0"/>
        <w:rPr>
          <w:rFonts w:hint="default" w:ascii="Times New Roman" w:hAnsi="Times New Roman"/>
          <w:lang w:val="en-US" w:eastAsia="zh-CN"/>
        </w:rPr>
      </w:pPr>
      <w:r>
        <w:rPr>
          <w:rFonts w:hint="eastAsia" w:ascii="Times New Roman" w:hAnsi="Times New Roman"/>
          <w:lang w:val="en-US" w:eastAsia="zh-CN"/>
        </w:rPr>
        <w:t>（2）</w:t>
      </w:r>
      <w:r>
        <w:rPr>
          <w:rFonts w:hint="default" w:ascii="Times New Roman" w:hAnsi="Times New Roman"/>
          <w:lang w:val="en-US" w:eastAsia="zh-CN"/>
        </w:rPr>
        <w:t>非系统性风险的扣除</w:t>
      </w:r>
    </w:p>
    <w:p w14:paraId="10DC4686">
      <w:pPr>
        <w:bidi w:val="0"/>
        <w:rPr>
          <w:rFonts w:hint="default" w:ascii="Times New Roman" w:hAnsi="Times New Roman"/>
          <w:color w:val="000000" w:themeColor="text1"/>
          <w:lang w:val="en-US" w:eastAsia="zh-CN"/>
          <w14:textFill>
            <w14:solidFill>
              <w14:schemeClr w14:val="tx1"/>
            </w14:solidFill>
          </w14:textFill>
        </w:rPr>
      </w:pPr>
      <w:r>
        <w:rPr>
          <w:rFonts w:hint="default" w:ascii="Times New Roman" w:hAnsi="Times New Roman"/>
          <w:color w:val="000000" w:themeColor="text1"/>
          <w:lang w:val="en-US" w:eastAsia="zh-CN"/>
          <w14:textFill>
            <w14:solidFill>
              <w14:schemeClr w14:val="tx1"/>
            </w14:solidFill>
          </w14:textFill>
        </w:rPr>
        <w:t>非系统性风险</w:t>
      </w:r>
      <w:r>
        <w:rPr>
          <w:rFonts w:hint="eastAsia" w:ascii="Times New Roman" w:hAnsi="Times New Roman"/>
          <w:color w:val="000000" w:themeColor="text1"/>
          <w:lang w:val="en-US" w:eastAsia="zh-CN"/>
          <w14:textFill>
            <w14:solidFill>
              <w14:schemeClr w14:val="tx1"/>
            </w14:solidFill>
          </w14:textFill>
        </w:rPr>
        <w:t>是指</w:t>
      </w:r>
      <w:r>
        <w:rPr>
          <w:rFonts w:hint="default" w:ascii="Times New Roman" w:hAnsi="Times New Roman"/>
          <w:color w:val="000000" w:themeColor="text1"/>
          <w:lang w:val="en-US" w:eastAsia="zh-CN"/>
          <w14:textFill>
            <w14:solidFill>
              <w14:schemeClr w14:val="tx1"/>
            </w14:solidFill>
          </w14:textFill>
        </w:rPr>
        <w:t>跟虚假陈述行为</w:t>
      </w:r>
      <w:r>
        <w:rPr>
          <w:rFonts w:hint="eastAsia" w:ascii="Times New Roman" w:hAnsi="Times New Roman"/>
          <w:color w:val="000000" w:themeColor="text1"/>
          <w:lang w:val="en-US" w:eastAsia="zh-CN"/>
          <w14:textFill>
            <w14:solidFill>
              <w14:schemeClr w14:val="tx1"/>
            </w14:solidFill>
          </w14:textFill>
        </w:rPr>
        <w:t>无关的</w:t>
      </w:r>
      <w:r>
        <w:rPr>
          <w:rFonts w:hint="default" w:ascii="Times New Roman" w:hAnsi="Times New Roman"/>
          <w:color w:val="000000" w:themeColor="text1"/>
          <w:lang w:val="en-US" w:eastAsia="zh-CN"/>
          <w14:textFill>
            <w14:solidFill>
              <w14:schemeClr w14:val="tx1"/>
            </w14:solidFill>
          </w14:textFill>
        </w:rPr>
        <w:t>、个股自己出的一些特定事件。比如公司出现重大亏损、重大投资失败、股权质押、司法冻结这些企业经营中的大事。</w:t>
      </w:r>
      <w:r>
        <w:rPr>
          <w:rFonts w:hint="eastAsia" w:ascii="Times New Roman" w:hAnsi="Times New Roman"/>
          <w:color w:val="000000" w:themeColor="text1"/>
          <w:lang w:val="en-US" w:eastAsia="zh-CN"/>
          <w14:textFill>
            <w14:solidFill>
              <w14:schemeClr w14:val="tx1"/>
            </w14:solidFill>
          </w14:textFill>
        </w:rPr>
        <w:t>近年来</w:t>
      </w:r>
      <w:r>
        <w:rPr>
          <w:rFonts w:hint="default" w:ascii="Times New Roman" w:hAnsi="Times New Roman"/>
          <w:color w:val="000000" w:themeColor="text1"/>
          <w:lang w:val="en-US" w:eastAsia="zh-CN"/>
          <w14:textFill>
            <w14:solidFill>
              <w14:schemeClr w14:val="tx1"/>
            </w14:solidFill>
          </w14:textFill>
        </w:rPr>
        <w:t>，法院在处理非系统性风险</w:t>
      </w:r>
      <w:r>
        <w:rPr>
          <w:rFonts w:hint="eastAsia" w:ascii="Times New Roman" w:hAnsi="Times New Roman"/>
          <w:color w:val="000000" w:themeColor="text1"/>
          <w:lang w:val="en-US" w:eastAsia="zh-CN"/>
          <w14:textFill>
            <w14:solidFill>
              <w14:schemeClr w14:val="tx1"/>
            </w14:solidFill>
          </w14:textFill>
        </w:rPr>
        <w:t>方面逐渐精细化</w:t>
      </w:r>
      <w:r>
        <w:rPr>
          <w:rFonts w:hint="default" w:ascii="Times New Roman" w:hAnsi="Times New Roman"/>
          <w:color w:val="000000" w:themeColor="text1"/>
          <w:lang w:val="en-US" w:eastAsia="zh-CN"/>
          <w14:textFill>
            <w14:solidFill>
              <w14:schemeClr w14:val="tx1"/>
            </w14:solidFill>
          </w14:textFill>
        </w:rPr>
        <w:t>。</w:t>
      </w:r>
    </w:p>
    <w:p w14:paraId="046280CC">
      <w:pPr>
        <w:bidi w:val="0"/>
        <w:ind w:left="0" w:leftChars="0" w:firstLine="480" w:firstLineChars="200"/>
        <w:rPr>
          <w:rFonts w:hint="default"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以</w:t>
      </w:r>
      <w:r>
        <w:rPr>
          <w:rFonts w:hint="default" w:ascii="Times New Roman" w:hAnsi="Times New Roman"/>
          <w:color w:val="000000" w:themeColor="text1"/>
          <w:lang w:val="en-US" w:eastAsia="zh-CN"/>
          <w14:textFill>
            <w14:solidFill>
              <w14:schemeClr w14:val="tx1"/>
            </w14:solidFill>
          </w14:textFill>
        </w:rPr>
        <w:t>（2025）桂民终17号案</w:t>
      </w:r>
      <w:r>
        <w:rPr>
          <w:rFonts w:hint="eastAsia" w:ascii="Times New Roman" w:hAnsi="Times New Roman"/>
          <w:color w:val="000000" w:themeColor="text1"/>
          <w:lang w:val="en-US" w:eastAsia="zh-CN"/>
          <w14:textFill>
            <w14:solidFill>
              <w14:schemeClr w14:val="tx1"/>
            </w14:solidFill>
          </w14:textFill>
        </w:rPr>
        <w:t>为例，</w:t>
      </w:r>
      <w:r>
        <w:rPr>
          <w:rFonts w:hint="default" w:ascii="Times New Roman" w:hAnsi="Times New Roman"/>
          <w:color w:val="000000" w:themeColor="text1"/>
          <w:lang w:val="en-US" w:eastAsia="zh-CN"/>
          <w14:textFill>
            <w14:solidFill>
              <w14:schemeClr w14:val="tx1"/>
            </w14:solidFill>
          </w14:textFill>
        </w:rPr>
        <w:t>一审法院没有支持上市公司提出的扣除非系统性风险的主张，理由是上市公司没能证明这些相关事件是独立于虚假陈述行为、单独对股价产生了明确的消极影响。但二审法院纠正了一审的认定。二审指出，上市公司已经提交了《2018年年度业绩预告》《关于控股股东所持公司股份被司法冻结及轮候冻结的公告》等一系列证据，足以说明确实存在重大亏损、重大投资失败、公司近半股份被质押、司法冻结等企业经营重大事件，而这些都属于2022年虚假陈述解释第三十一条里说的</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其他因素</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。于是二审法院认定了非系统性风险对投资者损失的影响比例是28.067%，并据此相应扣减了上市公司的赔偿责任。</w:t>
      </w:r>
      <w:r>
        <w:rPr>
          <w:rStyle w:val="22"/>
          <w:rFonts w:hint="default" w:ascii="Times New Roman" w:hAnsi="Times New Roman"/>
          <w:color w:val="000000" w:themeColor="text1"/>
          <w:lang w:val="en-US" w:eastAsia="zh-CN"/>
          <w14:textFill>
            <w14:solidFill>
              <w14:schemeClr w14:val="tx1"/>
            </w14:solidFill>
          </w14:textFill>
        </w:rPr>
        <w:footnoteReference w:id="41"/>
      </w:r>
    </w:p>
    <w:p w14:paraId="007B9C0E">
      <w:pPr>
        <w:bidi w:val="0"/>
        <w:rPr>
          <w:rFonts w:hint="default" w:ascii="Times New Roman" w:hAnsi="Times New Roman"/>
          <w:color w:val="000000" w:themeColor="text1"/>
          <w:lang w:val="en-US" w:eastAsia="zh-CN"/>
          <w14:textFill>
            <w14:solidFill>
              <w14:schemeClr w14:val="tx1"/>
            </w14:solidFill>
          </w14:textFill>
        </w:rPr>
      </w:pPr>
      <w:r>
        <w:rPr>
          <w:rFonts w:hint="default" w:ascii="Times New Roman" w:hAnsi="Times New Roman"/>
          <w:color w:val="000000" w:themeColor="text1"/>
          <w:lang w:val="en-US" w:eastAsia="zh-CN"/>
          <w14:textFill>
            <w14:solidFill>
              <w14:schemeClr w14:val="tx1"/>
            </w14:solidFill>
          </w14:textFill>
        </w:rPr>
        <w:t>这个案子实际上明确了两条裁判规则。第一，非系统性风险属于</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其他因素</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的范畴，应该从损失里面扣除。第二，上市公司要做的，只是举证证明这些重大事件确实存在，并且它们对股价有潜在影响，不需要把影响比例算得特别精确。另外，在（2024）桂民终240号案里，法院又把非系统性风险的认定方法往细了推了一步，采用了</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事件分析法</w:t>
      </w:r>
      <w:r>
        <w:rPr>
          <w:rFonts w:hint="eastAsia" w:ascii="Times New Roman" w:hAnsi="Times New Roman"/>
          <w:color w:val="000000" w:themeColor="text1"/>
          <w:lang w:val="en-US" w:eastAsia="zh-CN"/>
          <w14:textFill>
            <w14:solidFill>
              <w14:schemeClr w14:val="tx1"/>
            </w14:solidFill>
          </w14:textFill>
        </w:rPr>
        <w:t>”</w:t>
      </w:r>
      <w:r>
        <w:rPr>
          <w:rFonts w:hint="default" w:ascii="Times New Roman" w:hAnsi="Times New Roman"/>
          <w:color w:val="000000" w:themeColor="text1"/>
          <w:lang w:val="en-US" w:eastAsia="zh-CN"/>
          <w14:textFill>
            <w14:solidFill>
              <w14:schemeClr w14:val="tx1"/>
            </w14:solidFill>
          </w14:textFill>
        </w:rPr>
        <w:t>。</w:t>
      </w:r>
      <w:r>
        <w:rPr>
          <w:rFonts w:hint="eastAsia" w:ascii="Times New Roman" w:hAnsi="Times New Roman"/>
          <w:color w:val="000000" w:themeColor="text1"/>
          <w:lang w:val="en-US" w:eastAsia="zh-CN"/>
          <w14:textFill>
            <w14:solidFill>
              <w14:schemeClr w14:val="tx1"/>
            </w14:solidFill>
          </w14:textFill>
        </w:rPr>
        <w:t>简而言之</w:t>
      </w:r>
      <w:r>
        <w:rPr>
          <w:rFonts w:hint="default" w:ascii="Times New Roman" w:hAnsi="Times New Roman"/>
          <w:color w:val="000000" w:themeColor="text1"/>
          <w:lang w:val="en-US" w:eastAsia="zh-CN"/>
          <w14:textFill>
            <w14:solidFill>
              <w14:schemeClr w14:val="tx1"/>
            </w14:solidFill>
          </w14:textFill>
        </w:rPr>
        <w:t>，就是把股票的收益率拆成两部分：一部分是系统性风险带来的收益率，另一部分是非系统性风险的收益率，然后去检验在事件窗口期内，那个事件收益率是不是明显高于正常的波动范围。</w:t>
      </w:r>
      <w:r>
        <w:rPr>
          <w:rStyle w:val="22"/>
          <w:rFonts w:hint="default" w:ascii="Times New Roman" w:hAnsi="Times New Roman"/>
          <w:color w:val="000000" w:themeColor="text1"/>
          <w:lang w:val="en-US" w:eastAsia="zh-CN"/>
          <w14:textFill>
            <w14:solidFill>
              <w14:schemeClr w14:val="tx1"/>
            </w14:solidFill>
          </w14:textFill>
        </w:rPr>
        <w:footnoteReference w:id="42"/>
      </w:r>
    </w:p>
    <w:p w14:paraId="3BDF506F">
      <w:pPr>
        <w:pStyle w:val="5"/>
        <w:bidi w:val="0"/>
        <w:rPr>
          <w:rFonts w:hint="default" w:ascii="Times New Roman" w:hAnsi="Times New Roman"/>
          <w:lang w:val="en-US" w:eastAsia="zh-CN"/>
        </w:rPr>
      </w:pPr>
      <w:r>
        <w:rPr>
          <w:rFonts w:hint="eastAsia" w:ascii="Times New Roman" w:hAnsi="Times New Roman"/>
          <w:lang w:val="en-US" w:eastAsia="zh-CN"/>
        </w:rPr>
        <w:t>（3）</w:t>
      </w:r>
      <w:r>
        <w:rPr>
          <w:rFonts w:hint="default" w:ascii="Times New Roman" w:hAnsi="Times New Roman"/>
          <w:lang w:val="en-US" w:eastAsia="zh-CN"/>
        </w:rPr>
        <w:t>专业机构的损失核定方法</w:t>
      </w:r>
    </w:p>
    <w:p w14:paraId="35085C55">
      <w:pPr>
        <w:bidi w:val="0"/>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t>随着证券虚假陈述案件的复杂化，专业机构的损失核定意见在司法实践中的地位日益重要。法院普遍认可中证法律服务中心、上海高金金融研究院等专业机构的测算方法。</w:t>
      </w:r>
    </w:p>
    <w:p w14:paraId="6ED1BDF2">
      <w:pPr>
        <w:bidi w:val="0"/>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t>在（2024）黔民终35号案中，法院详细阐述了“收益率曲线同步对比法”的合理性：该方法对影响股价的各种主要因素进行定量分析，在不考虑虚假陈述因素的情况下，计算出其他各种因素影响下股票的模拟收益率，将模拟损益率与包含虚假陈述行为导致的实际损益比例相比较，两者之差即虚假陈述行为导致的投资者损失。</w:t>
      </w:r>
      <w:r>
        <w:rPr>
          <w:rStyle w:val="22"/>
          <w:rFonts w:hint="default" w:ascii="Times New Roman" w:hAnsi="Times New Roman"/>
          <w:b w:val="0"/>
          <w:bCs w:val="0"/>
          <w:color w:val="000000" w:themeColor="text1"/>
          <w:lang w:val="en-US" w:eastAsia="zh-CN"/>
          <w14:textFill>
            <w14:solidFill>
              <w14:schemeClr w14:val="tx1"/>
            </w14:solidFill>
          </w14:textFill>
        </w:rPr>
        <w:footnoteReference w:id="43"/>
      </w:r>
      <w:r>
        <w:rPr>
          <w:rFonts w:hint="default" w:ascii="Times New Roman" w:hAnsi="Times New Roman"/>
          <w:b w:val="0"/>
          <w:bCs w:val="0"/>
          <w:color w:val="000000" w:themeColor="text1"/>
          <w:lang w:val="en-US" w:eastAsia="zh-CN"/>
          <w14:textFill>
            <w14:solidFill>
              <w14:schemeClr w14:val="tx1"/>
            </w14:solidFill>
          </w14:textFill>
        </w:rPr>
        <w:t>在（2024）新民终61号案中，法院认可了</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多因子模型法</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和</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事件分析法</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的适用，认为其可以更科学地核定系统风险和非系统风险的影响。</w:t>
      </w:r>
      <w:r>
        <w:rPr>
          <w:rStyle w:val="22"/>
          <w:rFonts w:hint="default" w:ascii="Times New Roman" w:hAnsi="Times New Roman"/>
          <w:b w:val="0"/>
          <w:bCs w:val="0"/>
          <w:color w:val="000000" w:themeColor="text1"/>
          <w:lang w:val="en-US" w:eastAsia="zh-CN"/>
          <w14:textFill>
            <w14:solidFill>
              <w14:schemeClr w14:val="tx1"/>
            </w14:solidFill>
          </w14:textFill>
        </w:rPr>
        <w:footnoteReference w:id="44"/>
      </w:r>
    </w:p>
    <w:p w14:paraId="0CB183E6">
      <w:pPr>
        <w:bidi w:val="0"/>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t>纵观我国证券虚假陈述责任纠纷中因果关系认定的裁判规则，可以发现其正朝着精细化、类型化、专业化的方向发展。在交易因果关系层面，法院从单纯的区间推定走向实质性审查，对定增投资者、机构投资者设置更高的注意义务，并通过</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直接原因、最近原因</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标准过滤与虚假陈述无关的交易行为。在损失因果关系层面，法院借助专业机构的力量，对系统风险和非系统性风险进行科学量化扣除，既防止投资者</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搭便车</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获取不当赔偿，也避免上市公司因虚假陈述承担超出合理范围的赔偿责任。</w:t>
      </w:r>
    </w:p>
    <w:p w14:paraId="7C456869">
      <w:pPr>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br w:type="page"/>
      </w:r>
    </w:p>
    <w:p w14:paraId="237C0E38">
      <w:pPr>
        <w:pStyle w:val="2"/>
        <w:numPr>
          <w:ilvl w:val="0"/>
          <w:numId w:val="1"/>
        </w:numPr>
        <w:bidi w:val="0"/>
        <w:rPr>
          <w:rFonts w:hint="default" w:ascii="Times New Roman" w:hAnsi="Times New Roman"/>
          <w:highlight w:val="none"/>
          <w:lang w:val="en-US" w:eastAsia="zh-CN"/>
        </w:rPr>
      </w:pPr>
      <w:bookmarkStart w:id="45" w:name="_Toc24550"/>
      <w:bookmarkStart w:id="46" w:name="_Toc7831"/>
      <w:r>
        <w:rPr>
          <w:rFonts w:hint="default" w:ascii="Times New Roman" w:hAnsi="Times New Roman"/>
          <w:highlight w:val="none"/>
          <w:lang w:val="en-US" w:eastAsia="zh-CN"/>
        </w:rPr>
        <w:t>证券虚假陈述责任纠纷因果关系认定的实践困境</w:t>
      </w:r>
      <w:bookmarkEnd w:id="45"/>
      <w:bookmarkEnd w:id="46"/>
    </w:p>
    <w:p w14:paraId="7FFD0AA5">
      <w:pPr>
        <w:bidi w:val="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尽管2022年虚假陈述解释对因果关系理论进行了精细化重构，区分了交易因果关系与损失因果关系，并引入了重大性判断标准，但在具体适用中，司法实践仍呈现出一种“一刀切”的粗放式倾向。具体表现为，法院在适用“信赖推定”原则时，往往忽视不同市场环境、不同发行机制以及不同交易场所的底层逻辑差异，导致因果关系的认定在逻辑上存在断裂，在结果上可能显失公平。</w:t>
      </w:r>
    </w:p>
    <w:p w14:paraId="6FE2B63B">
      <w:pPr>
        <w:pStyle w:val="3"/>
        <w:bidi w:val="0"/>
        <w:rPr>
          <w:rFonts w:hint="eastAsia" w:ascii="Times New Roman" w:hAnsi="Times New Roman"/>
          <w:color w:val="000000" w:themeColor="text1"/>
          <w:lang w:val="en-US" w:eastAsia="zh-CN"/>
          <w14:textFill>
            <w14:solidFill>
              <w14:schemeClr w14:val="tx1"/>
            </w14:solidFill>
          </w14:textFill>
        </w:rPr>
      </w:pPr>
      <w:bookmarkStart w:id="47" w:name="_Toc28000"/>
      <w:r>
        <w:rPr>
          <w:rFonts w:hint="eastAsia" w:ascii="Times New Roman" w:hAnsi="Times New Roman"/>
          <w:lang w:val="en-US" w:eastAsia="zh-CN"/>
        </w:rPr>
        <w:t>（一）交易因果关系认定：“信赖推定”原则适用边界不一</w:t>
      </w:r>
      <w:bookmarkEnd w:id="47"/>
    </w:p>
    <w:p w14:paraId="1B66FD4D">
      <w:pPr>
        <w:pStyle w:val="4"/>
        <w:bidi w:val="0"/>
        <w:rPr>
          <w:rFonts w:hint="default" w:ascii="Times New Roman" w:hAnsi="Times New Roman"/>
          <w:lang w:val="en-US" w:eastAsia="zh-CN"/>
        </w:rPr>
      </w:pPr>
      <w:bookmarkStart w:id="48" w:name="_Toc1103"/>
      <w:bookmarkStart w:id="49" w:name="_Toc30267"/>
      <w:r>
        <w:rPr>
          <w:rFonts w:hint="eastAsia" w:ascii="Times New Roman" w:hAnsi="Times New Roman"/>
          <w:lang w:val="en-US" w:eastAsia="zh-CN"/>
        </w:rPr>
        <w:t>1.针对非公开发行证券</w:t>
      </w:r>
      <w:bookmarkEnd w:id="48"/>
      <w:r>
        <w:rPr>
          <w:rFonts w:hint="eastAsia" w:ascii="Times New Roman" w:hAnsi="Times New Roman"/>
          <w:lang w:val="en-US" w:eastAsia="zh-CN"/>
        </w:rPr>
        <w:t>的适用</w:t>
      </w:r>
      <w:bookmarkEnd w:id="49"/>
    </w:p>
    <w:p w14:paraId="4CD72FE6">
      <w:pPr>
        <w:bidi w:val="0"/>
        <w:rPr>
          <w:rFonts w:hint="eastAsia" w:ascii="Times New Roman" w:hAnsi="Times New Roman"/>
          <w:b w:val="0"/>
          <w:bCs w:val="0"/>
          <w:color w:val="000000" w:themeColor="text1"/>
          <w:lang w:val="en-US" w:eastAsia="zh-CN"/>
          <w14:textFill>
            <w14:solidFill>
              <w14:schemeClr w14:val="tx1"/>
            </w14:solidFill>
          </w14:textFill>
        </w:rPr>
      </w:pPr>
      <w:r>
        <w:rPr>
          <w:rFonts w:hint="eastAsia" w:ascii="Times New Roman" w:hAnsi="Times New Roman"/>
          <w:b w:val="0"/>
          <w:bCs w:val="0"/>
          <w:color w:val="000000" w:themeColor="text1"/>
          <w:lang w:val="en-US" w:eastAsia="zh-CN"/>
          <w14:textFill>
            <w14:solidFill>
              <w14:schemeClr w14:val="tx1"/>
            </w14:solidFill>
          </w14:textFill>
        </w:rPr>
        <w:t>非公开发行证券，即定向增发的投资者通常是专业的机构投资者，如私募基金、信托计划等，他们参与的是“面对面”的协议谈判，而非通过集中竞价系统进行匿名交易。</w:t>
      </w:r>
      <w:r>
        <w:rPr>
          <w:rStyle w:val="22"/>
          <w:rFonts w:hint="eastAsia" w:ascii="Times New Roman" w:hAnsi="Times New Roman"/>
          <w:b w:val="0"/>
          <w:bCs w:val="0"/>
          <w:color w:val="000000" w:themeColor="text1"/>
          <w:lang w:val="en-US" w:eastAsia="zh-CN"/>
          <w14:textFill>
            <w14:solidFill>
              <w14:schemeClr w14:val="tx1"/>
            </w14:solidFill>
          </w14:textFill>
        </w:rPr>
        <w:footnoteReference w:id="45"/>
      </w:r>
      <w:r>
        <w:rPr>
          <w:rFonts w:hint="eastAsia" w:ascii="Times New Roman" w:hAnsi="Times New Roman"/>
          <w:b w:val="0"/>
          <w:bCs w:val="0"/>
          <w:color w:val="000000" w:themeColor="text1"/>
          <w:lang w:val="en-US" w:eastAsia="zh-CN"/>
          <w14:textFill>
            <w14:solidFill>
              <w14:schemeClr w14:val="tx1"/>
            </w14:solidFill>
          </w14:textFill>
        </w:rPr>
        <w:t>在这种情形下，欺诈市场理论所依赖的“市场”基础其实是不存在的。对投资者来说，股价并不是他们做决策时的唯一依据；他们往往可以直接接触到发行人的管理层，开展尽职调查，还能通过签署对赌协议、回购条款之类的方式，来对冲一部分投资风险。</w:t>
      </w:r>
    </w:p>
    <w:p w14:paraId="51EBE07B">
      <w:pPr>
        <w:bidi w:val="0"/>
        <w:rPr>
          <w:rFonts w:hint="default" w:ascii="Times New Roman" w:hAnsi="Times New Roman" w:eastAsia="宋体"/>
          <w:lang w:val="en-US" w:eastAsia="zh-CN"/>
        </w:rPr>
      </w:pPr>
      <w:r>
        <w:rPr>
          <w:rFonts w:hint="eastAsia" w:ascii="Times New Roman" w:hAnsi="Times New Roman"/>
          <w:b w:val="0"/>
          <w:bCs w:val="0"/>
          <w:color w:val="000000" w:themeColor="text1"/>
          <w:lang w:val="en-US" w:eastAsia="zh-CN"/>
          <w14:textFill>
            <w14:solidFill>
              <w14:schemeClr w14:val="tx1"/>
            </w14:solidFill>
          </w14:textFill>
        </w:rPr>
        <w:t>这一点在（2024）豫民终86号案中体现得很清楚。该案法院明确指出，参与定向增发的机构投资者，“应负有更高的专业注意义务”，而且因为有保障性承诺的存在，投资者的交易决策并不是建立在合理信赖公开披露信息的基础之上的。</w:t>
      </w:r>
      <w:r>
        <w:rPr>
          <w:rStyle w:val="22"/>
          <w:rFonts w:hint="eastAsia" w:ascii="Times New Roman" w:hAnsi="Times New Roman"/>
          <w:b w:val="0"/>
          <w:bCs w:val="0"/>
          <w:color w:val="000000" w:themeColor="text1"/>
          <w:lang w:val="en-US" w:eastAsia="zh-CN"/>
          <w14:textFill>
            <w14:solidFill>
              <w14:schemeClr w14:val="tx1"/>
            </w14:solidFill>
          </w14:textFill>
        </w:rPr>
        <w:footnoteReference w:id="46"/>
      </w:r>
      <w:r>
        <w:rPr>
          <w:rFonts w:hint="eastAsia" w:ascii="Times New Roman" w:hAnsi="Times New Roman"/>
          <w:b w:val="0"/>
          <w:bCs w:val="0"/>
          <w:color w:val="000000" w:themeColor="text1"/>
          <w:lang w:val="en-US" w:eastAsia="zh-CN"/>
          <w14:textFill>
            <w14:solidFill>
              <w14:schemeClr w14:val="tx1"/>
            </w14:solidFill>
          </w14:textFill>
        </w:rPr>
        <w:t>但反过来，在另一些案子里，比如（2023）鲁民终356号案，法院对银行投资非公开定向债务融资工具的行为，却仍然适用了信赖推定原则，认定银行的认购决策是依赖于发行协议内容的。</w:t>
      </w:r>
      <w:r>
        <w:rPr>
          <w:rStyle w:val="22"/>
          <w:rFonts w:hint="eastAsia" w:ascii="Times New Roman" w:hAnsi="Times New Roman"/>
          <w:color w:val="000000" w:themeColor="text1"/>
          <w:lang w:val="en-US" w:eastAsia="zh-CN"/>
          <w14:textFill>
            <w14:solidFill>
              <w14:schemeClr w14:val="tx1"/>
            </w14:solidFill>
          </w14:textFill>
        </w:rPr>
        <w:footnoteReference w:id="47"/>
      </w:r>
    </w:p>
    <w:p w14:paraId="61377F3D">
      <w:pPr>
        <w:rPr>
          <w:rFonts w:ascii="Times New Roman" w:hAnsi="Times New Roman"/>
        </w:rPr>
      </w:pPr>
      <w:r>
        <w:rPr>
          <w:rFonts w:ascii="Times New Roman" w:hAnsi="Times New Roman"/>
        </w:rPr>
        <w:br w:type="page"/>
      </w:r>
    </w:p>
    <w:p w14:paraId="2C4D4AB5">
      <w:pPr>
        <w:pStyle w:val="27"/>
        <w:bidi w:val="0"/>
        <w:rPr>
          <w:rFonts w:hint="eastAsia" w:ascii="Times New Roman" w:hAnsi="Times New Roman"/>
          <w:lang w:val="en-US" w:eastAsia="zh-CN"/>
        </w:rPr>
      </w:pPr>
      <w:r>
        <w:rPr>
          <w:rFonts w:hint="eastAsia" w:ascii="Times New Roman" w:hAnsi="Times New Roman"/>
          <w:lang w:val="en-US" w:eastAsia="zh-CN"/>
        </w:rPr>
        <w:t>表3 （2024）豫民终86号案和（2025）藏民终17号案二审法院的不同意见</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0"/>
        <w:gridCol w:w="7552"/>
      </w:tblGrid>
      <w:tr w14:paraId="73491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dxa"/>
          </w:tcPr>
          <w:p w14:paraId="02A9BEFA">
            <w:pPr>
              <w:bidi w:val="0"/>
              <w:ind w:left="0" w:leftChars="0" w:firstLine="0" w:firstLineChars="0"/>
              <w:jc w:val="cente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b w:val="0"/>
                <w:bCs w:val="0"/>
                <w:color w:val="000000" w:themeColor="text1"/>
                <w:sz w:val="21"/>
                <w:szCs w:val="21"/>
                <w:vertAlign w:val="baseline"/>
                <w:lang w:val="en-US" w:eastAsia="zh-CN"/>
                <w14:textFill>
                  <w14:solidFill>
                    <w14:schemeClr w14:val="tx1"/>
                  </w14:solidFill>
                </w14:textFill>
              </w:rPr>
              <w:t>案号</w:t>
            </w:r>
          </w:p>
        </w:tc>
        <w:tc>
          <w:tcPr>
            <w:tcW w:w="7552" w:type="dxa"/>
          </w:tcPr>
          <w:p w14:paraId="311F5AAE">
            <w:pPr>
              <w:bidi w:val="0"/>
              <w:ind w:left="0" w:leftChars="0" w:firstLine="0" w:firstLineChars="0"/>
              <w:jc w:val="cente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b w:val="0"/>
                <w:bCs w:val="0"/>
                <w:color w:val="000000" w:themeColor="text1"/>
                <w:sz w:val="21"/>
                <w:szCs w:val="21"/>
                <w:vertAlign w:val="baseline"/>
                <w:lang w:val="en-US" w:eastAsia="zh-CN"/>
                <w14:textFill>
                  <w14:solidFill>
                    <w14:schemeClr w14:val="tx1"/>
                  </w14:solidFill>
                </w14:textFill>
              </w:rPr>
              <w:t>法院观点</w:t>
            </w:r>
          </w:p>
        </w:tc>
      </w:tr>
      <w:tr w14:paraId="0A318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dxa"/>
            <w:vAlign w:val="center"/>
          </w:tcPr>
          <w:p w14:paraId="2BCE3E3C">
            <w:pPr>
              <w:bidi w:val="0"/>
              <w:ind w:left="0" w:leftChars="0" w:firstLine="0" w:firstLineChars="0"/>
              <w:jc w:val="both"/>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b w:val="0"/>
                <w:bCs w:val="0"/>
                <w:color w:val="000000" w:themeColor="text1"/>
                <w:sz w:val="21"/>
                <w:szCs w:val="21"/>
                <w:lang w:val="en-US" w:eastAsia="zh-CN"/>
                <w14:textFill>
                  <w14:solidFill>
                    <w14:schemeClr w14:val="tx1"/>
                  </w14:solidFill>
                </w14:textFill>
              </w:rPr>
              <w:t>（2024）豫民终86号</w:t>
            </w:r>
          </w:p>
        </w:tc>
        <w:tc>
          <w:tcPr>
            <w:tcW w:w="7552" w:type="dxa"/>
          </w:tcPr>
          <w:p w14:paraId="3607F581">
            <w:pPr>
              <w:bidi w:val="0"/>
              <w:ind w:left="0" w:leftChars="0" w:firstLine="420" w:firstLineChars="200"/>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从义务上看，</w:t>
            </w:r>
            <w:r>
              <w:rPr>
                <w:rFonts w:hint="default" w:ascii="Times New Roman" w:hAnsi="Times New Roman"/>
                <w:b/>
                <w:bCs/>
                <w:color w:val="000000" w:themeColor="text1"/>
                <w:sz w:val="21"/>
                <w:szCs w:val="21"/>
                <w:vertAlign w:val="baseline"/>
                <w:lang w:val="en-US" w:eastAsia="zh-CN"/>
                <w14:textFill>
                  <w14:solidFill>
                    <w14:schemeClr w14:val="tx1"/>
                  </w14:solidFill>
                </w14:textFill>
              </w:rPr>
              <w:t>湖北某科技公司系私募基金备案的股权投资基金，且参与的是洛阳某甲有限公司的定向发行</w:t>
            </w: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，《投资合同书》第2.1条也约定湖北某科技公司应获取认可的尽职调查报告。</w:t>
            </w:r>
            <w:r>
              <w:rPr>
                <w:rFonts w:hint="default" w:ascii="Times New Roman" w:hAnsi="Times New Roman"/>
                <w:b/>
                <w:bCs/>
                <w:color w:val="000000" w:themeColor="text1"/>
                <w:sz w:val="21"/>
                <w:szCs w:val="21"/>
                <w:vertAlign w:val="baseline"/>
                <w:lang w:val="en-US" w:eastAsia="zh-CN"/>
                <w14:textFill>
                  <w14:solidFill>
                    <w14:schemeClr w14:val="tx1"/>
                  </w14:solidFill>
                </w14:textFill>
              </w:rPr>
              <w:t>湖北某科技公司作为具有专业性的投资机构，参与定向发行的“面对面”交易，应对洛阳某甲有限公司的情况进行了解</w:t>
            </w: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，但湖北某科技公司未能提交相关证据。</w:t>
            </w:r>
          </w:p>
          <w:p w14:paraId="28F59F12">
            <w:pPr>
              <w:bidi w:val="0"/>
              <w:ind w:left="0" w:leftChars="0" w:firstLine="420" w:firstLineChars="200"/>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考虑到湖北某科技公司交易决策时间、洛阳某甲有限公司此前已披露的风险情况、湖北某科技公司交易情况、他案主张情况、湖北某科技公司举证情况，</w:t>
            </w:r>
            <w:r>
              <w:rPr>
                <w:rFonts w:hint="default" w:ascii="Times New Roman" w:hAnsi="Times New Roman"/>
                <w:b/>
                <w:bCs/>
                <w:color w:val="000000" w:themeColor="text1"/>
                <w:sz w:val="21"/>
                <w:szCs w:val="21"/>
                <w:vertAlign w:val="baseline"/>
                <w:lang w:val="en-US" w:eastAsia="zh-CN"/>
                <w14:textFill>
                  <w14:solidFill>
                    <w14:schemeClr w14:val="tx1"/>
                  </w14:solidFill>
                </w14:textFill>
              </w:rPr>
              <w:t>湖北某科技公司参与洛阳某甲有限公司定向发行的交易决策与其主张的虚假陈述行为之间不具有因果关系</w:t>
            </w: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w:t>
            </w:r>
          </w:p>
        </w:tc>
      </w:tr>
      <w:tr w14:paraId="432E1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trPr>
        <w:tc>
          <w:tcPr>
            <w:tcW w:w="970" w:type="dxa"/>
            <w:vAlign w:val="center"/>
          </w:tcPr>
          <w:p w14:paraId="2904740E">
            <w:pPr>
              <w:bidi w:val="0"/>
              <w:ind w:left="0" w:leftChars="0" w:firstLine="0" w:firstLineChars="0"/>
              <w:jc w:val="both"/>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b w:val="0"/>
                <w:bCs w:val="0"/>
                <w:color w:val="000000" w:themeColor="text1"/>
                <w:sz w:val="21"/>
                <w:szCs w:val="21"/>
                <w:vertAlign w:val="baseline"/>
                <w:lang w:val="en-US" w:eastAsia="zh-CN"/>
                <w14:textFill>
                  <w14:solidFill>
                    <w14:schemeClr w14:val="tx1"/>
                  </w14:solidFill>
                </w14:textFill>
              </w:rPr>
              <w:t>（</w:t>
            </w: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2023</w:t>
            </w:r>
            <w:r>
              <w:rPr>
                <w:rFonts w:hint="eastAsia" w:ascii="Times New Roman" w:hAnsi="Times New Roman"/>
                <w:b w:val="0"/>
                <w:bCs w:val="0"/>
                <w:color w:val="000000" w:themeColor="text1"/>
                <w:sz w:val="21"/>
                <w:szCs w:val="21"/>
                <w:vertAlign w:val="baseline"/>
                <w:lang w:val="en-US" w:eastAsia="zh-CN"/>
                <w14:textFill>
                  <w14:solidFill>
                    <w14:schemeClr w14:val="tx1"/>
                  </w14:solidFill>
                </w14:textFill>
              </w:rPr>
              <w:t>）</w:t>
            </w: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鲁民终356号</w:t>
            </w:r>
          </w:p>
        </w:tc>
        <w:tc>
          <w:tcPr>
            <w:tcW w:w="7552" w:type="dxa"/>
          </w:tcPr>
          <w:p w14:paraId="03EBD87A">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首先，</w:t>
            </w:r>
            <w:r>
              <w:rPr>
                <w:rFonts w:hint="eastAsia" w:ascii="Times New Roman" w:hAnsi="Times New Roman"/>
                <w:b w:val="0"/>
                <w:bCs w:val="0"/>
                <w:color w:val="000000" w:themeColor="text1"/>
                <w:sz w:val="21"/>
                <w:szCs w:val="21"/>
                <w:vertAlign w:val="baseline"/>
                <w:lang w:val="en-US" w:eastAsia="zh-CN"/>
                <w14:textFill>
                  <w14:solidFill>
                    <w14:schemeClr w14:val="tx1"/>
                  </w14:solidFill>
                </w14:textFill>
              </w:rPr>
              <w:t>依据2022年虚假陈述解释</w:t>
            </w: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第十一条规定可知，证券虚假陈述责任纠纷案件中，如原告能够证明信息披露义务人实施了虚假陈述、原告交易的是与虚假陈述直接关联的证券且原告在虚假陈述实施日之后、揭露日或更正日之前实施了相应的交易行为，</w:t>
            </w:r>
            <w:r>
              <w:rPr>
                <w:rFonts w:hint="default" w:ascii="Times New Roman" w:hAnsi="Times New Roman"/>
                <w:b/>
                <w:bCs/>
                <w:color w:val="000000" w:themeColor="text1"/>
                <w:sz w:val="21"/>
                <w:szCs w:val="21"/>
                <w:vertAlign w:val="baseline"/>
                <w:lang w:val="en-US" w:eastAsia="zh-CN"/>
                <w14:textFill>
                  <w14:solidFill>
                    <w14:schemeClr w14:val="tx1"/>
                  </w14:solidFill>
                </w14:textFill>
              </w:rPr>
              <w:t>法院即可推定原告的投资决定与虚假陈述之间的交易因果关系成立，而未区分原告是否系专业投资者</w:t>
            </w: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w:t>
            </w:r>
          </w:p>
          <w:p w14:paraId="79BF3CDE">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本案某某鑫牛系通过金某大</w:t>
            </w:r>
            <w:r>
              <w:rPr>
                <w:rFonts w:hint="default" w:ascii="Times New Roman" w:hAnsi="Times New Roman"/>
                <w:b/>
                <w:bCs/>
                <w:color w:val="000000" w:themeColor="text1"/>
                <w:sz w:val="21"/>
                <w:szCs w:val="21"/>
                <w:vertAlign w:val="baseline"/>
                <w:lang w:val="en-US" w:eastAsia="zh-CN"/>
                <w14:textFill>
                  <w14:solidFill>
                    <w14:schemeClr w14:val="tx1"/>
                  </w14:solidFill>
                </w14:textFill>
              </w:rPr>
              <w:t>非公开发行股份收购某某鑫牛持有的金某大农投股权的方式而持有金某大股份，虽有其特殊性，但其本质上仍是一种交易行为</w:t>
            </w: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。某某建投等主张本案不适用于上述规定，没有依据，不符合上述规定的立法本意。</w:t>
            </w:r>
          </w:p>
          <w:p w14:paraId="23F2D17F">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本案某某鑫牛是于虚假陈述实施日2016年3月29日之后、揭露日2019年4月30日之前的2018年买入案涉金某大股份，并且买入价格是以2018年1月25日前60个交易日金某大股票交易价格均价作为参考价，该价格已受到案涉虚假陈述的影响，根据上述规定，</w:t>
            </w:r>
            <w:r>
              <w:rPr>
                <w:rFonts w:hint="default" w:ascii="Times New Roman" w:hAnsi="Times New Roman"/>
                <w:b/>
                <w:bCs/>
                <w:color w:val="000000" w:themeColor="text1"/>
                <w:sz w:val="21"/>
                <w:szCs w:val="21"/>
                <w:vertAlign w:val="baseline"/>
                <w:lang w:val="en-US" w:eastAsia="zh-CN"/>
                <w14:textFill>
                  <w14:solidFill>
                    <w14:schemeClr w14:val="tx1"/>
                  </w14:solidFill>
                </w14:textFill>
              </w:rPr>
              <w:t>可以推定某某鑫牛的投资决定与案涉虚假陈述之间存在交易因果关系</w:t>
            </w:r>
            <w:r>
              <w:rPr>
                <w:rFonts w:hint="default" w:ascii="Times New Roman" w:hAnsi="Times New Roman"/>
                <w:b w:val="0"/>
                <w:bCs w:val="0"/>
                <w:color w:val="000000" w:themeColor="text1"/>
                <w:sz w:val="21"/>
                <w:szCs w:val="21"/>
                <w:vertAlign w:val="baseline"/>
                <w:lang w:val="en-US" w:eastAsia="zh-CN"/>
                <w14:textFill>
                  <w14:solidFill>
                    <w14:schemeClr w14:val="tx1"/>
                  </w14:solidFill>
                </w14:textFill>
              </w:rPr>
              <w:t>。</w:t>
            </w:r>
          </w:p>
        </w:tc>
      </w:tr>
    </w:tbl>
    <w:p w14:paraId="16ED578B">
      <w:pPr>
        <w:bidi w:val="0"/>
        <w:rPr>
          <w:rFonts w:hint="eastAsia" w:ascii="Times New Roman" w:hAnsi="Times New Roman"/>
          <w:b w:val="0"/>
          <w:bCs w:val="0"/>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这种裁判尺度不一的现象，源于2022年虚假陈述解释并没有明确将定向发行排除在交易因果关系推定的适用范围之外。</w:t>
      </w:r>
      <w:r>
        <w:rPr>
          <w:rFonts w:hint="eastAsia" w:ascii="Times New Roman" w:hAnsi="Times New Roman"/>
          <w:b w:val="0"/>
          <w:bCs w:val="0"/>
          <w:color w:val="000000" w:themeColor="text1"/>
          <w:lang w:val="en-US" w:eastAsia="zh-CN"/>
          <w14:textFill>
            <w14:solidFill>
              <w14:schemeClr w14:val="tx1"/>
            </w14:solidFill>
          </w14:textFill>
        </w:rPr>
        <w:t>立法层面似乎忽略了定向发行和公开发行之间一个本质上的区别：在定向发行中，价格往往是双方协商确定的，而不是市场博弈的结果；信息传递是点对点的，不是通过公开市场来扩散的。既然如此，要判断虚假陈述到底对投资者的决策起了多大作用，理应由原告自己去举证证明——证明他确实实际信赖了那条虚假信息，而不是由法律来替他做一个概括的推定。</w:t>
      </w:r>
    </w:p>
    <w:p w14:paraId="36E37360">
      <w:pPr>
        <w:bidi w:val="0"/>
        <w:rPr>
          <w:rFonts w:hint="eastAsia" w:ascii="Times New Roman" w:hAnsi="Times New Roman"/>
          <w:b w:val="0"/>
          <w:bCs w:val="0"/>
          <w:color w:val="000000" w:themeColor="text1"/>
          <w:lang w:val="en-US" w:eastAsia="zh-CN"/>
          <w14:textFill>
            <w14:solidFill>
              <w14:schemeClr w14:val="tx1"/>
            </w14:solidFill>
          </w14:textFill>
        </w:rPr>
      </w:pPr>
      <w:r>
        <w:rPr>
          <w:rFonts w:hint="eastAsia" w:ascii="Times New Roman" w:hAnsi="Times New Roman"/>
          <w:b w:val="0"/>
          <w:bCs w:val="0"/>
          <w:color w:val="000000" w:themeColor="text1"/>
          <w:lang w:val="en-US" w:eastAsia="zh-CN"/>
          <w14:textFill>
            <w14:solidFill>
              <w14:schemeClr w14:val="tx1"/>
            </w14:solidFill>
          </w14:textFill>
        </w:rPr>
        <w:t>目前这种不加区分的做法，带来的后果不只是把“买者自负”这一金融基本原则给架空了，更有可能让那些信息优势和谈判能力都比较强的专业投资者，在投资失败之后，把原本该自己承担的风险，一概转嫁给发行人和中介机构。这显然有违公平原则。</w:t>
      </w:r>
    </w:p>
    <w:p w14:paraId="74B4083D">
      <w:pPr>
        <w:pStyle w:val="4"/>
        <w:bidi w:val="0"/>
        <w:rPr>
          <w:rFonts w:hint="default" w:ascii="Times New Roman" w:hAnsi="Times New Roman"/>
          <w:lang w:val="en-US" w:eastAsia="zh-CN"/>
        </w:rPr>
      </w:pPr>
      <w:bookmarkStart w:id="50" w:name="_Toc8782"/>
      <w:bookmarkStart w:id="51" w:name="_Toc31543"/>
      <w:r>
        <w:rPr>
          <w:rFonts w:hint="eastAsia" w:ascii="Times New Roman" w:hAnsi="Times New Roman"/>
          <w:lang w:val="en-US" w:eastAsia="zh-CN"/>
        </w:rPr>
        <w:t>2.针对非有效交易市场</w:t>
      </w:r>
      <w:bookmarkEnd w:id="50"/>
      <w:r>
        <w:rPr>
          <w:rFonts w:hint="eastAsia" w:ascii="Times New Roman" w:hAnsi="Times New Roman"/>
          <w:lang w:val="en-US" w:eastAsia="zh-CN"/>
        </w:rPr>
        <w:t>中证券的适用</w:t>
      </w:r>
      <w:bookmarkEnd w:id="51"/>
    </w:p>
    <w:p w14:paraId="048884B2">
      <w:pPr>
        <w:bidi w:val="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面对一个并非有效的交易市场，司法实践里仍然“一刀切”地适用“信赖推定”原则。但要知道，这个原则的核心前提是“有效市场假说”——也就是说，市场价格得能够比较充分地反映出所有公开信息才行。</w:t>
      </w:r>
      <w:r>
        <w:rPr>
          <w:rStyle w:val="22"/>
          <w:rFonts w:hint="eastAsia" w:ascii="Times New Roman" w:hAnsi="Times New Roman"/>
          <w:color w:val="000000" w:themeColor="text1"/>
          <w:lang w:val="en-US" w:eastAsia="zh-CN"/>
          <w14:textFill>
            <w14:solidFill>
              <w14:schemeClr w14:val="tx1"/>
            </w14:solidFill>
          </w14:textFill>
        </w:rPr>
        <w:footnoteReference w:id="48"/>
      </w:r>
      <w:r>
        <w:rPr>
          <w:rFonts w:hint="eastAsia" w:ascii="Times New Roman" w:hAnsi="Times New Roman"/>
          <w:color w:val="000000" w:themeColor="text1"/>
          <w:lang w:val="en-US" w:eastAsia="zh-CN"/>
          <w14:textFill>
            <w14:solidFill>
              <w14:schemeClr w14:val="tx1"/>
            </w14:solidFill>
          </w14:textFill>
        </w:rPr>
        <w:t>正因为有这个前提在那撑着，投资者对市场价格的“信赖”，才能被法律拟制为他对虚假陈述的信赖。可问题是，我国的证券市场是有多层结构的，不光是沪深交易所的主板、科创板和创业板，还有新三板以及各地的股权交易中心。这些市场之间，无论是流动性强弱、信息披露质量高低，还是投资者适当性门槛的大小，都存在本质上的差别。就拿新三板来说，普遍交易不活跃、换手率低，做市商制度和竞价交易并存，它的市场价格发现功能远远弱于主板市场。</w:t>
      </w:r>
    </w:p>
    <w:p w14:paraId="23567482">
      <w:pPr>
        <w:bidi w:val="0"/>
        <w:rPr>
          <w:rFonts w:hint="default"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比如在（2023）苏民终6号案</w:t>
      </w:r>
      <w:r>
        <w:rPr>
          <w:rStyle w:val="22"/>
          <w:rFonts w:hint="eastAsia" w:ascii="Times New Roman" w:hAnsi="Times New Roman"/>
          <w:color w:val="000000" w:themeColor="text1"/>
          <w:lang w:val="en-US" w:eastAsia="zh-CN"/>
          <w14:textFill>
            <w14:solidFill>
              <w14:schemeClr w14:val="tx1"/>
            </w14:solidFill>
          </w14:textFill>
        </w:rPr>
        <w:footnoteReference w:id="49"/>
      </w:r>
      <w:r>
        <w:rPr>
          <w:rFonts w:hint="eastAsia" w:ascii="Times New Roman" w:hAnsi="Times New Roman"/>
          <w:color w:val="000000" w:themeColor="text1"/>
          <w:lang w:val="en-US" w:eastAsia="zh-CN"/>
          <w14:textFill>
            <w14:solidFill>
              <w14:schemeClr w14:val="tx1"/>
            </w14:solidFill>
          </w14:textFill>
        </w:rPr>
        <w:t>和（2023）苏民终1号案</w:t>
      </w:r>
      <w:r>
        <w:rPr>
          <w:rStyle w:val="22"/>
          <w:rFonts w:hint="eastAsia" w:ascii="Times New Roman" w:hAnsi="Times New Roman"/>
          <w:color w:val="000000" w:themeColor="text1"/>
          <w:lang w:val="en-US" w:eastAsia="zh-CN"/>
          <w14:textFill>
            <w14:solidFill>
              <w14:schemeClr w14:val="tx1"/>
            </w14:solidFill>
          </w14:textFill>
        </w:rPr>
        <w:footnoteReference w:id="50"/>
      </w:r>
      <w:r>
        <w:rPr>
          <w:rFonts w:hint="eastAsia" w:ascii="Times New Roman" w:hAnsi="Times New Roman"/>
          <w:color w:val="000000" w:themeColor="text1"/>
          <w:lang w:val="en-US" w:eastAsia="zh-CN"/>
          <w14:textFill>
            <w14:solidFill>
              <w14:schemeClr w14:val="tx1"/>
            </w14:solidFill>
          </w14:textFill>
        </w:rPr>
        <w:t>里，法院在处理新三板虚假陈述案件的时候，虽然最终还是认定了因果关系，但在确定基准日时因无法适用集中竞价的换手率标准，最终不得不靠各方协商，或者由法院酌情拍板。这本身就说明了一个问题：规则原本是按主板市场的特征设计的，却要在新三板市场上照搬使用。广东省高级人民法院在某投资公司诉某新三板挂牌公司证券虚假陈述责任纠纷案中也明确，应根据新三板市场的功能定位，考察新三板证券价格形成、变动情况，结合发行人与投资者特点，依法确定因果关系的认定要件，不可盲目直接地适用2022年虚假陈述司法解释规定的交易因果关系推定规则。</w:t>
      </w:r>
      <w:r>
        <w:rPr>
          <w:rStyle w:val="22"/>
          <w:rFonts w:hint="eastAsia" w:ascii="Times New Roman" w:hAnsi="Times New Roman"/>
          <w:color w:val="000000" w:themeColor="text1"/>
          <w:lang w:val="en-US" w:eastAsia="zh-CN"/>
          <w14:textFill>
            <w14:solidFill>
              <w14:schemeClr w14:val="tx1"/>
            </w14:solidFill>
          </w14:textFill>
        </w:rPr>
        <w:footnoteReference w:id="51"/>
      </w:r>
    </w:p>
    <w:p w14:paraId="2F6961E1">
      <w:pPr>
        <w:bidi w:val="0"/>
        <w:rPr>
          <w:rFonts w:hint="eastAsia" w:ascii="Times New Roman" w:hAnsi="Times New Roman"/>
          <w:b w:val="0"/>
          <w:bCs w:val="0"/>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再说，对于那些以协议转让或做市交易为主的新三板个股，它的股价是否能真实反映公司价值，又是否能作为投资者“信赖”的客观载体，均存疑。</w:t>
      </w:r>
      <w:r>
        <w:rPr>
          <w:rFonts w:hint="eastAsia" w:ascii="Times New Roman" w:hAnsi="Times New Roman"/>
          <w:b w:val="0"/>
          <w:bCs w:val="0"/>
          <w:color w:val="000000" w:themeColor="text1"/>
          <w:lang w:val="en-US" w:eastAsia="zh-CN"/>
          <w14:textFill>
            <w14:solidFill>
              <w14:schemeClr w14:val="tx1"/>
            </w14:solidFill>
          </w14:textFill>
        </w:rPr>
        <w:t>一个流动性极差、由少数做市商定价的股票，其价格更容易受到操纵，也更容易偏离其“真实价值”。此时，如果依然不加区分地推定所有在实施日后买入的投资者都具有交易因果关系，逻辑上并不合理。</w:t>
      </w:r>
    </w:p>
    <w:p w14:paraId="69687B49">
      <w:pPr>
        <w:pStyle w:val="4"/>
        <w:bidi w:val="0"/>
        <w:rPr>
          <w:rFonts w:hint="default" w:ascii="Times New Roman" w:hAnsi="Times New Roman"/>
          <w:lang w:val="en-US" w:eastAsia="zh-CN"/>
        </w:rPr>
      </w:pPr>
      <w:bookmarkStart w:id="52" w:name="_Toc24272"/>
      <w:bookmarkStart w:id="53" w:name="_Toc20491"/>
      <w:r>
        <w:rPr>
          <w:rFonts w:hint="eastAsia" w:ascii="Times New Roman" w:hAnsi="Times New Roman"/>
          <w:lang w:val="en-US" w:eastAsia="zh-CN"/>
        </w:rPr>
        <w:t>3.针对发行市场</w:t>
      </w:r>
      <w:bookmarkEnd w:id="52"/>
      <w:r>
        <w:rPr>
          <w:rFonts w:hint="eastAsia" w:ascii="Times New Roman" w:hAnsi="Times New Roman"/>
          <w:lang w:val="en-US" w:eastAsia="zh-CN"/>
        </w:rPr>
        <w:t>中证券的适用</w:t>
      </w:r>
      <w:bookmarkEnd w:id="53"/>
    </w:p>
    <w:p w14:paraId="50B90FDA">
      <w:pPr>
        <w:bidi w:val="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目前，我国在司法实践中处理证券虚假陈述责任时，普遍采取一种“一元模式”——也就是不区分发行市场与交易市场，统一适用同一套责任认定规则。这种做法导致欺诈发行侵权责任的规范构成要素被过度简化，而对交易市场来说，又可能造成责任适用的过度扩张，忽略了虚假陈述在不同市场阶段对投资者决策影响的本质差异。</w:t>
      </w:r>
      <w:r>
        <w:rPr>
          <w:rStyle w:val="22"/>
          <w:rFonts w:hint="eastAsia" w:ascii="Times New Roman" w:hAnsi="Times New Roman"/>
          <w:color w:val="000000" w:themeColor="text1"/>
          <w:lang w:val="en-US" w:eastAsia="zh-CN"/>
          <w14:textFill>
            <w14:solidFill>
              <w14:schemeClr w14:val="tx1"/>
            </w14:solidFill>
          </w14:textFill>
        </w:rPr>
        <w:footnoteReference w:id="52"/>
      </w:r>
    </w:p>
    <w:p w14:paraId="776F3ECB">
      <w:pPr>
        <w:bidi w:val="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按照传统侵权法的基本理论，责任成立的因果关系与责任范围的因果关系，应当是分层加以判断的。</w:t>
      </w:r>
      <w:r>
        <w:rPr>
          <w:rStyle w:val="22"/>
          <w:rFonts w:hint="eastAsia" w:ascii="Times New Roman" w:hAnsi="Times New Roman"/>
          <w:color w:val="000000" w:themeColor="text1"/>
          <w:u w:val="none"/>
          <w:lang w:val="en-US" w:eastAsia="zh-CN"/>
          <w14:textFill>
            <w14:solidFill>
              <w14:schemeClr w14:val="tx1"/>
            </w14:solidFill>
          </w14:textFill>
        </w:rPr>
        <w:footnoteReference w:id="53"/>
      </w:r>
      <w:r>
        <w:rPr>
          <w:rFonts w:hint="eastAsia" w:ascii="Times New Roman" w:hAnsi="Times New Roman"/>
          <w:color w:val="000000" w:themeColor="text1"/>
          <w:lang w:val="en-US" w:eastAsia="zh-CN"/>
          <w14:textFill>
            <w14:solidFill>
              <w14:schemeClr w14:val="tx1"/>
            </w14:solidFill>
          </w14:textFill>
        </w:rPr>
        <w:t>在证券领域，把这两个层次区分开，显得尤为重要。因为在交易市场里，投资者彼此之间是匿名的、不特定的，他们的交易决策主要依赖于市场上公开的价格信息。正因如此，美国法才发展出了“欺诈市场理论”和“信赖推定原则”，目的就是为了缓解投资者在举证上遇到的困难。我国2022年虚假陈述解释第十一条，也采纳了这一思路，明确规定：只要投资者是在虚假陈述实施日之后、揭露日之前买入了相关证券，法院就可以推定交易因果关系成立。</w:t>
      </w:r>
    </w:p>
    <w:p w14:paraId="6E2B22F9">
      <w:pPr>
        <w:bidi w:val="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然而，这套逻辑放到发行市场，尤其是首次公开发行的环境里，就难以完全适用了。因为在发行市场上，投资者和发行人之间存在着相对直接的沟通渠道，投资者做出认购决策，更多是依赖招股说明书这类法定披露文件，而不是像在二级市场上那样，依据实时的价格波动来做判断。尽管发行市场本身也属于“证券发行”的环节，但在司法实践中，很少有法院会真正把发行市场和交易市场的因果关系认定标准区分开来、分别对待。如果简单地把交易市场那套“信赖推定”的做法搬到发行市场，那就等于说：只要投资者在缴款日认购了股票，就可以自动推定他是被虚假陈述给误导了。这么一来，投资者本来应该承担的、证明自己确实“阅读并信赖”了虚假陈述文件的举证责任，其实就被免掉了。尤其是在发行人已经破产，或者股票价格跌破发行价的情况下，这种过于宽泛的推定，很可能会让发行人和中介机构背上远远超过其过错程度的赔偿责任。</w:t>
      </w:r>
      <w:r>
        <w:rPr>
          <w:rStyle w:val="22"/>
          <w:rFonts w:hint="eastAsia" w:ascii="Times New Roman" w:hAnsi="Times New Roman"/>
          <w:color w:val="000000" w:themeColor="text1"/>
          <w:lang w:val="en-US" w:eastAsia="zh-CN"/>
          <w14:textFill>
            <w14:solidFill>
              <w14:schemeClr w14:val="tx1"/>
            </w14:solidFill>
          </w14:textFill>
        </w:rPr>
        <w:footnoteReference w:id="54"/>
      </w:r>
    </w:p>
    <w:p w14:paraId="76C4704D">
      <w:pPr>
        <w:bidi w:val="0"/>
        <w:rPr>
          <w:rFonts w:hint="eastAsia" w:ascii="Times New Roman" w:hAnsi="Times New Roman"/>
          <w:b w:val="0"/>
          <w:bCs w:val="0"/>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2022年虚假陈述解释虽然已经把交易因果关系和损失因果关系分开来规定，但在交易因果关系的推定上，本质上还是以“价格影响”为核心的一套机械判断标准。</w:t>
      </w:r>
      <w:r>
        <w:rPr>
          <w:rStyle w:val="22"/>
          <w:rFonts w:hint="eastAsia" w:ascii="Times New Roman" w:hAnsi="Times New Roman"/>
          <w:color w:val="000000" w:themeColor="text1"/>
          <w:lang w:val="en-US" w:eastAsia="zh-CN"/>
          <w14:textFill>
            <w14:solidFill>
              <w14:schemeClr w14:val="tx1"/>
            </w14:solidFill>
          </w14:textFill>
        </w:rPr>
        <w:footnoteReference w:id="55"/>
      </w:r>
      <w:r>
        <w:rPr>
          <w:rFonts w:hint="eastAsia" w:ascii="Times New Roman" w:hAnsi="Times New Roman"/>
          <w:color w:val="000000" w:themeColor="text1"/>
          <w:lang w:val="en-US" w:eastAsia="zh-CN"/>
          <w14:textFill>
            <w14:solidFill>
              <w14:schemeClr w14:val="tx1"/>
            </w14:solidFill>
          </w14:textFill>
        </w:rPr>
        <w:t>可是，在发行市场里，认购价格往往不是发行人单方面说了算的，而是通过询价机制确定的，是多种因素相互叠加、共同作用的结果。把交易市场那种“价格影响”标准直接拿来用在发行市场，就忽略了发行定价本身的复杂性，也忽略了投资者自身其实也具备一定的专业判断能力。</w:t>
      </w:r>
    </w:p>
    <w:p w14:paraId="63293060">
      <w:pPr>
        <w:pStyle w:val="3"/>
        <w:bidi w:val="0"/>
        <w:rPr>
          <w:rFonts w:hint="default" w:ascii="Times New Roman" w:hAnsi="Times New Roman"/>
          <w:lang w:val="en-US" w:eastAsia="zh-CN"/>
        </w:rPr>
      </w:pPr>
      <w:bookmarkStart w:id="54" w:name="_Toc7916"/>
      <w:r>
        <w:rPr>
          <w:rFonts w:hint="eastAsia" w:ascii="Times New Roman" w:hAnsi="Times New Roman"/>
          <w:lang w:val="en-US" w:eastAsia="zh-CN"/>
        </w:rPr>
        <w:t>（二）损失因果关系：对第三方机构的高度依赖</w:t>
      </w:r>
      <w:bookmarkEnd w:id="54"/>
    </w:p>
    <w:p w14:paraId="3A092C1F">
      <w:pPr>
        <w:bidi w:val="0"/>
        <w:rPr>
          <w:rFonts w:hint="eastAsia" w:ascii="Times New Roman" w:hAnsi="Times New Roman"/>
          <w:b w:val="0"/>
          <w:bCs w:val="0"/>
          <w:color w:val="000000" w:themeColor="text1"/>
          <w:lang w:val="en-US" w:eastAsia="zh-CN"/>
          <w14:textFill>
            <w14:solidFill>
              <w14:schemeClr w14:val="tx1"/>
            </w14:solidFill>
          </w14:textFill>
        </w:rPr>
      </w:pPr>
      <w:r>
        <w:rPr>
          <w:rFonts w:hint="eastAsia" w:ascii="Times New Roman" w:hAnsi="Times New Roman"/>
          <w:b w:val="0"/>
          <w:bCs w:val="0"/>
          <w:color w:val="000000" w:themeColor="text1"/>
          <w:lang w:val="en-US" w:eastAsia="zh-CN"/>
          <w14:textFill>
            <w14:solidFill>
              <w14:schemeClr w14:val="tx1"/>
            </w14:solidFill>
          </w14:textFill>
        </w:rPr>
        <w:t>损失因果关系的认定，目前严重依赖第三方专业机构的“精算”技术，可法院在审查这类专业意见时，能力明显跟不上，结果就是“精算”和“斟酌”之间出现了断层。自从2022年虚假陈述解释实施以来，委托中证法律服务中心、上海高金金融研究院这类专业机构去核定损失，已经成了主流做法。这些机构所使用的“收益率曲线同步对比法”“多因子模型法”“事件分析法”等量化技术，确实能在一定程度上把系统性风险和非系统性风险从投资者的总损失里分离出来。但是法院应当发挥司法裁量的独特价值，构建专业机构“精算”与司法“斟酌”相结合的协同治理机制”。</w:t>
      </w:r>
      <w:r>
        <w:rPr>
          <w:rStyle w:val="22"/>
          <w:rFonts w:hint="eastAsia" w:ascii="Times New Roman" w:hAnsi="Times New Roman"/>
          <w:b w:val="0"/>
          <w:bCs w:val="0"/>
          <w:color w:val="000000" w:themeColor="text1"/>
          <w:lang w:val="en-US" w:eastAsia="zh-CN"/>
          <w14:textFill>
            <w14:solidFill>
              <w14:schemeClr w14:val="tx1"/>
            </w14:solidFill>
          </w14:textFill>
        </w:rPr>
        <w:footnoteReference w:id="56"/>
      </w:r>
    </w:p>
    <w:p w14:paraId="371DEA88">
      <w:pPr>
        <w:pStyle w:val="29"/>
        <w:bidi w:val="0"/>
        <w:rPr>
          <w:rFonts w:hint="default" w:ascii="Times New Roman" w:hAnsi="Times New Roman"/>
          <w:lang w:val="en-US" w:eastAsia="zh-CN"/>
        </w:rPr>
      </w:pPr>
      <w:r>
        <w:rPr>
          <w:rFonts w:hint="eastAsia" w:ascii="Times New Roman" w:hAnsi="Times New Roman"/>
          <w:lang w:val="en-US" w:eastAsia="zh-CN"/>
        </w:rPr>
        <w:t>图7 样本案例中损失因果关系的认定方法</w:t>
      </w:r>
    </w:p>
    <w:p w14:paraId="4DADD5A9">
      <w:pPr>
        <w:bidi w:val="0"/>
        <w:rPr>
          <w:rFonts w:hint="eastAsia" w:ascii="Times New Roman" w:hAnsi="Times New Roman"/>
          <w:b w:val="0"/>
          <w:bCs w:val="0"/>
          <w:color w:val="000000" w:themeColor="text1"/>
          <w:lang w:val="en-US" w:eastAsia="zh-CN"/>
          <w14:textFill>
            <w14:solidFill>
              <w14:schemeClr w14:val="tx1"/>
            </w14:solidFill>
          </w14:textFill>
        </w:rPr>
      </w:pPr>
      <w:r>
        <w:rPr>
          <w:rFonts w:hint="eastAsia" w:ascii="Times New Roman" w:hAnsi="Times New Roman"/>
          <w:b w:val="0"/>
          <w:bCs w:val="0"/>
          <w:color w:val="000000" w:themeColor="text1"/>
          <w:lang w:val="en-US" w:eastAsia="zh-CN"/>
          <w14:textFill>
            <w14:solidFill>
              <w14:schemeClr w14:val="tx1"/>
            </w14:solidFill>
          </w14:textFill>
        </w:rPr>
        <w:drawing>
          <ns3:anchor distT="0" distB="0" distL="114300" distR="114300" simplePos="0" relativeHeight="251668480" behindDoc="0" locked="0" layoutInCell="1" allowOverlap="1">
            <ns3:simplePos x="0" y="0"/>
            <ns3:positionH relativeFrom="column">
              <ns3:posOffset>-13335</ns3:posOffset>
            </ns3:positionH>
            <ns3:positionV relativeFrom="paragraph">
              <ns3:posOffset>79375</ns3:posOffset>
            </ns3:positionV>
            <ns3:extent cx="5256530" cy="2988310"/>
            <ns3:effectExtent l="0" t="0" r="1270" b="8890"/>
            <ns3:wrapTopAndBottom/>
            <ns3:docPr id="8" name="图表 8"/>
            <ns3:cNvGraphicFramePr/>
            <ns4:graphic>
              <ns4:graphicData uri="http://schemas.openxmlformats.org/drawingml/2006/chart">
                <ns11:chart r:id="rId15"/>
              </ns4:graphicData>
            </ns4:graphic>
          </ns3:anchor>
        </w:drawing>
      </w:r>
      <w:r>
        <w:rPr>
          <w:rFonts w:hint="eastAsia" w:ascii="Times New Roman" w:hAnsi="Times New Roman"/>
          <w:b w:val="0"/>
          <w:bCs w:val="0"/>
          <w:color w:val="000000" w:themeColor="text1"/>
          <w:lang w:val="en-US" w:eastAsia="zh-CN"/>
          <w14:textFill>
            <w14:solidFill>
              <w14:schemeClr w14:val="tx1"/>
            </w14:solidFill>
          </w14:textFill>
        </w:rPr>
        <w:t>可是，从86份二审判决书的实际情况来看，法院拿到专业机构的测算报告，大多是直接“全盘接收”，很少去深究计算模型怎么建的、参数怎么选的、事件窗口期怎么定的这些技术细节。尤其是在非系统性风险的认定这一块，不少法院就以“被告没能证明哪些事件独立于虚假陈述行为、对股票价格产生了明确的消极影响”为理由，直接否决了当事人关于扣除非系统性风险的主张。有学者指出，“应当回归侵权责任法律因果关系的本质，探寻造成投资者损失的最近原因关系”，而眼下这种“宽松的损失因果关系认定标准，将不利于诉讼经济”。</w:t>
      </w:r>
      <w:r>
        <w:rPr>
          <w:rStyle w:val="22"/>
          <w:rFonts w:hint="eastAsia" w:ascii="Times New Roman" w:hAnsi="Times New Roman"/>
          <w:b w:val="0"/>
          <w:bCs w:val="0"/>
          <w:color w:val="000000" w:themeColor="text1"/>
          <w:lang w:val="en-US" w:eastAsia="zh-CN"/>
          <w14:textFill>
            <w14:solidFill>
              <w14:schemeClr w14:val="tx1"/>
            </w14:solidFill>
          </w14:textFill>
        </w:rPr>
        <w:footnoteReference w:id="57"/>
      </w:r>
    </w:p>
    <w:p w14:paraId="653DE6B8">
      <w:pPr>
        <w:rPr>
          <w:rFonts w:hint="eastAsia" w:ascii="Times New Roman" w:hAnsi="Times New Roman"/>
          <w:lang w:val="en-US" w:eastAsia="zh-CN"/>
        </w:rPr>
      </w:pPr>
      <w:r>
        <w:rPr>
          <w:rFonts w:hint="eastAsia" w:ascii="Times New Roman" w:hAnsi="Times New Roman"/>
          <w:lang w:val="en-US" w:eastAsia="zh-CN"/>
        </w:rPr>
        <w:br w:type="page"/>
      </w:r>
    </w:p>
    <w:p w14:paraId="3B4E1706">
      <w:pPr>
        <w:pStyle w:val="29"/>
        <w:bidi w:val="0"/>
        <w:rPr>
          <w:rFonts w:hint="eastAsia" w:ascii="Times New Roman" w:hAnsi="Times New Roman"/>
          <w:b w:val="0"/>
          <w:bCs w:val="0"/>
          <w:color w:val="000000" w:themeColor="text1"/>
          <w:lang w:val="en-US" w:eastAsia="zh-CN"/>
          <w14:textFill>
            <w14:solidFill>
              <w14:schemeClr w14:val="tx1"/>
            </w14:solidFill>
          </w14:textFill>
        </w:rPr>
      </w:pPr>
      <w:r>
        <w:rPr>
          <w:rFonts w:hint="eastAsia" w:ascii="Times New Roman" w:hAnsi="Times New Roman"/>
          <w:lang w:val="en-US" w:eastAsia="zh-CN"/>
        </w:rPr>
        <w:t>图8 法院对专业机构报告采信情况</w:t>
      </w:r>
    </w:p>
    <w:p w14:paraId="161E394E">
      <w:pPr>
        <w:bidi w:val="0"/>
        <w:rPr>
          <w:rFonts w:hint="eastAsia" w:ascii="Times New Roman" w:hAnsi="Times New Roman"/>
          <w:b/>
          <w:bCs/>
          <w:color w:val="000000" w:themeColor="text1"/>
          <w:lang w:val="en-US" w:eastAsia="zh-CN"/>
          <w14:textFill>
            <w14:solidFill>
              <w14:schemeClr w14:val="tx1"/>
            </w14:solidFill>
          </w14:textFill>
        </w:rPr>
      </w:pPr>
      <w:r>
        <w:rPr>
          <w:rFonts w:hint="eastAsia" w:ascii="Times New Roman" w:hAnsi="Times New Roman"/>
          <w:b w:val="0"/>
          <w:bCs w:val="0"/>
          <w:color w:val="000000" w:themeColor="text1"/>
          <w:lang w:val="en-US" w:eastAsia="zh-CN"/>
          <w14:textFill>
            <w14:solidFill>
              <w14:schemeClr w14:val="tx1"/>
            </w14:solidFill>
          </w14:textFill>
        </w:rPr>
        <w:drawing>
          <ns3:anchor distT="0" distB="0" distL="114300" distR="114300" simplePos="0" relativeHeight="251669504" behindDoc="0" locked="0" layoutInCell="1" allowOverlap="1">
            <ns3:simplePos x="0" y="0"/>
            <ns3:positionH relativeFrom="column">
              <ns3:posOffset>-8890</ns3:posOffset>
            </ns3:positionH>
            <ns3:positionV relativeFrom="paragraph">
              <ns3:posOffset>13970</ns3:posOffset>
            </ns3:positionV>
            <ns3:extent cx="5256530" cy="2988310"/>
            <ns3:effectExtent l="0" t="0" r="1270" b="8890"/>
            <ns3:wrapTopAndBottom/>
            <ns3:docPr id="9" name="图表 9"/>
            <ns3:cNvGraphicFramePr/>
            <ns4:graphic>
              <ns4:graphicData uri="http://schemas.openxmlformats.org/drawingml/2006/chart">
                <ns11:chart r:id="rId16"/>
              </ns4:graphicData>
            </ns4:graphic>
          </ns3:anchor>
        </w:drawing>
      </w:r>
      <w:r>
        <w:rPr>
          <w:rFonts w:hint="eastAsia" w:ascii="Times New Roman" w:hAnsi="Times New Roman"/>
          <w:b w:val="0"/>
          <w:bCs w:val="0"/>
          <w:color w:val="000000" w:themeColor="text1"/>
          <w:lang w:val="en-US" w:eastAsia="zh-CN"/>
          <w14:textFill>
            <w14:solidFill>
              <w14:schemeClr w14:val="tx1"/>
            </w14:solidFill>
          </w14:textFill>
        </w:rPr>
        <w:t>例如，在（2025）桂民终17号案里，二审法院就推翻了原先一审法院不认非系统性风险的看法，直接点明了：上市公司发出的重大亏损、重大投资失败、股份被司法冻结这类事情，全都属于2022年虚假陈述解释第三十一条所规定的“其他因素”。同时，法院还依据专业机构用“事件分析法”算出来的28.067%这个比例，相应地扣除了虚假陈述行为人的赔偿责任。</w:t>
      </w:r>
      <w:r>
        <w:rPr>
          <w:rStyle w:val="22"/>
          <w:rFonts w:hint="eastAsia" w:ascii="Times New Roman" w:hAnsi="Times New Roman"/>
          <w:b w:val="0"/>
          <w:bCs w:val="0"/>
          <w:color w:val="000000" w:themeColor="text1"/>
          <w:lang w:val="en-US" w:eastAsia="zh-CN"/>
          <w14:textFill>
            <w14:solidFill>
              <w14:schemeClr w14:val="tx1"/>
            </w14:solidFill>
          </w14:textFill>
        </w:rPr>
        <w:footnoteReference w:id="58"/>
      </w:r>
      <w:r>
        <w:rPr>
          <w:rFonts w:hint="eastAsia" w:ascii="Times New Roman" w:hAnsi="Times New Roman"/>
          <w:b w:val="0"/>
          <w:bCs w:val="0"/>
          <w:color w:val="000000" w:themeColor="text1"/>
          <w:lang w:val="en-US" w:eastAsia="zh-CN"/>
          <w14:textFill>
            <w14:solidFill>
              <w14:schemeClr w14:val="tx1"/>
            </w14:solidFill>
          </w14:textFill>
        </w:rPr>
        <w:t>这个判决至少讲明确了两点：第一，现有技术可支持非系统性风险的量化扣除；第二，应落实“过罚相当”的原则，不能让赔偿脱离实际责任。但目前问题在于，各家专业机构所使用的模型具有本质差异。比如“同步指数对比法”和“多因子模型法”，在因子如何选择、窗口期如何确定等环节上均有不同的方法，最后的计算结果也会相应的有所差异。而法院恰好缺少对这类技术问题的有效审查能力——当事人提出异议，法院无法充分回应；当事人分别主张不同机构的测算结论，法院也不知该如何取舍。</w:t>
      </w:r>
    </w:p>
    <w:p w14:paraId="676F381B">
      <w:pPr>
        <w:bidi w:val="0"/>
        <w:rPr>
          <w:rFonts w:hint="default" w:ascii="Times New Roman" w:hAnsi="Times New Roman"/>
          <w:b w:val="0"/>
          <w:bCs w:val="0"/>
          <w:lang w:val="en-US" w:eastAsia="zh-CN"/>
        </w:rPr>
      </w:pPr>
      <w:r>
        <w:rPr>
          <w:rFonts w:hint="eastAsia" w:ascii="Times New Roman" w:hAnsi="Times New Roman"/>
          <w:b w:val="0"/>
          <w:bCs w:val="0"/>
          <w:color w:val="000000" w:themeColor="text1"/>
          <w:lang w:val="en-US" w:eastAsia="zh-CN"/>
          <w14:textFill>
            <w14:solidFill>
              <w14:schemeClr w14:val="tx1"/>
            </w14:solidFill>
          </w14:textFill>
        </w:rPr>
        <w:t>综上，2022年虚假陈述解释虽试图通过区分交易与损失因果关系来实现精细化裁判，但在实践层面，由于未能根据不同证券的不同特性进行类型化处理，导致“信赖推定”这一原则被过度使用。这种做法虽极大地降低了一般投资者的维权门槛，但却忽视了专业投资者的自我负责义务，也低估了新三板等非标市场的复杂性。在损失因果关系认定层面，法院对专业机构计算结果的过渡依赖也可能导致同案不同判的现象。</w:t>
      </w:r>
    </w:p>
    <w:p w14:paraId="5F470B0C">
      <w:pPr>
        <w:rPr>
          <w:rFonts w:hint="eastAsia" w:ascii="Times New Roman" w:hAnsi="Times New Roman"/>
          <w:lang w:val="en-US" w:eastAsia="zh-CN"/>
        </w:rPr>
      </w:pPr>
      <w:bookmarkStart w:id="55" w:name="_Toc32073"/>
      <w:r>
        <w:rPr>
          <w:rFonts w:hint="eastAsia" w:ascii="Times New Roman" w:hAnsi="Times New Roman"/>
          <w:lang w:val="en-US" w:eastAsia="zh-CN"/>
        </w:rPr>
        <w:br w:type="page"/>
      </w:r>
    </w:p>
    <w:p w14:paraId="4934B304">
      <w:pPr>
        <w:pStyle w:val="2"/>
        <w:bidi w:val="0"/>
        <w:rPr>
          <w:rFonts w:hint="default" w:ascii="Times New Roman" w:hAnsi="Times New Roman"/>
          <w:lang w:val="en-US" w:eastAsia="zh-CN"/>
        </w:rPr>
      </w:pPr>
      <w:bookmarkStart w:id="56" w:name="_Toc8226"/>
      <w:r>
        <w:rPr>
          <w:rFonts w:hint="eastAsia" w:ascii="Times New Roman" w:hAnsi="Times New Roman"/>
          <w:lang w:val="en-US" w:eastAsia="zh-CN"/>
        </w:rPr>
        <w:t>五</w:t>
      </w:r>
      <w:r>
        <w:rPr>
          <w:rFonts w:hint="default" w:ascii="Times New Roman" w:hAnsi="Times New Roman"/>
          <w:lang w:val="en-US" w:eastAsia="zh-CN"/>
        </w:rPr>
        <w:t>、司法认定的优化路径</w:t>
      </w:r>
      <w:bookmarkEnd w:id="55"/>
      <w:bookmarkEnd w:id="56"/>
    </w:p>
    <w:p w14:paraId="1F964E9C">
      <w:pPr>
        <w:bidi w:val="0"/>
        <w:rPr>
          <w:rFonts w:hint="default" w:ascii="Times New Roman" w:hAnsi="Times New Roman"/>
          <w:lang w:val="en-US" w:eastAsia="zh-CN"/>
        </w:rPr>
      </w:pPr>
      <w:r>
        <w:rPr>
          <w:rFonts w:hint="default" w:ascii="Times New Roman" w:hAnsi="Times New Roman"/>
          <w:lang w:val="en-US" w:eastAsia="zh-CN"/>
        </w:rPr>
        <w:t>我国证券法</w:t>
      </w:r>
      <w:r>
        <w:rPr>
          <w:rFonts w:hint="eastAsia" w:ascii="Times New Roman" w:hAnsi="Times New Roman"/>
          <w:lang w:val="en-US" w:eastAsia="zh-CN"/>
        </w:rPr>
        <w:t>确立</w:t>
      </w:r>
      <w:r>
        <w:rPr>
          <w:rFonts w:hint="default" w:ascii="Times New Roman" w:hAnsi="Times New Roman"/>
          <w:lang w:val="en-US" w:eastAsia="zh-CN"/>
        </w:rPr>
        <w:t>的一元模式在适用不同市场以及不同发行方式时出现不适应，引发</w:t>
      </w:r>
      <w:r>
        <w:rPr>
          <w:rFonts w:hint="eastAsia" w:ascii="Times New Roman" w:hAnsi="Times New Roman"/>
          <w:lang w:val="en-US" w:eastAsia="zh-CN"/>
        </w:rPr>
        <w:t>了</w:t>
      </w:r>
      <w:r>
        <w:rPr>
          <w:rFonts w:hint="default" w:ascii="Times New Roman" w:hAnsi="Times New Roman"/>
          <w:lang w:val="en-US" w:eastAsia="zh-CN"/>
        </w:rPr>
        <w:t>法律适用的公平性、科学性争议。</w:t>
      </w:r>
      <w:r>
        <w:rPr>
          <w:rStyle w:val="22"/>
          <w:rFonts w:hint="default" w:ascii="Times New Roman" w:hAnsi="Times New Roman"/>
          <w:lang w:val="en-US" w:eastAsia="zh-CN"/>
        </w:rPr>
        <w:footnoteReference w:id="59"/>
      </w:r>
      <w:r>
        <w:rPr>
          <w:rFonts w:hint="eastAsia" w:ascii="Times New Roman" w:hAnsi="Times New Roman"/>
          <w:lang w:val="en-US" w:eastAsia="zh-CN"/>
        </w:rPr>
        <w:t>为</w:t>
      </w:r>
      <w:r>
        <w:rPr>
          <w:rFonts w:hint="default" w:ascii="Times New Roman" w:hAnsi="Times New Roman"/>
          <w:lang w:val="en-US" w:eastAsia="zh-CN"/>
        </w:rPr>
        <w:t>破解这一困境，需要从规则重构</w:t>
      </w:r>
      <w:r>
        <w:rPr>
          <w:rFonts w:hint="eastAsia" w:ascii="Times New Roman" w:hAnsi="Times New Roman"/>
          <w:lang w:val="en-US" w:eastAsia="zh-CN"/>
        </w:rPr>
        <w:t>和</w:t>
      </w:r>
      <w:r>
        <w:rPr>
          <w:rFonts w:hint="default" w:ascii="Times New Roman" w:hAnsi="Times New Roman"/>
          <w:lang w:val="en-US" w:eastAsia="zh-CN"/>
        </w:rPr>
        <w:t>标准细化</w:t>
      </w:r>
      <w:r>
        <w:rPr>
          <w:rFonts w:hint="eastAsia" w:ascii="Times New Roman" w:hAnsi="Times New Roman"/>
          <w:lang w:val="en-US" w:eastAsia="zh-CN"/>
        </w:rPr>
        <w:t>两</w:t>
      </w:r>
      <w:r>
        <w:rPr>
          <w:rFonts w:hint="default" w:ascii="Times New Roman" w:hAnsi="Times New Roman"/>
          <w:lang w:val="en-US" w:eastAsia="zh-CN"/>
        </w:rPr>
        <w:t>个层面系统推进。</w:t>
      </w:r>
    </w:p>
    <w:p w14:paraId="5F232078">
      <w:pPr>
        <w:pStyle w:val="3"/>
        <w:bidi w:val="0"/>
        <w:rPr>
          <w:rFonts w:hint="default" w:ascii="Times New Roman" w:hAnsi="Times New Roman"/>
          <w:b w:val="0"/>
          <w:bCs w:val="0"/>
          <w:lang w:val="en-US" w:eastAsia="zh-CN"/>
        </w:rPr>
      </w:pPr>
      <w:bookmarkStart w:id="57" w:name="_Toc4386"/>
      <w:r>
        <w:rPr>
          <w:rFonts w:hint="eastAsia" w:ascii="Times New Roman" w:hAnsi="Times New Roman"/>
          <w:lang w:val="en-US" w:eastAsia="zh-CN"/>
        </w:rPr>
        <w:t>（一）统一交易因果关系认定中“信赖推定”原则的适用边界</w:t>
      </w:r>
      <w:bookmarkEnd w:id="57"/>
    </w:p>
    <w:p w14:paraId="56CCBC8A">
      <w:pPr>
        <w:pStyle w:val="4"/>
        <w:bidi w:val="0"/>
        <w:rPr>
          <w:rFonts w:hint="default" w:ascii="Times New Roman" w:hAnsi="Times New Roman"/>
          <w:lang w:val="en-US" w:eastAsia="zh-CN"/>
        </w:rPr>
      </w:pPr>
      <w:bookmarkStart w:id="58" w:name="_Toc1071"/>
      <w:bookmarkStart w:id="59" w:name="_Toc26026"/>
      <w:r>
        <w:rPr>
          <w:rFonts w:hint="eastAsia" w:ascii="Times New Roman" w:hAnsi="Times New Roman"/>
          <w:lang w:val="en-US" w:eastAsia="zh-CN"/>
        </w:rPr>
        <w:t>1.针对</w:t>
      </w:r>
      <w:r>
        <w:rPr>
          <w:rFonts w:hint="default" w:ascii="Times New Roman" w:hAnsi="Times New Roman"/>
          <w:lang w:val="en-US" w:eastAsia="zh-CN"/>
        </w:rPr>
        <w:t>非公开发行</w:t>
      </w:r>
      <w:r>
        <w:rPr>
          <w:rFonts w:hint="eastAsia" w:ascii="Times New Roman" w:hAnsi="Times New Roman"/>
          <w:lang w:val="en-US" w:eastAsia="zh-CN"/>
        </w:rPr>
        <w:t>证券</w:t>
      </w:r>
      <w:r>
        <w:rPr>
          <w:rFonts w:hint="default" w:ascii="Times New Roman" w:hAnsi="Times New Roman"/>
          <w:lang w:val="en-US" w:eastAsia="zh-CN"/>
        </w:rPr>
        <w:t>：回归一般侵权法规则</w:t>
      </w:r>
      <w:bookmarkEnd w:id="58"/>
      <w:bookmarkEnd w:id="59"/>
    </w:p>
    <w:p w14:paraId="4477F2F6">
      <w:pPr>
        <w:bidi w:val="0"/>
        <w:rPr>
          <w:rFonts w:hint="default" w:ascii="Times New Roman" w:hAnsi="Times New Roman"/>
          <w:b w:val="0"/>
          <w:bCs w:val="0"/>
          <w:lang w:val="en-US" w:eastAsia="zh-CN"/>
        </w:rPr>
      </w:pPr>
      <w:r>
        <w:rPr>
          <w:rFonts w:hint="default" w:ascii="Times New Roman" w:hAnsi="Times New Roman"/>
          <w:b w:val="0"/>
          <w:bCs w:val="0"/>
          <w:lang w:val="en-US" w:eastAsia="zh-CN"/>
        </w:rPr>
        <w:t>针对非公开发行证券的虚假陈述，应当回归一般侵权法规则认定交易因果关系</w:t>
      </w:r>
      <w:r>
        <w:rPr>
          <w:rFonts w:hint="eastAsia" w:ascii="Times New Roman" w:hAnsi="Times New Roman"/>
          <w:b w:val="0"/>
          <w:bCs w:val="0"/>
          <w:lang w:val="en-US" w:eastAsia="zh-CN"/>
        </w:rPr>
        <w:t>，</w:t>
      </w:r>
      <w:r>
        <w:rPr>
          <w:rFonts w:hint="default" w:ascii="Times New Roman" w:hAnsi="Times New Roman"/>
          <w:b w:val="0"/>
          <w:bCs w:val="0"/>
          <w:lang w:val="en-US" w:eastAsia="zh-CN"/>
        </w:rPr>
        <w:t>其原因在于非公开发行在</w:t>
      </w:r>
      <w:r>
        <w:rPr>
          <w:rFonts w:hint="eastAsia" w:ascii="Times New Roman" w:hAnsi="Times New Roman"/>
          <w:b w:val="0"/>
          <w:bCs w:val="0"/>
          <w:lang w:val="en-US" w:eastAsia="zh-CN"/>
        </w:rPr>
        <w:t>“</w:t>
      </w:r>
      <w:r>
        <w:rPr>
          <w:rFonts w:hint="default" w:ascii="Times New Roman" w:hAnsi="Times New Roman"/>
          <w:b w:val="0"/>
          <w:bCs w:val="0"/>
          <w:lang w:val="en-US" w:eastAsia="zh-CN"/>
        </w:rPr>
        <w:t>面对面协商</w:t>
      </w:r>
      <w:r>
        <w:rPr>
          <w:rFonts w:hint="eastAsia" w:ascii="Times New Roman" w:hAnsi="Times New Roman"/>
          <w:b w:val="0"/>
          <w:bCs w:val="0"/>
          <w:lang w:val="en-US" w:eastAsia="zh-CN"/>
        </w:rPr>
        <w:t>”</w:t>
      </w:r>
      <w:r>
        <w:rPr>
          <w:rFonts w:hint="default" w:ascii="Times New Roman" w:hAnsi="Times New Roman"/>
          <w:b w:val="0"/>
          <w:bCs w:val="0"/>
          <w:lang w:val="en-US" w:eastAsia="zh-CN"/>
        </w:rPr>
        <w:t>的价格确定机制下无法形成</w:t>
      </w:r>
      <w:r>
        <w:rPr>
          <w:rFonts w:hint="eastAsia" w:ascii="Times New Roman" w:hAnsi="Times New Roman"/>
          <w:b w:val="0"/>
          <w:bCs w:val="0"/>
          <w:lang w:val="en-US" w:eastAsia="zh-CN"/>
        </w:rPr>
        <w:t>“</w:t>
      </w:r>
      <w:r>
        <w:rPr>
          <w:rFonts w:hint="default" w:ascii="Times New Roman" w:hAnsi="Times New Roman"/>
          <w:b w:val="0"/>
          <w:bCs w:val="0"/>
          <w:lang w:val="en-US" w:eastAsia="zh-CN"/>
        </w:rPr>
        <w:t>有效市场</w:t>
      </w:r>
      <w:r>
        <w:rPr>
          <w:rFonts w:hint="eastAsia" w:ascii="Times New Roman" w:hAnsi="Times New Roman"/>
          <w:b w:val="0"/>
          <w:bCs w:val="0"/>
          <w:lang w:val="en-US" w:eastAsia="zh-CN"/>
        </w:rPr>
        <w:t>”</w:t>
      </w:r>
      <w:r>
        <w:rPr>
          <w:rFonts w:hint="default" w:ascii="Times New Roman" w:hAnsi="Times New Roman"/>
          <w:b w:val="0"/>
          <w:bCs w:val="0"/>
          <w:lang w:val="en-US" w:eastAsia="zh-CN"/>
        </w:rPr>
        <w:t>，并且机构投资者议价调查能力</w:t>
      </w:r>
      <w:r>
        <w:rPr>
          <w:rFonts w:hint="eastAsia" w:ascii="Times New Roman" w:hAnsi="Times New Roman"/>
          <w:b w:val="0"/>
          <w:bCs w:val="0"/>
          <w:lang w:val="en-US" w:eastAsia="zh-CN"/>
        </w:rPr>
        <w:t>明显高于一般投资者</w:t>
      </w:r>
      <w:r>
        <w:rPr>
          <w:rFonts w:hint="default" w:ascii="Times New Roman" w:hAnsi="Times New Roman"/>
          <w:b w:val="0"/>
          <w:bCs w:val="0"/>
          <w:lang w:val="en-US" w:eastAsia="zh-CN"/>
        </w:rPr>
        <w:t>。</w:t>
      </w:r>
      <w:r>
        <w:rPr>
          <w:rStyle w:val="22"/>
          <w:rFonts w:hint="default" w:ascii="Times New Roman" w:hAnsi="Times New Roman"/>
          <w:b w:val="0"/>
          <w:bCs w:val="0"/>
          <w:lang w:val="en-US" w:eastAsia="zh-CN"/>
        </w:rPr>
        <w:footnoteReference w:id="60"/>
      </w:r>
    </w:p>
    <w:p w14:paraId="1C469862">
      <w:pPr>
        <w:bidi w:val="0"/>
        <w:rPr>
          <w:rFonts w:hint="default" w:ascii="Times New Roman" w:hAnsi="Times New Roman"/>
          <w:b w:val="0"/>
          <w:bCs w:val="0"/>
          <w:lang w:val="en-US" w:eastAsia="zh-CN"/>
        </w:rPr>
      </w:pPr>
      <w:r>
        <w:rPr>
          <w:rFonts w:hint="default" w:ascii="Times New Roman" w:hAnsi="Times New Roman"/>
          <w:b w:val="0"/>
          <w:bCs w:val="0"/>
          <w:lang w:val="en-US" w:eastAsia="zh-CN"/>
        </w:rPr>
        <w:t>认购非公开发行股票的一级市场原告投资者应对其形成直接信赖的事实承担举证责任，而非依赖于</w:t>
      </w:r>
      <w:r>
        <w:rPr>
          <w:rFonts w:hint="eastAsia" w:ascii="Times New Roman" w:hAnsi="Times New Roman"/>
          <w:b w:val="0"/>
          <w:bCs w:val="0"/>
          <w:lang w:val="en-US" w:eastAsia="zh-CN"/>
        </w:rPr>
        <w:t>“信赖推定”</w:t>
      </w:r>
      <w:r>
        <w:rPr>
          <w:rFonts w:hint="default" w:ascii="Times New Roman" w:hAnsi="Times New Roman"/>
          <w:b w:val="0"/>
          <w:bCs w:val="0"/>
          <w:lang w:val="en-US" w:eastAsia="zh-CN"/>
        </w:rPr>
        <w:t>原则的自动适用。在规则设计上，应当明确非公开发行不适用交易因果关系推定规则。投资者需举证证明其交易决策受到了虚假陈述的影响，而非基于对赌协议、回购承诺等特殊商业安排。具体而言，原告应当举证证明以下事项：其一，其阅读并信赖了非公开发行文件中包含虚假陈述的内容；其二，虚假陈述对其投资决策产生了实质性影响；其三，其信赖具有合理性。被告则可以举证证明原告的交易决策系基于其他因素作出，从而推翻交易因果关系。</w:t>
      </w:r>
    </w:p>
    <w:p w14:paraId="5E89A066">
      <w:pPr>
        <w:bidi w:val="0"/>
        <w:rPr>
          <w:rFonts w:hint="default" w:ascii="Times New Roman" w:hAnsi="Times New Roman"/>
          <w:b/>
          <w:bCs/>
          <w:lang w:val="en-US" w:eastAsia="zh-CN"/>
        </w:rPr>
      </w:pPr>
      <w:r>
        <w:rPr>
          <w:rFonts w:hint="default" w:ascii="Times New Roman" w:hAnsi="Times New Roman"/>
          <w:b w:val="0"/>
          <w:bCs w:val="0"/>
          <w:lang w:val="en-US" w:eastAsia="zh-CN"/>
        </w:rPr>
        <w:t>在实务中，员工通过持股计划购买股票的，也不认可交易因果关系，这表明司法实践已经开始根据交易的特殊性对</w:t>
      </w:r>
      <w:r>
        <w:rPr>
          <w:rFonts w:hint="eastAsia" w:ascii="Times New Roman" w:hAnsi="Times New Roman"/>
          <w:b w:val="0"/>
          <w:bCs w:val="0"/>
          <w:lang w:val="en-US" w:eastAsia="zh-CN"/>
        </w:rPr>
        <w:t>信赖推定</w:t>
      </w:r>
      <w:r>
        <w:rPr>
          <w:rFonts w:hint="default" w:ascii="Times New Roman" w:hAnsi="Times New Roman"/>
          <w:b w:val="0"/>
          <w:bCs w:val="0"/>
          <w:lang w:val="en-US" w:eastAsia="zh-CN"/>
        </w:rPr>
        <w:t>的适用范围进行合理限制。这一裁判逻辑应当成为一般规则而非个例。但需注意，非公开发行后，如果相关证券进入公开交易市场流通，则后续在二级市场买入的投资者仍可依据一般证券侵权规范主张推定因果关系，前提是市场满足有效性条件。这一区分的意义在于，既尊重了非公开发行中专业投资者的自我保护能力，又避免了无差别适用推定规则导致的诉讼滋扰和过度威慑。</w:t>
      </w:r>
    </w:p>
    <w:p w14:paraId="48EDE082">
      <w:pPr>
        <w:pStyle w:val="4"/>
        <w:bidi w:val="0"/>
        <w:rPr>
          <w:rFonts w:hint="default" w:ascii="Times New Roman" w:hAnsi="Times New Roman"/>
          <w:lang w:val="en-US" w:eastAsia="zh-CN"/>
        </w:rPr>
      </w:pPr>
      <w:bookmarkStart w:id="60" w:name="_Toc8818"/>
      <w:bookmarkStart w:id="61" w:name="_Toc8489"/>
      <w:r>
        <w:rPr>
          <w:rFonts w:hint="eastAsia" w:ascii="Times New Roman" w:hAnsi="Times New Roman"/>
          <w:lang w:val="en-US" w:eastAsia="zh-CN"/>
        </w:rPr>
        <w:t>2.针对</w:t>
      </w:r>
      <w:r>
        <w:rPr>
          <w:rFonts w:hint="default" w:ascii="Times New Roman" w:hAnsi="Times New Roman"/>
          <w:lang w:val="en-US" w:eastAsia="zh-CN"/>
        </w:rPr>
        <w:t>非有效市场</w:t>
      </w:r>
      <w:r>
        <w:rPr>
          <w:rFonts w:hint="eastAsia" w:ascii="Times New Roman" w:hAnsi="Times New Roman"/>
          <w:lang w:val="en-US" w:eastAsia="zh-CN"/>
        </w:rPr>
        <w:t>中的证券</w:t>
      </w:r>
      <w:r>
        <w:rPr>
          <w:rFonts w:hint="default" w:ascii="Times New Roman" w:hAnsi="Times New Roman"/>
          <w:lang w:val="en-US" w:eastAsia="zh-CN"/>
        </w:rPr>
        <w:t>：信赖推定适用的前提重构</w:t>
      </w:r>
      <w:bookmarkEnd w:id="60"/>
      <w:bookmarkEnd w:id="61"/>
    </w:p>
    <w:p w14:paraId="097B89CF">
      <w:pPr>
        <w:bidi w:val="0"/>
        <w:rPr>
          <w:rFonts w:hint="default" w:ascii="Times New Roman" w:hAnsi="Times New Roman"/>
          <w:color w:val="808080" w:themeColor="background1" w:themeShade="80"/>
          <w:lang w:val="en-US" w:eastAsia="zh-CN"/>
        </w:rPr>
      </w:pPr>
      <w:r>
        <w:rPr>
          <w:rFonts w:hint="default" w:ascii="Times New Roman" w:hAnsi="Times New Roman"/>
          <w:b w:val="0"/>
          <w:bCs w:val="0"/>
          <w:lang w:val="en-US" w:eastAsia="zh-CN"/>
        </w:rPr>
        <w:t>我国证券市场存在多层次结构，除了沪深交易所的主板、科创板、创业板外，还有新三板以及各地股权交易中心。这些市场的流动性、信息披露质量、投资者适当性门槛存在本质差异。</w:t>
      </w:r>
      <w:r>
        <w:rPr>
          <w:rFonts w:hint="default" w:ascii="Times New Roman" w:hAnsi="Times New Roman"/>
          <w:b w:val="0"/>
          <w:bCs w:val="0"/>
          <w:color w:val="000000" w:themeColor="text1"/>
          <w:lang w:val="en-US" w:eastAsia="zh-CN"/>
          <w14:textFill>
            <w14:solidFill>
              <w14:schemeClr w14:val="tx1"/>
            </w14:solidFill>
          </w14:textFill>
        </w:rPr>
        <w:t>新三板市场由于投资者门槛较高，流动性相对较弱，</w:t>
      </w:r>
      <w:r>
        <w:rPr>
          <w:rFonts w:hint="eastAsia" w:ascii="Times New Roman" w:hAnsi="Times New Roman"/>
          <w:b w:val="0"/>
          <w:bCs w:val="0"/>
          <w:color w:val="000000" w:themeColor="text1"/>
          <w:lang w:val="en-US" w:eastAsia="zh-CN"/>
          <w14:textFill>
            <w14:solidFill>
              <w14:schemeClr w14:val="tx1"/>
            </w14:solidFill>
          </w14:textFill>
        </w:rPr>
        <w:t>部分</w:t>
      </w:r>
      <w:r>
        <w:rPr>
          <w:rFonts w:hint="default" w:ascii="Times New Roman" w:hAnsi="Times New Roman"/>
          <w:b w:val="0"/>
          <w:bCs w:val="0"/>
          <w:color w:val="000000" w:themeColor="text1"/>
          <w:lang w:val="en-US" w:eastAsia="zh-CN"/>
          <w14:textFill>
            <w14:solidFill>
              <w14:schemeClr w14:val="tx1"/>
            </w14:solidFill>
          </w14:textFill>
        </w:rPr>
        <w:t>挂牌公司</w:t>
      </w:r>
      <w:r>
        <w:rPr>
          <w:rFonts w:hint="eastAsia" w:ascii="Times New Roman" w:hAnsi="Times New Roman"/>
          <w:b w:val="0"/>
          <w:bCs w:val="0"/>
          <w:color w:val="000000" w:themeColor="text1"/>
          <w:lang w:val="en-US" w:eastAsia="zh-CN"/>
          <w14:textFill>
            <w14:solidFill>
              <w14:schemeClr w14:val="tx1"/>
            </w14:solidFill>
          </w14:textFill>
        </w:rPr>
        <w:t>常年</w:t>
      </w:r>
      <w:r>
        <w:rPr>
          <w:rFonts w:hint="default" w:ascii="Times New Roman" w:hAnsi="Times New Roman"/>
          <w:b w:val="0"/>
          <w:bCs w:val="0"/>
          <w:color w:val="000000" w:themeColor="text1"/>
          <w:lang w:val="en-US" w:eastAsia="zh-CN"/>
          <w14:textFill>
            <w14:solidFill>
              <w14:schemeClr w14:val="tx1"/>
            </w14:solidFill>
          </w14:textFill>
        </w:rPr>
        <w:t>缺乏成交，而且许多成交基于协议方式，其市场价格发现功能远弱于主板市场</w:t>
      </w:r>
      <w:r>
        <w:rPr>
          <w:rFonts w:hint="default" w:ascii="Times New Roman" w:hAnsi="Times New Roman"/>
          <w:b w:val="0"/>
          <w:bCs w:val="0"/>
          <w:color w:val="808080" w:themeColor="background1" w:themeShade="80"/>
          <w:lang w:val="en-US" w:eastAsia="zh-CN"/>
        </w:rPr>
        <w:t>。</w:t>
      </w:r>
      <w:r>
        <w:rPr>
          <w:rFonts w:hint="default" w:ascii="Times New Roman" w:hAnsi="Times New Roman"/>
          <w:b w:val="0"/>
          <w:bCs w:val="0"/>
          <w:color w:val="000000" w:themeColor="text1"/>
          <w:lang w:val="en-US" w:eastAsia="zh-CN"/>
          <w14:textFill>
            <w14:solidFill>
              <w14:schemeClr w14:val="tx1"/>
            </w14:solidFill>
          </w14:textFill>
        </w:rPr>
        <w:t>新三板中做市商交易的挂牌公司由于在做市商数量、流动性以及分析师数量方面存在较大不足，因此投资者不能适用交易因果关系成立的推定</w:t>
      </w:r>
      <w:r>
        <w:rPr>
          <w:rFonts w:hint="eastAsia" w:ascii="Times New Roman" w:hAnsi="Times New Roman"/>
          <w:b w:val="0"/>
          <w:bCs w:val="0"/>
          <w:color w:val="000000" w:themeColor="text1"/>
          <w:lang w:val="en-US" w:eastAsia="zh-CN"/>
          <w14:textFill>
            <w14:solidFill>
              <w14:schemeClr w14:val="tx1"/>
            </w14:solidFill>
          </w14:textFill>
        </w:rPr>
        <w:t>。</w:t>
      </w:r>
      <w:r>
        <w:rPr>
          <w:rStyle w:val="22"/>
          <w:rFonts w:hint="default" w:ascii="Times New Roman" w:hAnsi="Times New Roman"/>
          <w:b w:val="0"/>
          <w:bCs w:val="0"/>
          <w:color w:val="000000" w:themeColor="text1"/>
          <w:lang w:val="en-US" w:eastAsia="zh-CN"/>
          <w14:textFill>
            <w14:solidFill>
              <w14:schemeClr w14:val="tx1"/>
            </w14:solidFill>
          </w14:textFill>
        </w:rPr>
        <w:footnoteReference w:id="61"/>
      </w:r>
      <w:r>
        <w:rPr>
          <w:rFonts w:hint="eastAsia" w:ascii="Times New Roman" w:hAnsi="Times New Roman"/>
          <w:b w:val="0"/>
          <w:bCs w:val="0"/>
          <w:color w:val="000000" w:themeColor="text1"/>
          <w:lang w:val="en-US" w:eastAsia="zh-CN"/>
          <w14:textFill>
            <w14:solidFill>
              <w14:schemeClr w14:val="tx1"/>
            </w14:solidFill>
          </w14:textFill>
        </w:rPr>
        <w:t>适用“信赖推定”原则的</w:t>
      </w:r>
      <w:r>
        <w:rPr>
          <w:rFonts w:hint="default" w:ascii="Times New Roman" w:hAnsi="Times New Roman"/>
          <w:b w:val="0"/>
          <w:bCs w:val="0"/>
          <w:color w:val="000000" w:themeColor="text1"/>
          <w:lang w:val="en-US" w:eastAsia="zh-CN"/>
          <w14:textFill>
            <w14:solidFill>
              <w14:schemeClr w14:val="tx1"/>
            </w14:solidFill>
          </w14:textFill>
        </w:rPr>
        <w:t>根本</w:t>
      </w:r>
      <w:r>
        <w:rPr>
          <w:rFonts w:hint="eastAsia" w:ascii="Times New Roman" w:hAnsi="Times New Roman"/>
          <w:b w:val="0"/>
          <w:bCs w:val="0"/>
          <w:color w:val="000000" w:themeColor="text1"/>
          <w:lang w:val="en-US" w:eastAsia="zh-CN"/>
          <w14:textFill>
            <w14:solidFill>
              <w14:schemeClr w14:val="tx1"/>
            </w14:solidFill>
          </w14:textFill>
        </w:rPr>
        <w:t>目的</w:t>
      </w:r>
      <w:r>
        <w:rPr>
          <w:rFonts w:hint="default" w:ascii="Times New Roman" w:hAnsi="Times New Roman"/>
          <w:b w:val="0"/>
          <w:bCs w:val="0"/>
          <w:color w:val="000000" w:themeColor="text1"/>
          <w:lang w:val="en-US" w:eastAsia="zh-CN"/>
          <w14:textFill>
            <w14:solidFill>
              <w14:schemeClr w14:val="tx1"/>
            </w14:solidFill>
          </w14:textFill>
        </w:rPr>
        <w:t>是减轻投资者的举证责任，维护投资者合法权益，但这并不意味着该理论可以无差别地适用于所有市场。</w:t>
      </w:r>
    </w:p>
    <w:p w14:paraId="11E1252E">
      <w:pPr>
        <w:bidi w:val="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另外，市场类型的有效性也并非全有或全无的二元判断。如果完全否定像新三板市场这类非标准市场里“信赖推定”的适用，很可能导致这些市场的投资者保护出现空白；反过来，如果完全肯定，又可能让被告承担不合理的赔偿责任。</w:t>
      </w:r>
    </w:p>
    <w:p w14:paraId="2ADE7563">
      <w:pPr>
        <w:bidi w:val="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鉴于这种情况，在非有效市场里，可以尝试不自动适用“信赖推定”，而是允许原告通过举证证明虚假陈述确实对交易价格或交易量产生了实际影响，以此证明交易因果关系。这个思路在2022年虚假陈述解释第十条里已经有所体现，因为该条把“导致相关证券的交易价格或者交易量产生明显的变化”作为认定重大性的独立标准。在非有效市场中，交易量的变化可能比价格变化更有参考价值，因为交易量能更直观地反映出投资者对信息作出的反应。</w:t>
      </w:r>
    </w:p>
    <w:p w14:paraId="03BDFA20">
      <w:pPr>
        <w:bidi w:val="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除此之外，还可以引入“做市商定价效率”这个概念，把它作为判断市场有效性的一个辅助指标。比如在新三板的做市交易中，做市商本身有专业优势，能获取更多信息并进行分析处理，最后这些信息会体现在挂牌企业的股价上，投资者也同样是基于市场价格来做投资决策的。这样一来，就可以适用“信赖推定原则”。</w:t>
      </w:r>
      <w:r>
        <w:rPr>
          <w:rStyle w:val="22"/>
          <w:rFonts w:hint="default" w:ascii="Times New Roman" w:hAnsi="Times New Roman"/>
          <w:color w:val="000000" w:themeColor="text1"/>
          <w:lang w:val="en-US" w:eastAsia="zh-CN"/>
          <w14:textFill>
            <w14:solidFill>
              <w14:schemeClr w14:val="tx1"/>
            </w14:solidFill>
          </w14:textFill>
        </w:rPr>
        <w:footnoteReference w:id="62"/>
      </w:r>
    </w:p>
    <w:p w14:paraId="53388CC0">
      <w:pPr>
        <w:bidi w:val="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从司法实践来看，部分法院在审理新三板虚假陈述案件时，通过考察交易机制，逐案判断市场是否有效。具体而言，法院会综合考虑交易量、换手率、做市商数量这些因素，来评估个股与大盘指数之间的关联度。如果股票交易比较活跃，同时跟新三板做市指数的关联度也比较高，那就可以在一定程度上认可这个市场的有效性。</w:t>
      </w:r>
      <w:r>
        <w:rPr>
          <w:rStyle w:val="22"/>
          <w:rFonts w:hint="default" w:ascii="Times New Roman" w:hAnsi="Times New Roman"/>
          <w:color w:val="000000" w:themeColor="text1"/>
          <w:lang w:val="en-US" w:eastAsia="zh-CN"/>
          <w14:textFill>
            <w14:solidFill>
              <w14:schemeClr w14:val="tx1"/>
            </w14:solidFill>
          </w14:textFill>
        </w:rPr>
        <w:footnoteReference w:id="63"/>
      </w:r>
    </w:p>
    <w:p w14:paraId="3266BFA4">
      <w:pPr>
        <w:bidi w:val="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这个裁判思路值得推广，其核心在于</w:t>
      </w:r>
      <w:r>
        <w:rPr>
          <w:rFonts w:hint="default" w:ascii="Times New Roman" w:hAnsi="Times New Roman"/>
          <w:color w:val="000000" w:themeColor="text1"/>
          <w:lang w:val="en-US" w:eastAsia="zh-CN"/>
          <w14:textFill>
            <w14:solidFill>
              <w14:schemeClr w14:val="tx1"/>
            </w14:solidFill>
          </w14:textFill>
        </w:rPr>
        <w:t>通过考察市场机制本身而非简单地以市场类型定论</w:t>
      </w:r>
      <w:r>
        <w:rPr>
          <w:rFonts w:hint="eastAsia" w:ascii="Times New Roman" w:hAnsi="Times New Roman"/>
          <w:color w:val="000000" w:themeColor="text1"/>
          <w:lang w:val="en-US" w:eastAsia="zh-CN"/>
          <w14:textFill>
            <w14:solidFill>
              <w14:schemeClr w14:val="tx1"/>
            </w14:solidFill>
          </w14:textFill>
        </w:rPr>
        <w:t>。这样一来，既承认了多层次资本市场之间客观存在的差别，又能在每一个具体案子里，实现对投资者权益的合理保护。</w:t>
      </w:r>
    </w:p>
    <w:p w14:paraId="1486D511">
      <w:pPr>
        <w:pStyle w:val="4"/>
        <w:bidi w:val="0"/>
        <w:rPr>
          <w:rFonts w:hint="default" w:ascii="Times New Roman" w:hAnsi="Times New Roman"/>
          <w:lang w:val="en-US" w:eastAsia="zh-CN"/>
        </w:rPr>
      </w:pPr>
      <w:bookmarkStart w:id="62" w:name="_Toc27682"/>
      <w:bookmarkStart w:id="63" w:name="_Toc29781"/>
      <w:r>
        <w:rPr>
          <w:rFonts w:hint="eastAsia" w:ascii="Times New Roman" w:hAnsi="Times New Roman"/>
          <w:lang w:val="en-US" w:eastAsia="zh-CN"/>
        </w:rPr>
        <w:t>3.针对</w:t>
      </w:r>
      <w:r>
        <w:rPr>
          <w:rFonts w:hint="default" w:ascii="Times New Roman" w:hAnsi="Times New Roman"/>
          <w:lang w:val="en-US" w:eastAsia="zh-CN"/>
        </w:rPr>
        <w:t>发行市场</w:t>
      </w:r>
      <w:r>
        <w:rPr>
          <w:rFonts w:hint="eastAsia" w:ascii="Times New Roman" w:hAnsi="Times New Roman"/>
          <w:lang w:val="en-US" w:eastAsia="zh-CN"/>
        </w:rPr>
        <w:t>中的证券</w:t>
      </w:r>
      <w:r>
        <w:rPr>
          <w:rFonts w:hint="default" w:ascii="Times New Roman" w:hAnsi="Times New Roman"/>
          <w:lang w:val="en-US" w:eastAsia="zh-CN"/>
        </w:rPr>
        <w:t>：二元责任规范</w:t>
      </w:r>
      <w:r>
        <w:rPr>
          <w:rFonts w:hint="eastAsia" w:ascii="Times New Roman" w:hAnsi="Times New Roman"/>
          <w:lang w:val="en-US" w:eastAsia="zh-CN"/>
        </w:rPr>
        <w:t>模式</w:t>
      </w:r>
      <w:r>
        <w:rPr>
          <w:rFonts w:hint="default" w:ascii="Times New Roman" w:hAnsi="Times New Roman"/>
          <w:lang w:val="en-US" w:eastAsia="zh-CN"/>
        </w:rPr>
        <w:t>的</w:t>
      </w:r>
      <w:r>
        <w:rPr>
          <w:rFonts w:hint="eastAsia" w:ascii="Times New Roman" w:hAnsi="Times New Roman"/>
          <w:lang w:val="en-US" w:eastAsia="zh-CN"/>
        </w:rPr>
        <w:t>制度构造</w:t>
      </w:r>
      <w:bookmarkEnd w:id="62"/>
      <w:bookmarkEnd w:id="63"/>
    </w:p>
    <w:p w14:paraId="5190524E">
      <w:pPr>
        <w:bidi w:val="0"/>
        <w:rPr>
          <w:rFonts w:hint="default" w:ascii="Times New Roman" w:hAnsi="Times New Roman"/>
          <w:b w:val="0"/>
          <w:bCs w:val="0"/>
          <w:lang w:val="en-US" w:eastAsia="zh-CN"/>
        </w:rPr>
      </w:pPr>
      <w:r>
        <w:rPr>
          <w:rFonts w:hint="eastAsia" w:ascii="Times New Roman" w:hAnsi="Times New Roman"/>
          <w:b w:val="0"/>
          <w:bCs w:val="0"/>
          <w:lang w:val="en-US" w:eastAsia="zh-CN"/>
        </w:rPr>
        <w:t>我国可为因果关系认定</w:t>
      </w:r>
      <w:r>
        <w:rPr>
          <w:rFonts w:hint="default" w:ascii="Times New Roman" w:hAnsi="Times New Roman"/>
          <w:b w:val="0"/>
          <w:bCs w:val="0"/>
          <w:lang w:val="en-US" w:eastAsia="zh-CN"/>
        </w:rPr>
        <w:t>设置</w:t>
      </w:r>
      <w:r>
        <w:rPr>
          <w:rFonts w:hint="eastAsia" w:ascii="Times New Roman" w:hAnsi="Times New Roman"/>
          <w:b w:val="0"/>
          <w:bCs w:val="0"/>
          <w:lang w:val="en-US" w:eastAsia="zh-CN"/>
        </w:rPr>
        <w:t>两种</w:t>
      </w:r>
      <w:r>
        <w:rPr>
          <w:rFonts w:hint="default" w:ascii="Times New Roman" w:hAnsi="Times New Roman"/>
          <w:b w:val="0"/>
          <w:bCs w:val="0"/>
          <w:lang w:val="en-US" w:eastAsia="zh-CN"/>
        </w:rPr>
        <w:t>规范</w:t>
      </w:r>
      <w:r>
        <w:rPr>
          <w:rFonts w:hint="eastAsia" w:ascii="Times New Roman" w:hAnsi="Times New Roman"/>
          <w:b w:val="0"/>
          <w:bCs w:val="0"/>
          <w:lang w:val="en-US" w:eastAsia="zh-CN"/>
        </w:rPr>
        <w:t>，一种</w:t>
      </w:r>
      <w:r>
        <w:rPr>
          <w:rFonts w:hint="default" w:ascii="Times New Roman" w:hAnsi="Times New Roman"/>
          <w:b w:val="0"/>
          <w:bCs w:val="0"/>
          <w:lang w:val="en-US" w:eastAsia="zh-CN"/>
        </w:rPr>
        <w:t>是</w:t>
      </w:r>
      <w:r>
        <w:rPr>
          <w:rFonts w:hint="eastAsia" w:ascii="Times New Roman" w:hAnsi="Times New Roman"/>
          <w:b w:val="0"/>
          <w:bCs w:val="0"/>
          <w:lang w:val="en-US" w:eastAsia="zh-CN"/>
        </w:rPr>
        <w:t>针对</w:t>
      </w:r>
      <w:r>
        <w:rPr>
          <w:rFonts w:hint="default" w:ascii="Times New Roman" w:hAnsi="Times New Roman"/>
          <w:b w:val="0"/>
          <w:bCs w:val="0"/>
          <w:lang w:val="en-US" w:eastAsia="zh-CN"/>
        </w:rPr>
        <w:t>公开发行市场欺诈发行时的特殊证券侵权责任规范，另</w:t>
      </w:r>
      <w:r>
        <w:rPr>
          <w:rFonts w:hint="eastAsia" w:ascii="Times New Roman" w:hAnsi="Times New Roman"/>
          <w:b w:val="0"/>
          <w:bCs w:val="0"/>
          <w:lang w:val="en-US" w:eastAsia="zh-CN"/>
        </w:rPr>
        <w:t>一种</w:t>
      </w:r>
      <w:r>
        <w:rPr>
          <w:rFonts w:hint="default" w:ascii="Times New Roman" w:hAnsi="Times New Roman"/>
          <w:b w:val="0"/>
          <w:bCs w:val="0"/>
          <w:lang w:val="en-US" w:eastAsia="zh-CN"/>
        </w:rPr>
        <w:t>是适用于除</w:t>
      </w:r>
      <w:r>
        <w:rPr>
          <w:rFonts w:hint="eastAsia" w:ascii="Times New Roman" w:hAnsi="Times New Roman"/>
          <w:b w:val="0"/>
          <w:bCs w:val="0"/>
          <w:lang w:val="en-US" w:eastAsia="zh-CN"/>
        </w:rPr>
        <w:t>前者情形之外的</w:t>
      </w:r>
      <w:r>
        <w:rPr>
          <w:rFonts w:hint="default" w:ascii="Times New Roman" w:hAnsi="Times New Roman"/>
          <w:b w:val="0"/>
          <w:bCs w:val="0"/>
          <w:lang w:val="en-US" w:eastAsia="zh-CN"/>
        </w:rPr>
        <w:t>一般证券侵权责任规范，</w:t>
      </w:r>
      <w:r>
        <w:rPr>
          <w:rFonts w:hint="eastAsia" w:ascii="Times New Roman" w:hAnsi="Times New Roman"/>
          <w:b w:val="0"/>
          <w:bCs w:val="0"/>
          <w:lang w:val="en-US" w:eastAsia="zh-CN"/>
        </w:rPr>
        <w:t>即</w:t>
      </w:r>
      <w:r>
        <w:rPr>
          <w:rFonts w:hint="default" w:ascii="Times New Roman" w:hAnsi="Times New Roman"/>
          <w:b w:val="0"/>
          <w:bCs w:val="0"/>
          <w:lang w:val="en-US" w:eastAsia="zh-CN"/>
        </w:rPr>
        <w:t>仅在有效市场或信息披露义务人隐瞒重大信息情形下实行信赖推定。</w:t>
      </w:r>
    </w:p>
    <w:p w14:paraId="5CB77DBD">
      <w:pPr>
        <w:bidi w:val="0"/>
        <w:rPr>
          <w:rFonts w:hint="default" w:ascii="Times New Roman" w:hAnsi="Times New Roman"/>
          <w:b w:val="0"/>
          <w:bCs w:val="0"/>
          <w:lang w:val="en-US" w:eastAsia="zh-CN"/>
        </w:rPr>
      </w:pPr>
      <w:r>
        <w:rPr>
          <w:rFonts w:hint="default" w:ascii="Times New Roman" w:hAnsi="Times New Roman"/>
          <w:b w:val="0"/>
          <w:bCs w:val="0"/>
          <w:lang w:val="en-US" w:eastAsia="zh-CN"/>
        </w:rPr>
        <w:t>具体而言，特殊侵权责任规范由侵权行为、主观过错、损失、因果关系四个要件组成。在公开欺诈发行中，让欺诈发行者赔偿投资者，即返还投资者认购的资金与卖出金额或证券余值之间的差额，</w:t>
      </w:r>
      <w:r>
        <w:rPr>
          <w:rFonts w:hint="eastAsia" w:ascii="Times New Roman" w:hAnsi="Times New Roman"/>
          <w:b w:val="0"/>
          <w:bCs w:val="0"/>
          <w:lang w:val="en-US" w:eastAsia="zh-CN"/>
        </w:rPr>
        <w:t>这样便</w:t>
      </w:r>
      <w:r>
        <w:rPr>
          <w:rFonts w:hint="default" w:ascii="Times New Roman" w:hAnsi="Times New Roman"/>
          <w:b w:val="0"/>
          <w:bCs w:val="0"/>
          <w:lang w:val="en-US" w:eastAsia="zh-CN"/>
        </w:rPr>
        <w:t>不会出现对发行人实施额外惩罚以及无法预期赔偿金额的情况。一方面，</w:t>
      </w:r>
      <w:r>
        <w:rPr>
          <w:rFonts w:hint="eastAsia" w:ascii="Times New Roman" w:hAnsi="Times New Roman"/>
          <w:b w:val="0"/>
          <w:bCs w:val="0"/>
          <w:lang w:val="en-US" w:eastAsia="zh-CN"/>
        </w:rPr>
        <w:t>有效限缩了</w:t>
      </w:r>
      <w:r>
        <w:rPr>
          <w:rFonts w:hint="default" w:ascii="Times New Roman" w:hAnsi="Times New Roman"/>
          <w:b w:val="0"/>
          <w:bCs w:val="0"/>
          <w:lang w:val="en-US" w:eastAsia="zh-CN"/>
        </w:rPr>
        <w:t>可提起诉讼的原告范围，</w:t>
      </w:r>
      <w:r>
        <w:rPr>
          <w:rFonts w:hint="eastAsia" w:ascii="Times New Roman" w:hAnsi="Times New Roman"/>
          <w:b w:val="0"/>
          <w:bCs w:val="0"/>
          <w:lang w:val="en-US" w:eastAsia="zh-CN"/>
        </w:rPr>
        <w:t>使其</w:t>
      </w:r>
      <w:r>
        <w:rPr>
          <w:rFonts w:hint="default" w:ascii="Times New Roman" w:hAnsi="Times New Roman"/>
          <w:b w:val="0"/>
          <w:bCs w:val="0"/>
          <w:lang w:val="en-US" w:eastAsia="zh-CN"/>
        </w:rPr>
        <w:t>仅限于参与发行认购的投资者，而不包括从交易市场买入证券的投资者。另一方面，</w:t>
      </w:r>
      <w:r>
        <w:rPr>
          <w:rFonts w:hint="eastAsia" w:ascii="Times New Roman" w:hAnsi="Times New Roman"/>
          <w:b w:val="0"/>
          <w:bCs w:val="0"/>
          <w:lang w:val="en-US" w:eastAsia="zh-CN"/>
        </w:rPr>
        <w:t>也适度减轻了</w:t>
      </w:r>
      <w:r>
        <w:rPr>
          <w:rFonts w:hint="default" w:ascii="Times New Roman" w:hAnsi="Times New Roman"/>
          <w:b w:val="0"/>
          <w:bCs w:val="0"/>
          <w:lang w:val="en-US" w:eastAsia="zh-CN"/>
        </w:rPr>
        <w:t>发行人的赔偿</w:t>
      </w:r>
      <w:r>
        <w:rPr>
          <w:rFonts w:hint="eastAsia" w:ascii="Times New Roman" w:hAnsi="Times New Roman"/>
          <w:b w:val="0"/>
          <w:bCs w:val="0"/>
          <w:lang w:val="en-US" w:eastAsia="zh-CN"/>
        </w:rPr>
        <w:t>负担</w:t>
      </w:r>
      <w:r>
        <w:rPr>
          <w:rFonts w:hint="default" w:ascii="Times New Roman" w:hAnsi="Times New Roman"/>
          <w:b w:val="0"/>
          <w:bCs w:val="0"/>
          <w:lang w:val="en-US" w:eastAsia="zh-CN"/>
        </w:rPr>
        <w:t>，</w:t>
      </w:r>
      <w:r>
        <w:rPr>
          <w:rFonts w:hint="eastAsia" w:ascii="Times New Roman" w:hAnsi="Times New Roman"/>
          <w:b w:val="0"/>
          <w:bCs w:val="0"/>
          <w:lang w:val="en-US" w:eastAsia="zh-CN"/>
        </w:rPr>
        <w:t>若</w:t>
      </w:r>
      <w:r>
        <w:rPr>
          <w:rFonts w:hint="default" w:ascii="Times New Roman" w:hAnsi="Times New Roman"/>
          <w:b w:val="0"/>
          <w:bCs w:val="0"/>
          <w:lang w:val="en-US" w:eastAsia="zh-CN"/>
        </w:rPr>
        <w:t>发起人申报不</w:t>
      </w:r>
      <w:r>
        <w:rPr>
          <w:rFonts w:hint="eastAsia" w:ascii="Times New Roman" w:hAnsi="Times New Roman"/>
          <w:b w:val="0"/>
          <w:bCs w:val="0"/>
          <w:lang w:val="en-US" w:eastAsia="zh-CN"/>
        </w:rPr>
        <w:t>真实的</w:t>
      </w:r>
      <w:r>
        <w:rPr>
          <w:rFonts w:hint="default" w:ascii="Times New Roman" w:hAnsi="Times New Roman"/>
          <w:b w:val="0"/>
          <w:bCs w:val="0"/>
          <w:lang w:val="en-US" w:eastAsia="zh-CN"/>
        </w:rPr>
        <w:t>企业信息，</w:t>
      </w:r>
      <w:r>
        <w:rPr>
          <w:rFonts w:hint="eastAsia" w:ascii="Times New Roman" w:hAnsi="Times New Roman"/>
          <w:b w:val="0"/>
          <w:bCs w:val="0"/>
          <w:lang w:val="en-US" w:eastAsia="zh-CN"/>
        </w:rPr>
        <w:t>仅需在其所取资金范围内赔偿即可</w:t>
      </w:r>
      <w:r>
        <w:rPr>
          <w:rFonts w:hint="default" w:ascii="Times New Roman" w:hAnsi="Times New Roman"/>
          <w:b w:val="0"/>
          <w:bCs w:val="0"/>
          <w:lang w:val="en-US" w:eastAsia="zh-CN"/>
        </w:rPr>
        <w:t>。</w:t>
      </w:r>
    </w:p>
    <w:p w14:paraId="035F48E1">
      <w:pPr>
        <w:bidi w:val="0"/>
        <w:rPr>
          <w:rFonts w:hint="eastAsia" w:ascii="Times New Roman" w:hAnsi="Times New Roman"/>
          <w:color w:val="000000" w:themeColor="text1"/>
          <w:lang w:val="en-US" w:eastAsia="zh-CN"/>
          <w14:textFill>
            <w14:solidFill>
              <w14:schemeClr w14:val="tx1"/>
            </w14:solidFill>
          </w14:textFill>
        </w:rPr>
      </w:pPr>
      <w:r>
        <w:rPr>
          <w:rFonts w:hint="eastAsia" w:ascii="Times New Roman" w:hAnsi="Times New Roman"/>
          <w:b w:val="0"/>
          <w:bCs w:val="0"/>
          <w:lang w:val="en-US" w:eastAsia="zh-CN"/>
        </w:rPr>
        <w:t>有学者指出，</w:t>
      </w:r>
      <w:r>
        <w:rPr>
          <w:rFonts w:hint="default" w:ascii="Times New Roman" w:hAnsi="Times New Roman"/>
          <w:b w:val="0"/>
          <w:bCs w:val="0"/>
          <w:lang w:val="en-US" w:eastAsia="zh-CN"/>
        </w:rPr>
        <w:t>交易市场主要是投资者之间的</w:t>
      </w:r>
      <w:r>
        <w:rPr>
          <w:rFonts w:hint="eastAsia" w:ascii="Times New Roman" w:hAnsi="Times New Roman"/>
          <w:b w:val="0"/>
          <w:bCs w:val="0"/>
          <w:lang w:val="en-US" w:eastAsia="zh-CN"/>
        </w:rPr>
        <w:t>“</w:t>
      </w:r>
      <w:r>
        <w:rPr>
          <w:rFonts w:hint="default" w:ascii="Times New Roman" w:hAnsi="Times New Roman"/>
          <w:b w:val="0"/>
          <w:bCs w:val="0"/>
          <w:lang w:val="en-US" w:eastAsia="zh-CN"/>
        </w:rPr>
        <w:t>零和博弈</w:t>
      </w:r>
      <w:r>
        <w:rPr>
          <w:rFonts w:hint="eastAsia" w:ascii="Times New Roman" w:hAnsi="Times New Roman"/>
          <w:b w:val="0"/>
          <w:bCs w:val="0"/>
          <w:lang w:val="en-US" w:eastAsia="zh-CN"/>
        </w:rPr>
        <w:t>”</w:t>
      </w:r>
      <w:r>
        <w:rPr>
          <w:rFonts w:hint="default" w:ascii="Times New Roman" w:hAnsi="Times New Roman"/>
          <w:b w:val="0"/>
          <w:bCs w:val="0"/>
          <w:lang w:val="en-US" w:eastAsia="zh-CN"/>
        </w:rPr>
        <w:t>，让发行人承担无过错责任实际上是施加了惩罚，当管理层</w:t>
      </w:r>
      <w:r>
        <w:rPr>
          <w:rFonts w:hint="eastAsia" w:ascii="Times New Roman" w:hAnsi="Times New Roman"/>
          <w:b w:val="0"/>
          <w:bCs w:val="0"/>
          <w:lang w:val="en-US" w:eastAsia="zh-CN"/>
        </w:rPr>
        <w:t>做出</w:t>
      </w:r>
      <w:r>
        <w:rPr>
          <w:rFonts w:hint="default" w:ascii="Times New Roman" w:hAnsi="Times New Roman"/>
          <w:b w:val="0"/>
          <w:bCs w:val="0"/>
          <w:lang w:val="en-US" w:eastAsia="zh-CN"/>
        </w:rPr>
        <w:t>导致公司违反信息披露法律的决策时，公司本身是违法行为的主要受害者。</w:t>
      </w:r>
      <w:r>
        <w:rPr>
          <w:rStyle w:val="22"/>
          <w:rFonts w:hint="default" w:ascii="Times New Roman" w:hAnsi="Times New Roman"/>
          <w:b w:val="0"/>
          <w:bCs w:val="0"/>
          <w:lang w:val="en-US" w:eastAsia="zh-CN"/>
        </w:rPr>
        <w:footnoteReference w:id="64"/>
      </w:r>
      <w:r>
        <w:rPr>
          <w:rFonts w:hint="default" w:ascii="Times New Roman" w:hAnsi="Times New Roman"/>
          <w:b w:val="0"/>
          <w:bCs w:val="0"/>
          <w:lang w:val="en-US" w:eastAsia="zh-CN"/>
        </w:rPr>
        <w:t>此外，让发行人承担赔偿责任还存在新股东与原股东之间的</w:t>
      </w:r>
      <w:r>
        <w:rPr>
          <w:rFonts w:hint="eastAsia" w:ascii="Times New Roman" w:hAnsi="Times New Roman"/>
          <w:b w:val="0"/>
          <w:bCs w:val="0"/>
          <w:lang w:val="en-US" w:eastAsia="zh-CN"/>
        </w:rPr>
        <w:t>“</w:t>
      </w:r>
      <w:r>
        <w:rPr>
          <w:rFonts w:hint="default" w:ascii="Times New Roman" w:hAnsi="Times New Roman"/>
          <w:b w:val="0"/>
          <w:bCs w:val="0"/>
          <w:lang w:val="en-US" w:eastAsia="zh-CN"/>
        </w:rPr>
        <w:t>循环困境</w:t>
      </w:r>
      <w:r>
        <w:rPr>
          <w:rFonts w:hint="eastAsia" w:ascii="Times New Roman" w:hAnsi="Times New Roman"/>
          <w:b w:val="0"/>
          <w:bCs w:val="0"/>
          <w:lang w:val="en-US" w:eastAsia="zh-CN"/>
        </w:rPr>
        <w:t>”</w:t>
      </w:r>
      <w:r>
        <w:rPr>
          <w:rFonts w:hint="default" w:ascii="Times New Roman" w:hAnsi="Times New Roman"/>
          <w:b w:val="0"/>
          <w:bCs w:val="0"/>
          <w:lang w:val="en-US" w:eastAsia="zh-CN"/>
        </w:rPr>
        <w:t>问题。上市公司的赔偿，以现有股东间接承担成本为代价，支付给了受虚假陈述影响期间的原股东，这种赔偿本质上是股东之间的财富转移，而</w:t>
      </w:r>
      <w:r>
        <w:rPr>
          <w:rFonts w:hint="eastAsia" w:ascii="Times New Roman" w:hAnsi="Times New Roman"/>
          <w:b w:val="0"/>
          <w:bCs w:val="0"/>
          <w:lang w:val="en-US" w:eastAsia="zh-CN"/>
        </w:rPr>
        <w:t>虚假陈述行为</w:t>
      </w:r>
      <w:r>
        <w:rPr>
          <w:rFonts w:hint="default" w:ascii="Times New Roman" w:hAnsi="Times New Roman"/>
          <w:b w:val="0"/>
          <w:bCs w:val="0"/>
          <w:lang w:val="en-US" w:eastAsia="zh-CN"/>
        </w:rPr>
        <w:t>者赔偿受害者。因此，</w:t>
      </w:r>
      <w:r>
        <w:rPr>
          <w:rFonts w:hint="eastAsia" w:ascii="Times New Roman" w:hAnsi="Times New Roman"/>
          <w:b w:val="0"/>
          <w:bCs w:val="0"/>
          <w:lang w:val="en-US" w:eastAsia="zh-CN"/>
        </w:rPr>
        <w:t>交易</w:t>
      </w:r>
      <w:r>
        <w:rPr>
          <w:rFonts w:hint="default" w:ascii="Times New Roman" w:hAnsi="Times New Roman"/>
          <w:b w:val="0"/>
          <w:bCs w:val="0"/>
          <w:lang w:val="en-US" w:eastAsia="zh-CN"/>
        </w:rPr>
        <w:t>市场的虚假陈述应当回归一般侵权法理，而非简单依赖特殊保护逻辑。</w:t>
      </w:r>
    </w:p>
    <w:p w14:paraId="5A0EDEE6">
      <w:pPr>
        <w:pStyle w:val="3"/>
        <w:bidi w:val="0"/>
        <w:rPr>
          <w:rFonts w:hint="default" w:ascii="Times New Roman" w:hAnsi="Times New Roman"/>
          <w:lang w:val="en-US" w:eastAsia="zh-CN"/>
        </w:rPr>
      </w:pPr>
      <w:bookmarkStart w:id="64" w:name="_Toc6106"/>
      <w:bookmarkStart w:id="65" w:name="_Toc5894"/>
      <w:r>
        <w:rPr>
          <w:rFonts w:hint="default" w:ascii="Times New Roman" w:hAnsi="Times New Roman"/>
          <w:lang w:val="en-US" w:eastAsia="zh-CN"/>
        </w:rPr>
        <w:t>（</w:t>
      </w:r>
      <w:r>
        <w:rPr>
          <w:rFonts w:hint="eastAsia" w:ascii="Times New Roman" w:hAnsi="Times New Roman"/>
          <w:lang w:val="en-US" w:eastAsia="zh-CN"/>
        </w:rPr>
        <w:t>二</w:t>
      </w:r>
      <w:r>
        <w:rPr>
          <w:rFonts w:hint="default" w:ascii="Times New Roman" w:hAnsi="Times New Roman"/>
          <w:lang w:val="en-US" w:eastAsia="zh-CN"/>
        </w:rPr>
        <w:t>）损失因果关系认定中的风险量化与精算路径</w:t>
      </w:r>
      <w:bookmarkEnd w:id="64"/>
      <w:bookmarkEnd w:id="65"/>
    </w:p>
    <w:p w14:paraId="1DDCDA06">
      <w:pPr>
        <w:bidi w:val="0"/>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t>在损失因果关系的认定方面，应当进一步推动第三方专业机构损失核定技术的标准化。司法实践中，法院普遍委托中证法律服务中心、上海高金金融研究院等专业机构进行损失核定，常见的核定方法包括</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收益率曲线同步对比法</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多因子模型法</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和</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事件分析法</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，以更科学</w:t>
      </w:r>
      <w:r>
        <w:rPr>
          <w:rFonts w:hint="eastAsia" w:ascii="Times New Roman" w:hAnsi="Times New Roman"/>
          <w:b w:val="0"/>
          <w:bCs w:val="0"/>
          <w:color w:val="000000" w:themeColor="text1"/>
          <w:lang w:val="en-US" w:eastAsia="zh-CN"/>
          <w14:textFill>
            <w14:solidFill>
              <w14:schemeClr w14:val="tx1"/>
            </w14:solidFill>
          </w14:textFill>
        </w:rPr>
        <w:t>的方法</w:t>
      </w:r>
      <w:r>
        <w:rPr>
          <w:rFonts w:hint="default" w:ascii="Times New Roman" w:hAnsi="Times New Roman"/>
          <w:b w:val="0"/>
          <w:bCs w:val="0"/>
          <w:color w:val="000000" w:themeColor="text1"/>
          <w:lang w:val="en-US" w:eastAsia="zh-CN"/>
          <w14:textFill>
            <w14:solidFill>
              <w14:schemeClr w14:val="tx1"/>
            </w14:solidFill>
          </w14:textFill>
        </w:rPr>
        <w:t>剔除系统性风险和非系统性风险对投资者损失的影响。</w:t>
      </w:r>
      <w:r>
        <w:rPr>
          <w:rStyle w:val="22"/>
          <w:rFonts w:hint="default" w:ascii="Times New Roman" w:hAnsi="Times New Roman"/>
          <w:b w:val="0"/>
          <w:bCs w:val="0"/>
          <w:color w:val="000000" w:themeColor="text1"/>
          <w:lang w:val="en-US" w:eastAsia="zh-CN"/>
          <w14:textFill>
            <w14:solidFill>
              <w14:schemeClr w14:val="tx1"/>
            </w14:solidFill>
          </w14:textFill>
        </w:rPr>
        <w:footnoteReference w:id="65"/>
      </w:r>
    </w:p>
    <w:p w14:paraId="6173F60E">
      <w:pPr>
        <w:bidi w:val="0"/>
        <w:rPr>
          <w:rFonts w:hint="default" w:ascii="Times New Roman" w:hAnsi="Times New Roman"/>
          <w:b w:val="0"/>
          <w:bCs w:val="0"/>
          <w:color w:val="808080" w:themeColor="background1" w:themeShade="80"/>
          <w:lang w:val="en-US" w:eastAsia="zh-CN"/>
        </w:rPr>
      </w:pP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收益率曲线同步对比法</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，是</w:t>
      </w:r>
      <w:r>
        <w:rPr>
          <w:rFonts w:hint="eastAsia" w:ascii="Times New Roman" w:hAnsi="Times New Roman"/>
          <w:b w:val="0"/>
          <w:bCs w:val="0"/>
          <w:color w:val="000000" w:themeColor="text1"/>
          <w:lang w:val="en-US" w:eastAsia="zh-CN"/>
          <w14:textFill>
            <w14:solidFill>
              <w14:schemeClr w14:val="tx1"/>
            </w14:solidFill>
          </w14:textFill>
        </w:rPr>
        <w:t>指</w:t>
      </w:r>
      <w:r>
        <w:rPr>
          <w:rFonts w:hint="default" w:ascii="Times New Roman" w:hAnsi="Times New Roman"/>
          <w:b w:val="0"/>
          <w:bCs w:val="0"/>
          <w:color w:val="000000" w:themeColor="text1"/>
          <w:lang w:val="en-US" w:eastAsia="zh-CN"/>
          <w14:textFill>
            <w14:solidFill>
              <w14:schemeClr w14:val="tx1"/>
            </w14:solidFill>
          </w14:textFill>
        </w:rPr>
        <w:t>对影响股价的各种主要因素进行定量分析，在不考虑虚假陈述因素的情况下，计算出其他各种因素影响下股票的模拟收益率，将模拟损益率与包含虚假陈述行为导致的实际损益比例相比较，两者之差即虚假陈述行为导致的投资者损失。该方法除考量大盘因素、行业因素、系统性风险之外，还将个股的特征及与个股相关的特定事件作为计算基础，用可循证的方法模拟出除虚假陈述外的其他因素对股价的影响，符合司法解释规定的赋予上市公司进行抗辩及准确界定虚假陈述行为与损失因果关系的规定要旨。</w:t>
      </w:r>
    </w:p>
    <w:p w14:paraId="1BC543E3">
      <w:pPr>
        <w:bidi w:val="0"/>
        <w:rPr>
          <w:rFonts w:hint="default" w:ascii="Times New Roman" w:hAnsi="Times New Roman"/>
          <w:b/>
          <w:bCs/>
          <w:color w:val="000000" w:themeColor="text1"/>
          <w:lang w:val="en-US" w:eastAsia="zh-CN"/>
          <w14:textFill>
            <w14:solidFill>
              <w14:schemeClr w14:val="tx1"/>
            </w14:solidFill>
          </w14:textFill>
        </w:rPr>
      </w:pP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多因子模型法</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则就可能对股价造成持续性影响的共性因素的核定更为全面，既包括大盘因素、行业因素，也包括股票市值、公司估值、盈利水平、杠杆率、销售或盈利成长速度、股票对市场风险反应程度、股票收益历史表现、交易波动率、股票换手率共九类个股风格因素。</w:t>
      </w:r>
    </w:p>
    <w:p w14:paraId="7C477FBD">
      <w:pPr>
        <w:bidi w:val="0"/>
        <w:rPr>
          <w:rFonts w:hint="default" w:ascii="Times New Roman" w:hAnsi="Times New Roman"/>
          <w:b/>
          <w:bCs/>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t>北京金融法院首创的“多因子迁移同步对比法”，则修正了受虚假陈述影响的因子暴露，再把修正后的因子代入多因子方程，算出修正后的模拟日收益率序列。这样一来，就能更精确地把虚假陈述和其他因素对股价的影响区分开。</w:t>
      </w:r>
      <w:r>
        <w:rPr>
          <w:rFonts w:hint="eastAsia" w:ascii="Times New Roman" w:hAnsi="Times New Roman"/>
          <w:b w:val="0"/>
          <w:bCs w:val="0"/>
          <w:color w:val="000000" w:themeColor="text1"/>
          <w:lang w:val="en-US" w:eastAsia="zh-CN"/>
          <w14:textFill>
            <w14:solidFill>
              <w14:schemeClr w14:val="tx1"/>
            </w14:solidFill>
          </w14:textFill>
        </w:rPr>
        <w:t>至于</w:t>
      </w:r>
      <w:r>
        <w:rPr>
          <w:rFonts w:hint="default" w:ascii="Times New Roman" w:hAnsi="Times New Roman"/>
          <w:b w:val="0"/>
          <w:bCs w:val="0"/>
          <w:color w:val="000000" w:themeColor="text1"/>
          <w:lang w:val="en-US" w:eastAsia="zh-CN"/>
          <w14:textFill>
            <w14:solidFill>
              <w14:schemeClr w14:val="tx1"/>
            </w14:solidFill>
          </w14:textFill>
        </w:rPr>
        <w:t>非系统性风险的认定，有学者提出，应该用事件分析法来检验：在事件窗口期内，事件收益率是不是明显超出了正常的波动范围。一般情况下，拿3个交易日作为事件窗口期是比较合理的做法。</w:t>
      </w:r>
      <w:r>
        <w:rPr>
          <w:rStyle w:val="22"/>
          <w:rFonts w:hint="default" w:ascii="Times New Roman" w:hAnsi="Times New Roman"/>
          <w:color w:val="000000" w:themeColor="text1"/>
          <w:lang w:val="en-US" w:eastAsia="zh-CN"/>
          <w14:textFill>
            <w14:solidFill>
              <w14:schemeClr w14:val="tx1"/>
            </w14:solidFill>
          </w14:textFill>
        </w:rPr>
        <w:footnoteReference w:id="66"/>
      </w:r>
      <w:r>
        <w:rPr>
          <w:rFonts w:hint="default" w:ascii="Times New Roman" w:hAnsi="Times New Roman"/>
          <w:b w:val="0"/>
          <w:bCs w:val="0"/>
          <w:color w:val="000000" w:themeColor="text1"/>
          <w:lang w:val="en-US" w:eastAsia="zh-CN"/>
          <w14:textFill>
            <w14:solidFill>
              <w14:schemeClr w14:val="tx1"/>
            </w14:solidFill>
          </w14:textFill>
        </w:rPr>
        <w:t>而系统性风险和非系统性风险的扣除规则，说到底是为了让责任划分更公平，</w:t>
      </w:r>
      <w:r>
        <w:rPr>
          <w:rFonts w:hint="eastAsia" w:ascii="Times New Roman" w:hAnsi="Times New Roman"/>
          <w:b w:val="0"/>
          <w:bCs w:val="0"/>
          <w:color w:val="000000" w:themeColor="text1"/>
          <w:lang w:val="en-US" w:eastAsia="zh-CN"/>
          <w14:textFill>
            <w14:solidFill>
              <w14:schemeClr w14:val="tx1"/>
            </w14:solidFill>
          </w14:textFill>
        </w:rPr>
        <w:t>避免</w:t>
      </w:r>
      <w:r>
        <w:rPr>
          <w:rFonts w:hint="default" w:ascii="Times New Roman" w:hAnsi="Times New Roman"/>
          <w:b w:val="0"/>
          <w:bCs w:val="0"/>
          <w:color w:val="000000" w:themeColor="text1"/>
          <w:lang w:val="en-US" w:eastAsia="zh-CN"/>
          <w14:textFill>
            <w14:solidFill>
              <w14:schemeClr w14:val="tx1"/>
            </w14:solidFill>
          </w14:textFill>
        </w:rPr>
        <w:t>让虚假陈述的行为人</w:t>
      </w:r>
      <w:r>
        <w:rPr>
          <w:rFonts w:hint="eastAsia" w:ascii="Times New Roman" w:hAnsi="Times New Roman"/>
          <w:b w:val="0"/>
          <w:bCs w:val="0"/>
          <w:color w:val="000000" w:themeColor="text1"/>
          <w:lang w:val="en-US" w:eastAsia="zh-CN"/>
          <w14:textFill>
            <w14:solidFill>
              <w14:schemeClr w14:val="tx1"/>
            </w14:solidFill>
          </w14:textFill>
        </w:rPr>
        <w:t>承担与</w:t>
      </w:r>
      <w:r>
        <w:rPr>
          <w:rFonts w:hint="default" w:ascii="Times New Roman" w:hAnsi="Times New Roman"/>
          <w:b w:val="0"/>
          <w:bCs w:val="0"/>
          <w:color w:val="000000" w:themeColor="text1"/>
          <w:lang w:val="en-US" w:eastAsia="zh-CN"/>
          <w14:textFill>
            <w14:solidFill>
              <w14:schemeClr w14:val="tx1"/>
            </w14:solidFill>
          </w14:textFill>
        </w:rPr>
        <w:t>自己行为没关系的损失。</w:t>
      </w:r>
    </w:p>
    <w:p w14:paraId="53B09E27">
      <w:pPr>
        <w:bidi w:val="0"/>
        <w:ind w:left="0" w:leftChars="0" w:firstLine="480" w:firstLineChars="200"/>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t>目前，法院通常会委托专业机构出具损失测算报告、系统性风险分析报告、非系统性风险分析报告。在司法实践中，已有法院在系统性风险扣减的基础上，进一步支持了应扣减非系统性风险的合理意见，表明司法对损失因果关系的认定正在走向精细化。</w:t>
      </w:r>
    </w:p>
    <w:p w14:paraId="0306F19B">
      <w:pPr>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t>综上，我国证券虚假陈述责任纠纷中因果关系的认定，应当从一元模式</w:t>
      </w:r>
      <w:r>
        <w:rPr>
          <w:rFonts w:hint="eastAsia" w:ascii="Times New Roman" w:hAnsi="Times New Roman"/>
          <w:b w:val="0"/>
          <w:bCs w:val="0"/>
          <w:color w:val="000000" w:themeColor="text1"/>
          <w:lang w:val="en-US" w:eastAsia="zh-CN"/>
          <w14:textFill>
            <w14:solidFill>
              <w14:schemeClr w14:val="tx1"/>
            </w14:solidFill>
          </w14:textFill>
        </w:rPr>
        <w:t>逐渐过渡至</w:t>
      </w:r>
      <w:r>
        <w:rPr>
          <w:rFonts w:hint="default" w:ascii="Times New Roman" w:hAnsi="Times New Roman"/>
          <w:b w:val="0"/>
          <w:bCs w:val="0"/>
          <w:color w:val="000000" w:themeColor="text1"/>
          <w:lang w:val="en-US" w:eastAsia="zh-CN"/>
          <w14:textFill>
            <w14:solidFill>
              <w14:schemeClr w14:val="tx1"/>
            </w14:solidFill>
          </w14:textFill>
        </w:rPr>
        <w:t>二元模式，从粗放推定走向精细审查，从形式判断走向实质判断。具体而言，应构建公开欺诈发行的特殊侵权责任规范与一般证券侵权责任规范并行的二元模式；将非公开发行排除出信赖推定的适用范围，回归一般侵权法理；在有效市场认定上采取个案判断的立场，根据市场机制、交易方式和价格发现功能的实际情况决定是否适用信赖推定；在审查标准上贯彻</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直接原因、最近原因</w:t>
      </w:r>
      <w:r>
        <w:rPr>
          <w:rFonts w:hint="eastAsia" w:ascii="Times New Roman" w:hAnsi="Times New Roman"/>
          <w:b w:val="0"/>
          <w:bCs w:val="0"/>
          <w:color w:val="000000" w:themeColor="text1"/>
          <w:lang w:val="en-US" w:eastAsia="zh-CN"/>
          <w14:textFill>
            <w14:solidFill>
              <w14:schemeClr w14:val="tx1"/>
            </w14:solidFill>
          </w14:textFill>
        </w:rPr>
        <w:t>”</w:t>
      </w:r>
      <w:r>
        <w:rPr>
          <w:rFonts w:hint="default" w:ascii="Times New Roman" w:hAnsi="Times New Roman"/>
          <w:b w:val="0"/>
          <w:bCs w:val="0"/>
          <w:color w:val="000000" w:themeColor="text1"/>
          <w:lang w:val="en-US" w:eastAsia="zh-CN"/>
          <w14:textFill>
            <w14:solidFill>
              <w14:schemeClr w14:val="tx1"/>
            </w14:solidFill>
          </w14:textFill>
        </w:rPr>
        <w:t>原则，深入考察投资者的交易决策究竟是受虚假陈述影响还是受其他重大事件主导；在损失计算上借助第三方专业机构的技术力量，实现系统性风险和非系统性风险的科学量化扣除。</w:t>
      </w:r>
    </w:p>
    <w:p w14:paraId="7D54AD3E">
      <w:pPr>
        <w:rPr>
          <w:rFonts w:hint="default" w:ascii="Times New Roman" w:hAnsi="Times New Roman"/>
          <w:b w:val="0"/>
          <w:bCs w:val="0"/>
          <w:color w:val="000000" w:themeColor="text1"/>
          <w:lang w:val="en-US" w:eastAsia="zh-CN"/>
          <w14:textFill>
            <w14:solidFill>
              <w14:schemeClr w14:val="tx1"/>
            </w14:solidFill>
          </w14:textFill>
        </w:rPr>
      </w:pPr>
      <w:r>
        <w:rPr>
          <w:rFonts w:hint="default" w:ascii="Times New Roman" w:hAnsi="Times New Roman"/>
          <w:b w:val="0"/>
          <w:bCs w:val="0"/>
          <w:color w:val="000000" w:themeColor="text1"/>
          <w:lang w:val="en-US" w:eastAsia="zh-CN"/>
          <w14:textFill>
            <w14:solidFill>
              <w14:schemeClr w14:val="tx1"/>
            </w14:solidFill>
          </w14:textFill>
        </w:rPr>
        <w:br w:type="page"/>
      </w:r>
    </w:p>
    <w:p w14:paraId="37E7D4CB">
      <w:pPr>
        <w:pStyle w:val="2"/>
        <w:bidi w:val="0"/>
        <w:rPr>
          <w:rFonts w:hint="eastAsia" w:ascii="Times New Roman" w:hAnsi="Times New Roman"/>
          <w:lang w:val="en-US" w:eastAsia="zh-CN"/>
        </w:rPr>
      </w:pPr>
      <w:bookmarkStart w:id="66" w:name="_Toc4808"/>
      <w:r>
        <w:rPr>
          <w:rFonts w:hint="eastAsia" w:ascii="Times New Roman" w:hAnsi="Times New Roman"/>
          <w:lang w:val="en-US" w:eastAsia="zh-CN"/>
        </w:rPr>
        <w:t>六、结论</w:t>
      </w:r>
      <w:bookmarkEnd w:id="66"/>
    </w:p>
    <w:p w14:paraId="230F11FB">
      <w:pPr>
        <w:bidi w:val="0"/>
        <w:rPr>
          <w:rFonts w:hint="default" w:ascii="Times New Roman" w:hAnsi="Times New Roman"/>
          <w:lang w:val="en-US" w:eastAsia="zh-CN"/>
        </w:rPr>
      </w:pPr>
      <w:r>
        <w:rPr>
          <w:rFonts w:hint="eastAsia" w:ascii="Times New Roman" w:hAnsi="Times New Roman"/>
          <w:lang w:val="en-US" w:eastAsia="zh-CN"/>
        </w:rPr>
        <w:t>这篇文章</w:t>
      </w:r>
      <w:r>
        <w:rPr>
          <w:rFonts w:hint="default" w:ascii="Times New Roman" w:hAnsi="Times New Roman"/>
          <w:lang w:val="en-US" w:eastAsia="zh-CN"/>
        </w:rPr>
        <w:t>以2023年至2025年间审结的86份证券虚假陈述责任纠纷二审判决书为样本，用实证分析与规范分析相结合的方法，</w:t>
      </w:r>
      <w:r>
        <w:rPr>
          <w:rFonts w:hint="eastAsia" w:ascii="Times New Roman" w:hAnsi="Times New Roman"/>
          <w:lang w:val="en-US" w:eastAsia="zh-CN"/>
        </w:rPr>
        <w:t>仔细</w:t>
      </w:r>
      <w:r>
        <w:rPr>
          <w:rFonts w:hint="default" w:ascii="Times New Roman" w:hAnsi="Times New Roman"/>
          <w:lang w:val="en-US" w:eastAsia="zh-CN"/>
        </w:rPr>
        <w:t>考察了</w:t>
      </w:r>
      <w:r>
        <w:rPr>
          <w:rFonts w:hint="eastAsia" w:ascii="Times New Roman" w:hAnsi="Times New Roman"/>
          <w:lang w:val="en-US" w:eastAsia="zh-CN"/>
        </w:rPr>
        <w:t>国内</w:t>
      </w:r>
      <w:r>
        <w:rPr>
          <w:rFonts w:hint="default" w:ascii="Times New Roman" w:hAnsi="Times New Roman"/>
          <w:lang w:val="en-US" w:eastAsia="zh-CN"/>
        </w:rPr>
        <w:t>司法实践中交易因果关系与损失因果关系的认定</w:t>
      </w:r>
      <w:r>
        <w:rPr>
          <w:rFonts w:hint="eastAsia" w:ascii="Times New Roman" w:hAnsi="Times New Roman"/>
          <w:lang w:val="en-US" w:eastAsia="zh-CN"/>
        </w:rPr>
        <w:t>方法</w:t>
      </w:r>
      <w:r>
        <w:rPr>
          <w:rFonts w:hint="default" w:ascii="Times New Roman" w:hAnsi="Times New Roman"/>
          <w:lang w:val="en-US" w:eastAsia="zh-CN"/>
        </w:rPr>
        <w:t>、争议焦点与裁判分歧。研究发现，</w:t>
      </w:r>
      <w:r>
        <w:rPr>
          <w:rFonts w:hint="eastAsia" w:ascii="Times New Roman" w:hAnsi="Times New Roman"/>
          <w:lang w:val="en-US" w:eastAsia="zh-CN"/>
        </w:rPr>
        <w:t>虽然说</w:t>
      </w:r>
      <w:r>
        <w:rPr>
          <w:rFonts w:hint="default" w:ascii="Times New Roman" w:hAnsi="Times New Roman"/>
          <w:lang w:val="en-US" w:eastAsia="zh-CN"/>
        </w:rPr>
        <w:t>2022年虚假陈述解释确立了</w:t>
      </w:r>
      <w:r>
        <w:rPr>
          <w:rFonts w:hint="eastAsia" w:ascii="Times New Roman" w:hAnsi="Times New Roman"/>
          <w:lang w:val="en-US" w:eastAsia="zh-CN"/>
        </w:rPr>
        <w:t>“</w:t>
      </w:r>
      <w:r>
        <w:rPr>
          <w:rFonts w:hint="default" w:ascii="Times New Roman" w:hAnsi="Times New Roman"/>
          <w:lang w:val="en-US" w:eastAsia="zh-CN"/>
        </w:rPr>
        <w:t>信赖推定</w:t>
      </w:r>
      <w:r>
        <w:rPr>
          <w:rFonts w:hint="eastAsia" w:ascii="Times New Roman" w:hAnsi="Times New Roman"/>
          <w:lang w:val="en-US" w:eastAsia="zh-CN"/>
        </w:rPr>
        <w:t>”</w:t>
      </w:r>
      <w:r>
        <w:rPr>
          <w:rFonts w:hint="default" w:ascii="Times New Roman" w:hAnsi="Times New Roman"/>
          <w:lang w:val="en-US" w:eastAsia="zh-CN"/>
        </w:rPr>
        <w:t>原则与</w:t>
      </w:r>
      <w:r>
        <w:rPr>
          <w:rFonts w:hint="eastAsia" w:ascii="Times New Roman" w:hAnsi="Times New Roman"/>
          <w:lang w:val="en-US" w:eastAsia="zh-CN"/>
        </w:rPr>
        <w:t>交易因果和损失因果的</w:t>
      </w:r>
      <w:r>
        <w:rPr>
          <w:rFonts w:hint="default" w:ascii="Times New Roman" w:hAnsi="Times New Roman"/>
          <w:lang w:val="en-US" w:eastAsia="zh-CN"/>
        </w:rPr>
        <w:t>二元区分框架，但</w:t>
      </w:r>
      <w:r>
        <w:rPr>
          <w:rFonts w:hint="eastAsia" w:ascii="Times New Roman" w:hAnsi="Times New Roman"/>
          <w:lang w:val="en-US" w:eastAsia="zh-CN"/>
        </w:rPr>
        <w:t>法院在实际办案的时候，还是</w:t>
      </w:r>
      <w:r>
        <w:rPr>
          <w:rFonts w:hint="default" w:ascii="Times New Roman" w:hAnsi="Times New Roman"/>
          <w:lang w:val="en-US" w:eastAsia="zh-CN"/>
        </w:rPr>
        <w:t>存在明显的</w:t>
      </w:r>
      <w:r>
        <w:rPr>
          <w:rFonts w:hint="eastAsia" w:ascii="Times New Roman" w:hAnsi="Times New Roman"/>
          <w:lang w:val="en-US" w:eastAsia="zh-CN"/>
        </w:rPr>
        <w:t>“</w:t>
      </w:r>
      <w:r>
        <w:rPr>
          <w:rFonts w:hint="default" w:ascii="Times New Roman" w:hAnsi="Times New Roman"/>
          <w:lang w:val="en-US" w:eastAsia="zh-CN"/>
        </w:rPr>
        <w:t>一刀切</w:t>
      </w:r>
      <w:r>
        <w:rPr>
          <w:rFonts w:hint="eastAsia" w:ascii="Times New Roman" w:hAnsi="Times New Roman"/>
          <w:lang w:val="en-US" w:eastAsia="zh-CN"/>
        </w:rPr>
        <w:t>”</w:t>
      </w:r>
      <w:r>
        <w:rPr>
          <w:rFonts w:hint="default" w:ascii="Times New Roman" w:hAnsi="Times New Roman"/>
          <w:lang w:val="en-US" w:eastAsia="zh-CN"/>
        </w:rPr>
        <w:t>倾向</w:t>
      </w:r>
      <w:r>
        <w:rPr>
          <w:rFonts w:hint="eastAsia" w:ascii="Times New Roman" w:hAnsi="Times New Roman"/>
          <w:lang w:val="en-US" w:eastAsia="zh-CN"/>
        </w:rPr>
        <w:t>。</w:t>
      </w:r>
      <w:r>
        <w:rPr>
          <w:rFonts w:hint="default" w:ascii="Times New Roman" w:hAnsi="Times New Roman"/>
          <w:lang w:val="en-US" w:eastAsia="zh-CN"/>
        </w:rPr>
        <w:t>样本中因果关系争议</w:t>
      </w:r>
      <w:r>
        <w:rPr>
          <w:rFonts w:hint="eastAsia" w:ascii="Times New Roman" w:hAnsi="Times New Roman"/>
          <w:lang w:val="en-US" w:eastAsia="zh-CN"/>
        </w:rPr>
        <w:t>焦点</w:t>
      </w:r>
      <w:r>
        <w:rPr>
          <w:rFonts w:hint="default" w:ascii="Times New Roman" w:hAnsi="Times New Roman"/>
          <w:lang w:val="en-US" w:eastAsia="zh-CN"/>
        </w:rPr>
        <w:t>占比达55%且逐年上升，二审改判率</w:t>
      </w:r>
      <w:r>
        <w:rPr>
          <w:rFonts w:hint="eastAsia" w:ascii="Times New Roman" w:hAnsi="Times New Roman"/>
          <w:lang w:val="en-US" w:eastAsia="zh-CN"/>
        </w:rPr>
        <w:t>为</w:t>
      </w:r>
      <w:r>
        <w:rPr>
          <w:rFonts w:hint="default" w:ascii="Times New Roman" w:hAnsi="Times New Roman"/>
          <w:lang w:val="en-US" w:eastAsia="zh-CN"/>
        </w:rPr>
        <w:t>8.14%，多数因因果关系问题改判</w:t>
      </w:r>
      <w:r>
        <w:rPr>
          <w:rFonts w:hint="eastAsia" w:ascii="Times New Roman" w:hAnsi="Times New Roman"/>
          <w:lang w:val="en-US" w:eastAsia="zh-CN"/>
        </w:rPr>
        <w:t>。此外，</w:t>
      </w:r>
      <w:r>
        <w:rPr>
          <w:rFonts w:hint="default" w:ascii="Times New Roman" w:hAnsi="Times New Roman"/>
          <w:lang w:val="en-US" w:eastAsia="zh-CN"/>
        </w:rPr>
        <w:t>法院</w:t>
      </w:r>
      <w:r>
        <w:rPr>
          <w:rFonts w:hint="eastAsia" w:ascii="Times New Roman" w:hAnsi="Times New Roman"/>
          <w:lang w:val="en-US" w:eastAsia="zh-CN"/>
        </w:rPr>
        <w:t>尤为</w:t>
      </w:r>
      <w:r>
        <w:rPr>
          <w:rFonts w:hint="default" w:ascii="Times New Roman" w:hAnsi="Times New Roman"/>
          <w:lang w:val="en-US" w:eastAsia="zh-CN"/>
        </w:rPr>
        <w:t>依赖第三方机构</w:t>
      </w:r>
      <w:r>
        <w:rPr>
          <w:rFonts w:hint="eastAsia" w:ascii="Times New Roman" w:hAnsi="Times New Roman"/>
          <w:lang w:val="en-US" w:eastAsia="zh-CN"/>
        </w:rPr>
        <w:t>来</w:t>
      </w:r>
      <w:r>
        <w:rPr>
          <w:rFonts w:hint="default" w:ascii="Times New Roman" w:hAnsi="Times New Roman"/>
          <w:lang w:val="en-US" w:eastAsia="zh-CN"/>
        </w:rPr>
        <w:t>核定损失，但自身审查</w:t>
      </w:r>
      <w:r>
        <w:rPr>
          <w:rFonts w:hint="eastAsia" w:ascii="Times New Roman" w:hAnsi="Times New Roman"/>
          <w:lang w:val="en-US" w:eastAsia="zh-CN"/>
        </w:rPr>
        <w:t>专业报告的</w:t>
      </w:r>
      <w:r>
        <w:rPr>
          <w:rFonts w:hint="default" w:ascii="Times New Roman" w:hAnsi="Times New Roman"/>
          <w:lang w:val="en-US" w:eastAsia="zh-CN"/>
        </w:rPr>
        <w:t>能力</w:t>
      </w:r>
      <w:r>
        <w:rPr>
          <w:rFonts w:hint="eastAsia" w:ascii="Times New Roman" w:hAnsi="Times New Roman"/>
          <w:lang w:val="en-US" w:eastAsia="zh-CN"/>
        </w:rPr>
        <w:t>却</w:t>
      </w:r>
      <w:r>
        <w:rPr>
          <w:rFonts w:hint="default" w:ascii="Times New Roman" w:hAnsi="Times New Roman"/>
          <w:lang w:val="en-US" w:eastAsia="zh-CN"/>
        </w:rPr>
        <w:t>不足。</w:t>
      </w:r>
      <w:r>
        <w:rPr>
          <w:rFonts w:hint="eastAsia" w:ascii="Times New Roman" w:hAnsi="Times New Roman"/>
          <w:lang w:val="en-US" w:eastAsia="zh-CN"/>
        </w:rPr>
        <w:t>由此可见，</w:t>
      </w:r>
      <w:r>
        <w:rPr>
          <w:rFonts w:hint="default" w:ascii="Times New Roman" w:hAnsi="Times New Roman"/>
          <w:lang w:val="en-US" w:eastAsia="zh-CN"/>
        </w:rPr>
        <w:t>因果关系</w:t>
      </w:r>
      <w:r>
        <w:rPr>
          <w:rFonts w:hint="eastAsia" w:ascii="Times New Roman" w:hAnsi="Times New Roman"/>
          <w:lang w:val="en-US" w:eastAsia="zh-CN"/>
        </w:rPr>
        <w:t>的</w:t>
      </w:r>
      <w:r>
        <w:rPr>
          <w:rFonts w:hint="default" w:ascii="Times New Roman" w:hAnsi="Times New Roman"/>
          <w:lang w:val="en-US" w:eastAsia="zh-CN"/>
        </w:rPr>
        <w:t>认定</w:t>
      </w:r>
      <w:r>
        <w:rPr>
          <w:rFonts w:hint="eastAsia" w:ascii="Times New Roman" w:hAnsi="Times New Roman"/>
          <w:lang w:val="en-US" w:eastAsia="zh-CN"/>
        </w:rPr>
        <w:t>认定方式</w:t>
      </w:r>
      <w:r>
        <w:rPr>
          <w:rFonts w:hint="default" w:ascii="Times New Roman" w:hAnsi="Times New Roman"/>
          <w:lang w:val="en-US" w:eastAsia="zh-CN"/>
        </w:rPr>
        <w:t>已成为二审</w:t>
      </w:r>
      <w:r>
        <w:rPr>
          <w:rFonts w:hint="eastAsia" w:ascii="Times New Roman" w:hAnsi="Times New Roman"/>
          <w:lang w:val="en-US" w:eastAsia="zh-CN"/>
        </w:rPr>
        <w:t>审理</w:t>
      </w:r>
      <w:r>
        <w:rPr>
          <w:rFonts w:hint="default" w:ascii="Times New Roman" w:hAnsi="Times New Roman"/>
          <w:lang w:val="en-US" w:eastAsia="zh-CN"/>
        </w:rPr>
        <w:t>的核心领域。</w:t>
      </w:r>
    </w:p>
    <w:p w14:paraId="558E272B">
      <w:pPr>
        <w:bidi w:val="0"/>
        <w:rPr>
          <w:rFonts w:hint="default" w:ascii="Times New Roman" w:hAnsi="Times New Roman"/>
          <w:lang w:val="en-US" w:eastAsia="zh-CN"/>
        </w:rPr>
      </w:pPr>
      <w:r>
        <w:rPr>
          <w:rFonts w:hint="eastAsia" w:ascii="Times New Roman" w:hAnsi="Times New Roman"/>
          <w:lang w:val="en-US" w:eastAsia="zh-CN"/>
        </w:rPr>
        <w:t>从</w:t>
      </w:r>
      <w:r>
        <w:rPr>
          <w:rFonts w:hint="default" w:ascii="Times New Roman" w:hAnsi="Times New Roman"/>
          <w:lang w:val="en-US" w:eastAsia="zh-CN"/>
        </w:rPr>
        <w:t>实证</w:t>
      </w:r>
      <w:r>
        <w:rPr>
          <w:rFonts w:hint="eastAsia" w:ascii="Times New Roman" w:hAnsi="Times New Roman"/>
          <w:lang w:val="en-US" w:eastAsia="zh-CN"/>
        </w:rPr>
        <w:t>中可看出三个主要困境</w:t>
      </w:r>
      <w:r>
        <w:rPr>
          <w:rFonts w:hint="default" w:ascii="Times New Roman" w:hAnsi="Times New Roman"/>
          <w:lang w:val="en-US" w:eastAsia="zh-CN"/>
        </w:rPr>
        <w:t>：第一，</w:t>
      </w:r>
      <w:r>
        <w:rPr>
          <w:rFonts w:hint="eastAsia" w:ascii="Times New Roman" w:hAnsi="Times New Roman"/>
          <w:lang w:val="en-US" w:eastAsia="zh-CN"/>
        </w:rPr>
        <w:t>法院把</w:t>
      </w:r>
      <w:r>
        <w:rPr>
          <w:rFonts w:hint="default" w:ascii="Times New Roman" w:hAnsi="Times New Roman"/>
          <w:lang w:val="en-US" w:eastAsia="zh-CN"/>
        </w:rPr>
        <w:t>发行市场与交易市场的责任逻辑混同</w:t>
      </w:r>
      <w:r>
        <w:rPr>
          <w:rFonts w:hint="eastAsia" w:ascii="Times New Roman" w:hAnsi="Times New Roman"/>
          <w:lang w:val="en-US" w:eastAsia="zh-CN"/>
        </w:rPr>
        <w:t>了</w:t>
      </w:r>
      <w:r>
        <w:rPr>
          <w:rFonts w:hint="default" w:ascii="Times New Roman" w:hAnsi="Times New Roman"/>
          <w:lang w:val="en-US" w:eastAsia="zh-CN"/>
        </w:rPr>
        <w:t>。原本用于二级市场匿名交易的</w:t>
      </w:r>
      <w:r>
        <w:rPr>
          <w:rFonts w:hint="eastAsia" w:ascii="Times New Roman" w:hAnsi="Times New Roman"/>
          <w:lang w:val="en-US" w:eastAsia="zh-CN"/>
        </w:rPr>
        <w:t>“</w:t>
      </w:r>
      <w:r>
        <w:rPr>
          <w:rFonts w:hint="default" w:ascii="Times New Roman" w:hAnsi="Times New Roman"/>
          <w:lang w:val="en-US" w:eastAsia="zh-CN"/>
        </w:rPr>
        <w:t>欺诈市场理论</w:t>
      </w:r>
      <w:r>
        <w:rPr>
          <w:rFonts w:hint="eastAsia" w:ascii="Times New Roman" w:hAnsi="Times New Roman"/>
          <w:lang w:val="en-US" w:eastAsia="zh-CN"/>
        </w:rPr>
        <w:t>”被</w:t>
      </w:r>
      <w:r>
        <w:rPr>
          <w:rFonts w:hint="default" w:ascii="Times New Roman" w:hAnsi="Times New Roman"/>
          <w:lang w:val="en-US" w:eastAsia="zh-CN"/>
        </w:rPr>
        <w:t>直接照搬到公开发行环节，</w:t>
      </w:r>
      <w:r>
        <w:rPr>
          <w:rFonts w:hint="eastAsia" w:ascii="Times New Roman" w:hAnsi="Times New Roman"/>
          <w:lang w:val="en-US" w:eastAsia="zh-CN"/>
        </w:rPr>
        <w:t>没有顾及</w:t>
      </w:r>
      <w:r>
        <w:rPr>
          <w:rFonts w:hint="default" w:ascii="Times New Roman" w:hAnsi="Times New Roman"/>
          <w:lang w:val="en-US" w:eastAsia="zh-CN"/>
        </w:rPr>
        <w:t>发行市场中投资者</w:t>
      </w:r>
      <w:r>
        <w:rPr>
          <w:rFonts w:hint="eastAsia" w:ascii="Times New Roman" w:hAnsi="Times New Roman"/>
          <w:lang w:val="en-US" w:eastAsia="zh-CN"/>
        </w:rPr>
        <w:t>是可以与发行人直接沟通这一特征</w:t>
      </w:r>
      <w:r>
        <w:rPr>
          <w:rFonts w:hint="default" w:ascii="Times New Roman" w:hAnsi="Times New Roman"/>
          <w:lang w:val="en-US" w:eastAsia="zh-CN"/>
        </w:rPr>
        <w:t>。第二，公开发行与非公开发行的认定标准未作区分。</w:t>
      </w:r>
      <w:r>
        <w:rPr>
          <w:rFonts w:hint="eastAsia" w:ascii="Times New Roman" w:hAnsi="Times New Roman"/>
          <w:lang w:val="en-US" w:eastAsia="zh-CN"/>
        </w:rPr>
        <w:t>比如</w:t>
      </w:r>
      <w:r>
        <w:rPr>
          <w:rFonts w:hint="default" w:ascii="Times New Roman" w:hAnsi="Times New Roman"/>
          <w:lang w:val="en-US" w:eastAsia="zh-CN"/>
        </w:rPr>
        <w:t>定向增发这类</w:t>
      </w:r>
      <w:r>
        <w:rPr>
          <w:rFonts w:hint="eastAsia" w:ascii="Times New Roman" w:hAnsi="Times New Roman"/>
          <w:lang w:val="en-US" w:eastAsia="zh-CN"/>
        </w:rPr>
        <w:t>“</w:t>
      </w:r>
      <w:r>
        <w:rPr>
          <w:rFonts w:hint="default" w:ascii="Times New Roman" w:hAnsi="Times New Roman"/>
          <w:lang w:val="en-US" w:eastAsia="zh-CN"/>
        </w:rPr>
        <w:t>面对面</w:t>
      </w:r>
      <w:r>
        <w:rPr>
          <w:rFonts w:hint="eastAsia" w:ascii="Times New Roman" w:hAnsi="Times New Roman"/>
          <w:lang w:val="en-US" w:eastAsia="zh-CN"/>
        </w:rPr>
        <w:t>”</w:t>
      </w:r>
      <w:r>
        <w:rPr>
          <w:rFonts w:hint="default" w:ascii="Times New Roman" w:hAnsi="Times New Roman"/>
          <w:lang w:val="en-US" w:eastAsia="zh-CN"/>
        </w:rPr>
        <w:t>交易中，机构投资者</w:t>
      </w:r>
      <w:r>
        <w:rPr>
          <w:rFonts w:hint="eastAsia" w:ascii="Times New Roman" w:hAnsi="Times New Roman"/>
          <w:lang w:val="en-US" w:eastAsia="zh-CN"/>
        </w:rPr>
        <w:t>议价能力强、信息渠道多</w:t>
      </w:r>
      <w:r>
        <w:rPr>
          <w:rFonts w:hint="default" w:ascii="Times New Roman" w:hAnsi="Times New Roman"/>
          <w:lang w:val="en-US" w:eastAsia="zh-CN"/>
        </w:rPr>
        <w:t>，但法院仍自动推定</w:t>
      </w:r>
      <w:r>
        <w:rPr>
          <w:rFonts w:hint="eastAsia" w:ascii="Times New Roman" w:hAnsi="Times New Roman"/>
          <w:lang w:val="en-US" w:eastAsia="zh-CN"/>
        </w:rPr>
        <w:t>他们的</w:t>
      </w:r>
      <w:r>
        <w:rPr>
          <w:rFonts w:hint="default" w:ascii="Times New Roman" w:hAnsi="Times New Roman"/>
          <w:lang w:val="en-US" w:eastAsia="zh-CN"/>
        </w:rPr>
        <w:t>交易因果关系成立，</w:t>
      </w:r>
      <w:r>
        <w:rPr>
          <w:rFonts w:hint="eastAsia" w:ascii="Times New Roman" w:hAnsi="Times New Roman"/>
          <w:lang w:val="en-US" w:eastAsia="zh-CN"/>
        </w:rPr>
        <w:t>这就等于</w:t>
      </w:r>
      <w:r>
        <w:rPr>
          <w:rFonts w:hint="default" w:ascii="Times New Roman" w:hAnsi="Times New Roman"/>
          <w:lang w:val="en-US" w:eastAsia="zh-CN"/>
        </w:rPr>
        <w:t>免除了专业投资者</w:t>
      </w:r>
      <w:r>
        <w:rPr>
          <w:rFonts w:hint="eastAsia" w:ascii="Times New Roman" w:hAnsi="Times New Roman"/>
          <w:lang w:val="en-US" w:eastAsia="zh-CN"/>
        </w:rPr>
        <w:t>本该有的</w:t>
      </w:r>
      <w:r>
        <w:rPr>
          <w:rFonts w:hint="default" w:ascii="Times New Roman" w:hAnsi="Times New Roman"/>
          <w:lang w:val="en-US" w:eastAsia="zh-CN"/>
        </w:rPr>
        <w:t>自我负责义务。第三，有效市场与非有效市场的适用前提</w:t>
      </w:r>
      <w:r>
        <w:rPr>
          <w:rFonts w:hint="eastAsia" w:ascii="Times New Roman" w:hAnsi="Times New Roman"/>
          <w:lang w:val="en-US" w:eastAsia="zh-CN"/>
        </w:rPr>
        <w:t>也</w:t>
      </w:r>
      <w:r>
        <w:rPr>
          <w:rFonts w:hint="default" w:ascii="Times New Roman" w:hAnsi="Times New Roman"/>
          <w:lang w:val="en-US" w:eastAsia="zh-CN"/>
        </w:rPr>
        <w:t>被忽视。新三板市场流动性弱、交易不连续，价格发现功能</w:t>
      </w:r>
      <w:r>
        <w:rPr>
          <w:rFonts w:hint="eastAsia" w:ascii="Times New Roman" w:hAnsi="Times New Roman"/>
          <w:lang w:val="en-US" w:eastAsia="zh-CN"/>
        </w:rPr>
        <w:t>远远</w:t>
      </w:r>
      <w:r>
        <w:rPr>
          <w:rFonts w:hint="default" w:ascii="Times New Roman" w:hAnsi="Times New Roman"/>
          <w:lang w:val="en-US" w:eastAsia="zh-CN"/>
        </w:rPr>
        <w:t>弱于主板市场，</w:t>
      </w:r>
      <w:r>
        <w:rPr>
          <w:rFonts w:hint="eastAsia" w:ascii="Times New Roman" w:hAnsi="Times New Roman"/>
          <w:lang w:val="en-US" w:eastAsia="zh-CN"/>
        </w:rPr>
        <w:t>不具备“</w:t>
      </w:r>
      <w:r>
        <w:rPr>
          <w:rFonts w:hint="default" w:ascii="Times New Roman" w:hAnsi="Times New Roman"/>
          <w:lang w:val="en-US" w:eastAsia="zh-CN"/>
        </w:rPr>
        <w:t>信赖推定</w:t>
      </w:r>
      <w:r>
        <w:rPr>
          <w:rFonts w:hint="eastAsia" w:ascii="Times New Roman" w:hAnsi="Times New Roman"/>
          <w:lang w:val="en-US" w:eastAsia="zh-CN"/>
        </w:rPr>
        <w:t>”</w:t>
      </w:r>
      <w:r>
        <w:rPr>
          <w:rFonts w:hint="default" w:ascii="Times New Roman" w:hAnsi="Times New Roman"/>
          <w:lang w:val="en-US" w:eastAsia="zh-CN"/>
        </w:rPr>
        <w:t>原则</w:t>
      </w:r>
      <w:r>
        <w:rPr>
          <w:rFonts w:hint="eastAsia" w:ascii="Times New Roman" w:hAnsi="Times New Roman"/>
          <w:lang w:val="en-US" w:eastAsia="zh-CN"/>
        </w:rPr>
        <w:t>的适用前提</w:t>
      </w:r>
      <w:r>
        <w:rPr>
          <w:rFonts w:hint="default" w:ascii="Times New Roman" w:hAnsi="Times New Roman"/>
          <w:lang w:val="en-US" w:eastAsia="zh-CN"/>
        </w:rPr>
        <w:t>。</w:t>
      </w:r>
    </w:p>
    <w:p w14:paraId="46FA829A">
      <w:pPr>
        <w:bidi w:val="0"/>
        <w:rPr>
          <w:rFonts w:hint="default" w:ascii="Times New Roman" w:hAnsi="Times New Roman"/>
          <w:lang w:val="en-US" w:eastAsia="zh-CN"/>
        </w:rPr>
      </w:pPr>
      <w:r>
        <w:rPr>
          <w:rFonts w:hint="eastAsia" w:ascii="Times New Roman" w:hAnsi="Times New Roman"/>
          <w:lang w:val="en-US" w:eastAsia="zh-CN"/>
        </w:rPr>
        <w:t>针对上述问题，文章</w:t>
      </w:r>
      <w:r>
        <w:rPr>
          <w:rFonts w:hint="default" w:ascii="Times New Roman" w:hAnsi="Times New Roman"/>
          <w:lang w:val="en-US" w:eastAsia="zh-CN"/>
        </w:rPr>
        <w:t>提出</w:t>
      </w:r>
      <w:r>
        <w:rPr>
          <w:rFonts w:hint="eastAsia" w:ascii="Times New Roman" w:hAnsi="Times New Roman"/>
          <w:lang w:val="en-US" w:eastAsia="zh-CN"/>
        </w:rPr>
        <w:t>了几条可行的</w:t>
      </w:r>
      <w:r>
        <w:rPr>
          <w:rFonts w:hint="default" w:ascii="Times New Roman" w:hAnsi="Times New Roman"/>
          <w:lang w:val="en-US" w:eastAsia="zh-CN"/>
        </w:rPr>
        <w:t>优化路径。在交易因果关系层面，应</w:t>
      </w:r>
      <w:r>
        <w:rPr>
          <w:rFonts w:hint="eastAsia" w:ascii="Times New Roman" w:hAnsi="Times New Roman"/>
          <w:lang w:val="en-US" w:eastAsia="zh-CN"/>
        </w:rPr>
        <w:t>设立</w:t>
      </w:r>
      <w:r>
        <w:rPr>
          <w:rFonts w:hint="default" w:ascii="Times New Roman" w:hAnsi="Times New Roman"/>
          <w:lang w:val="en-US" w:eastAsia="zh-CN"/>
        </w:rPr>
        <w:t>二元责任规范模式：公开欺诈发行</w:t>
      </w:r>
      <w:r>
        <w:rPr>
          <w:rFonts w:hint="eastAsia" w:ascii="Times New Roman" w:hAnsi="Times New Roman"/>
          <w:lang w:val="en-US" w:eastAsia="zh-CN"/>
        </w:rPr>
        <w:t>就</w:t>
      </w:r>
      <w:r>
        <w:rPr>
          <w:rFonts w:hint="default" w:ascii="Times New Roman" w:hAnsi="Times New Roman"/>
          <w:lang w:val="en-US" w:eastAsia="zh-CN"/>
        </w:rPr>
        <w:t>适用特殊侵权责任，</w:t>
      </w:r>
      <w:r>
        <w:rPr>
          <w:rFonts w:hint="eastAsia" w:ascii="Times New Roman" w:hAnsi="Times New Roman"/>
          <w:lang w:val="en-US" w:eastAsia="zh-CN"/>
        </w:rPr>
        <w:t>让</w:t>
      </w:r>
      <w:r>
        <w:rPr>
          <w:rFonts w:hint="default" w:ascii="Times New Roman" w:hAnsi="Times New Roman"/>
          <w:lang w:val="en-US" w:eastAsia="zh-CN"/>
        </w:rPr>
        <w:t>欺诈发行</w:t>
      </w:r>
      <w:r>
        <w:rPr>
          <w:rFonts w:hint="eastAsia" w:ascii="Times New Roman" w:hAnsi="Times New Roman"/>
          <w:lang w:val="en-US" w:eastAsia="zh-CN"/>
        </w:rPr>
        <w:t>的人</w:t>
      </w:r>
      <w:r>
        <w:rPr>
          <w:rFonts w:hint="default" w:ascii="Times New Roman" w:hAnsi="Times New Roman"/>
          <w:lang w:val="en-US" w:eastAsia="zh-CN"/>
        </w:rPr>
        <w:t>赔偿投资者认购资金与卖出金额或证券余值的差额；交易市场中的虚假陈述</w:t>
      </w:r>
      <w:r>
        <w:rPr>
          <w:rFonts w:hint="eastAsia" w:ascii="Times New Roman" w:hAnsi="Times New Roman"/>
          <w:lang w:val="en-US" w:eastAsia="zh-CN"/>
        </w:rPr>
        <w:t>就</w:t>
      </w:r>
      <w:r>
        <w:rPr>
          <w:rFonts w:hint="default" w:ascii="Times New Roman" w:hAnsi="Times New Roman"/>
          <w:lang w:val="en-US" w:eastAsia="zh-CN"/>
        </w:rPr>
        <w:t>回归一般侵权法理，</w:t>
      </w:r>
      <w:r>
        <w:rPr>
          <w:rFonts w:hint="eastAsia" w:ascii="Times New Roman" w:hAnsi="Times New Roman"/>
          <w:lang w:val="en-US" w:eastAsia="zh-CN"/>
        </w:rPr>
        <w:t>只</w:t>
      </w:r>
      <w:r>
        <w:rPr>
          <w:rFonts w:hint="default" w:ascii="Times New Roman" w:hAnsi="Times New Roman"/>
          <w:lang w:val="en-US" w:eastAsia="zh-CN"/>
        </w:rPr>
        <w:t>在有效市场</w:t>
      </w:r>
      <w:r>
        <w:rPr>
          <w:rFonts w:hint="eastAsia" w:ascii="Times New Roman" w:hAnsi="Times New Roman"/>
          <w:lang w:val="en-US" w:eastAsia="zh-CN"/>
        </w:rPr>
        <w:t>或者信息披露义务人</w:t>
      </w:r>
      <w:r>
        <w:rPr>
          <w:rFonts w:hint="default" w:ascii="Times New Roman" w:hAnsi="Times New Roman"/>
          <w:lang w:val="en-US" w:eastAsia="zh-CN"/>
        </w:rPr>
        <w:t>隐瞒重大信息情形下实行信赖推定。非公开发行</w:t>
      </w:r>
      <w:r>
        <w:rPr>
          <w:rFonts w:hint="eastAsia" w:ascii="Times New Roman" w:hAnsi="Times New Roman"/>
          <w:lang w:val="en-US" w:eastAsia="zh-CN"/>
        </w:rPr>
        <w:t>情形下</w:t>
      </w:r>
      <w:r>
        <w:rPr>
          <w:rFonts w:hint="default" w:ascii="Times New Roman" w:hAnsi="Times New Roman"/>
          <w:lang w:val="en-US" w:eastAsia="zh-CN"/>
        </w:rPr>
        <w:t>应排除信赖推定的自动适用，改由投资者举证证明</w:t>
      </w:r>
      <w:r>
        <w:rPr>
          <w:rFonts w:hint="eastAsia" w:ascii="Times New Roman" w:hAnsi="Times New Roman"/>
          <w:lang w:val="en-US" w:eastAsia="zh-CN"/>
        </w:rPr>
        <w:t>自己确实是因信赖虚假陈述行为而交易</w:t>
      </w:r>
      <w:r>
        <w:rPr>
          <w:rFonts w:hint="default" w:ascii="Times New Roman" w:hAnsi="Times New Roman"/>
          <w:lang w:val="en-US" w:eastAsia="zh-CN"/>
        </w:rPr>
        <w:t>。</w:t>
      </w:r>
      <w:r>
        <w:rPr>
          <w:rFonts w:hint="eastAsia" w:ascii="Times New Roman" w:hAnsi="Times New Roman"/>
          <w:lang w:val="en-US" w:eastAsia="zh-CN"/>
        </w:rPr>
        <w:t>对于</w:t>
      </w:r>
      <w:r>
        <w:rPr>
          <w:rFonts w:hint="default" w:ascii="Times New Roman" w:hAnsi="Times New Roman"/>
          <w:lang w:val="en-US" w:eastAsia="zh-CN"/>
        </w:rPr>
        <w:t>新三板等非有效市场应</w:t>
      </w:r>
      <w:r>
        <w:rPr>
          <w:rFonts w:hint="eastAsia" w:ascii="Times New Roman" w:hAnsi="Times New Roman"/>
          <w:lang w:val="en-US" w:eastAsia="zh-CN"/>
        </w:rPr>
        <w:t>进行个案判断</w:t>
      </w:r>
      <w:r>
        <w:rPr>
          <w:rFonts w:hint="default" w:ascii="Times New Roman" w:hAnsi="Times New Roman"/>
          <w:lang w:val="en-US" w:eastAsia="zh-CN"/>
        </w:rPr>
        <w:t>，</w:t>
      </w:r>
      <w:r>
        <w:rPr>
          <w:rFonts w:hint="eastAsia" w:ascii="Times New Roman" w:hAnsi="Times New Roman"/>
          <w:lang w:val="en-US" w:eastAsia="zh-CN"/>
        </w:rPr>
        <w:t>综合</w:t>
      </w:r>
      <w:r>
        <w:rPr>
          <w:rFonts w:hint="default" w:ascii="Times New Roman" w:hAnsi="Times New Roman"/>
          <w:lang w:val="en-US" w:eastAsia="zh-CN"/>
        </w:rPr>
        <w:t>考察交易量、换手率、做市商数量及定价效率。</w:t>
      </w:r>
      <w:r>
        <w:rPr>
          <w:rFonts w:hint="eastAsia" w:ascii="Times New Roman" w:hAnsi="Times New Roman"/>
          <w:lang w:val="en-US" w:eastAsia="zh-CN"/>
        </w:rPr>
        <w:t>对于</w:t>
      </w:r>
      <w:r>
        <w:rPr>
          <w:rFonts w:hint="default" w:ascii="Times New Roman" w:hAnsi="Times New Roman"/>
          <w:lang w:val="en-US" w:eastAsia="zh-CN"/>
        </w:rPr>
        <w:t>损失因果关系，应贯彻</w:t>
      </w:r>
      <w:r>
        <w:rPr>
          <w:rFonts w:hint="eastAsia" w:ascii="Times New Roman" w:hAnsi="Times New Roman"/>
          <w:lang w:val="en-US" w:eastAsia="zh-CN"/>
        </w:rPr>
        <w:t>“</w:t>
      </w:r>
      <w:r>
        <w:rPr>
          <w:rFonts w:hint="default" w:ascii="Times New Roman" w:hAnsi="Times New Roman"/>
          <w:lang w:val="en-US" w:eastAsia="zh-CN"/>
        </w:rPr>
        <w:t>直接原因、最近原因</w:t>
      </w:r>
      <w:r>
        <w:rPr>
          <w:rFonts w:hint="eastAsia" w:ascii="Times New Roman" w:hAnsi="Times New Roman"/>
          <w:lang w:val="en-US" w:eastAsia="zh-CN"/>
        </w:rPr>
        <w:t>”</w:t>
      </w:r>
      <w:r>
        <w:rPr>
          <w:rFonts w:hint="default" w:ascii="Times New Roman" w:hAnsi="Times New Roman"/>
          <w:lang w:val="en-US" w:eastAsia="zh-CN"/>
        </w:rPr>
        <w:t>审查标准，推动司法理念从</w:t>
      </w:r>
      <w:r>
        <w:rPr>
          <w:rFonts w:hint="eastAsia" w:ascii="Times New Roman" w:hAnsi="Times New Roman"/>
          <w:lang w:val="en-US" w:eastAsia="zh-CN"/>
        </w:rPr>
        <w:t>只看</w:t>
      </w:r>
      <w:r>
        <w:rPr>
          <w:rFonts w:hint="default" w:ascii="Times New Roman" w:hAnsi="Times New Roman"/>
          <w:lang w:val="en-US" w:eastAsia="zh-CN"/>
        </w:rPr>
        <w:t>形式</w:t>
      </w:r>
      <w:r>
        <w:rPr>
          <w:rFonts w:hint="eastAsia" w:ascii="Times New Roman" w:hAnsi="Times New Roman"/>
          <w:lang w:val="en-US" w:eastAsia="zh-CN"/>
        </w:rPr>
        <w:t>转变为</w:t>
      </w:r>
      <w:r>
        <w:rPr>
          <w:rFonts w:hint="default" w:ascii="Times New Roman" w:hAnsi="Times New Roman"/>
          <w:lang w:val="en-US" w:eastAsia="zh-CN"/>
        </w:rPr>
        <w:t>实质审查。法院应主动审查专业机构损失核定报告的因子选择、窗口期确定等技术细节，</w:t>
      </w:r>
      <w:r>
        <w:rPr>
          <w:rFonts w:hint="eastAsia" w:ascii="Times New Roman" w:hAnsi="Times New Roman"/>
          <w:lang w:val="en-US" w:eastAsia="zh-CN"/>
        </w:rPr>
        <w:t>用</w:t>
      </w:r>
      <w:r>
        <w:rPr>
          <w:rFonts w:hint="default" w:ascii="Times New Roman" w:hAnsi="Times New Roman"/>
          <w:lang w:val="en-US" w:eastAsia="zh-CN"/>
        </w:rPr>
        <w:t>事件分析法科学量化非系统性风险，推动</w:t>
      </w:r>
      <w:r>
        <w:rPr>
          <w:rFonts w:hint="eastAsia" w:ascii="Times New Roman" w:hAnsi="Times New Roman"/>
          <w:lang w:val="en-US" w:eastAsia="zh-CN"/>
        </w:rPr>
        <w:t>“多</w:t>
      </w:r>
      <w:r>
        <w:rPr>
          <w:rFonts w:hint="default" w:ascii="Times New Roman" w:hAnsi="Times New Roman"/>
          <w:lang w:val="en-US" w:eastAsia="zh-CN"/>
        </w:rPr>
        <w:t>因子迁移同步对比法</w:t>
      </w:r>
      <w:r>
        <w:rPr>
          <w:rFonts w:hint="eastAsia" w:ascii="Times New Roman" w:hAnsi="Times New Roman"/>
          <w:lang w:val="en-US" w:eastAsia="zh-CN"/>
        </w:rPr>
        <w:t>”</w:t>
      </w:r>
      <w:r>
        <w:rPr>
          <w:rFonts w:hint="default" w:ascii="Times New Roman" w:hAnsi="Times New Roman"/>
          <w:lang w:val="en-US" w:eastAsia="zh-CN"/>
        </w:rPr>
        <w:t>等精细化测算方法的标准化应用。</w:t>
      </w:r>
    </w:p>
    <w:p w14:paraId="4B64FED5">
      <w:pPr>
        <w:rPr>
          <w:rFonts w:hint="eastAsia" w:ascii="Times New Roman" w:hAnsi="Times New Roman"/>
          <w:b/>
          <w:bCs/>
          <w:sz w:val="32"/>
          <w:szCs w:val="32"/>
          <w:lang w:val="en-US" w:eastAsia="zh-CN"/>
        </w:rPr>
      </w:pPr>
      <w:r>
        <w:rPr>
          <w:rFonts w:hint="eastAsia" w:ascii="Times New Roman" w:hAnsi="Times New Roman"/>
          <w:b/>
          <w:bCs/>
          <w:sz w:val="32"/>
          <w:szCs w:val="32"/>
          <w:lang w:val="en-US" w:eastAsia="zh-CN"/>
        </w:rPr>
        <w:br w:type="page"/>
      </w:r>
    </w:p>
    <w:p w14:paraId="458CC54A">
      <w:pPr>
        <w:keepNext w:val="0"/>
        <w:keepLines w:val="0"/>
        <w:pageBreakBefore w:val="0"/>
        <w:widowControl w:val="0"/>
        <w:kinsoku/>
        <w:wordWrap/>
        <w:overflowPunct/>
        <w:topLinePunct w:val="0"/>
        <w:autoSpaceDE/>
        <w:autoSpaceDN/>
        <w:bidi w:val="0"/>
        <w:adjustRightInd/>
        <w:snapToGrid/>
        <w:spacing w:before="480" w:after="360"/>
        <w:ind w:left="0" w:leftChars="0" w:firstLine="0" w:firstLineChars="0"/>
        <w:jc w:val="center"/>
        <w:textAlignment w:val="auto"/>
        <w:outlineLvl w:val="0"/>
        <w:rPr>
          <w:rFonts w:hint="eastAsia" w:ascii="Times New Roman" w:hAnsi="Times New Roman" w:eastAsia="宋体"/>
          <w:b/>
          <w:bCs/>
          <w:sz w:val="32"/>
          <w:szCs w:val="32"/>
          <w:lang w:val="en-US" w:eastAsia="zh-CN"/>
        </w:rPr>
      </w:pPr>
      <w:bookmarkStart w:id="67" w:name="_Toc2736"/>
      <w:r>
        <w:rPr>
          <w:rFonts w:hint="eastAsia" w:ascii="Times New Roman" w:hAnsi="Times New Roman"/>
          <w:b/>
          <w:bCs/>
          <w:sz w:val="32"/>
          <w:szCs w:val="32"/>
          <w:lang w:val="en-US" w:eastAsia="zh-CN"/>
        </w:rPr>
        <w:t>参考文献</w:t>
      </w:r>
      <w:bookmarkEnd w:id="67"/>
    </w:p>
    <w:p w14:paraId="44C1E922">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fldChar w:fldCharType="begin"/>
      </w:r>
      <w:r>
        <w:rPr>
          <w:rFonts w:hint="eastAsia" w:ascii="Times New Roman" w:hAnsi="Times New Roman" w:cs="Times New Roman"/>
          <w:sz w:val="21"/>
          <w:szCs w:val="21"/>
          <w:lang w:val="en-US" w:eastAsia="zh-CN"/>
        </w:rPr>
        <w:instrText xml:space="preserve"> HYPERLINK "https://www.pkulaw.com/journal/findarticle?SearchKeywordType=Author&amp;Keywords=%e9%99%88%e6%b4%81" \t "_blank" </w:instrText>
      </w:r>
      <w:r>
        <w:rPr>
          <w:rFonts w:hint="eastAsia" w:ascii="Times New Roman" w:hAnsi="Times New Roman" w:cs="Times New Roman"/>
          <w:sz w:val="21"/>
          <w:szCs w:val="21"/>
          <w:lang w:val="en-US" w:eastAsia="zh-CN"/>
        </w:rPr>
        <w:fldChar w:fldCharType="separate"/>
      </w:r>
      <w:r>
        <w:rPr>
          <w:rFonts w:hint="eastAsia" w:ascii="Times New Roman" w:hAnsi="Times New Roman" w:cs="Times New Roman"/>
          <w:sz w:val="21"/>
          <w:szCs w:val="21"/>
          <w:lang w:val="en-US" w:eastAsia="zh-CN"/>
        </w:rPr>
        <w:t>陈洁</w:t>
      </w:r>
      <w:r>
        <w:rPr>
          <w:rFonts w:hint="eastAsia" w:ascii="Times New Roman" w:hAnsi="Times New Roman" w:cs="Times New Roman"/>
          <w:sz w:val="21"/>
          <w:szCs w:val="21"/>
          <w:lang w:val="en-US" w:eastAsia="zh-CN"/>
        </w:rPr>
        <w:fldChar w:fldCharType="end"/>
      </w:r>
      <w:r>
        <w:rPr>
          <w:rFonts w:hint="eastAsia" w:ascii="Times New Roman" w:hAnsi="Times New Roman" w:cs="Times New Roman"/>
          <w:sz w:val="21"/>
          <w:szCs w:val="21"/>
          <w:lang w:val="en-US" w:eastAsia="zh-CN"/>
        </w:rPr>
        <w:t>：《证券虚假陈述民事赔偿中重大性要件的适用》，载《中国法学》2025年第6期</w:t>
      </w:r>
    </w:p>
    <w:p w14:paraId="2244A990">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陈洁：《证券虚假陈述侵权损害赔偿中因果关系的认定机制》，载《中国社会科学院大学学报》2023年第10期</w:t>
      </w:r>
    </w:p>
    <w:p w14:paraId="00A8D447">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宋建宝：《</w:t>
      </w:r>
      <w:r>
        <w:rPr>
          <w:rFonts w:hint="eastAsia" w:ascii="Times New Roman" w:hAnsi="Times New Roman" w:cs="Times New Roman"/>
          <w:sz w:val="21"/>
          <w:szCs w:val="21"/>
        </w:rPr>
        <w:t>债券市场虚假陈述损害赔偿责任的认定</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val="en-US" w:eastAsia="zh-CN"/>
        </w:rPr>
        <w:t>载《债券》2025年第10期</w:t>
      </w:r>
    </w:p>
    <w:p w14:paraId="71D51136">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fldChar w:fldCharType="begin"/>
      </w:r>
      <w:r>
        <w:rPr>
          <w:rFonts w:hint="eastAsia" w:ascii="Times New Roman" w:hAnsi="Times New Roman" w:cs="Times New Roman"/>
          <w:sz w:val="21"/>
          <w:szCs w:val="21"/>
          <w:lang w:val="en-US" w:eastAsia="zh-CN"/>
        </w:rPr>
        <w:instrText xml:space="preserve"> HYPERLINK "https://www.pkulaw.com/journal/findarticle?SearchKeywordType=Author&amp;Keywords=%e7%bc%aa%e5%9b%a0%e7%9f%a5" \t "_blank" </w:instrText>
      </w:r>
      <w:r>
        <w:rPr>
          <w:rFonts w:hint="eastAsia" w:ascii="Times New Roman" w:hAnsi="Times New Roman" w:cs="Times New Roman"/>
          <w:sz w:val="21"/>
          <w:szCs w:val="21"/>
          <w:lang w:val="en-US" w:eastAsia="zh-CN"/>
        </w:rPr>
        <w:fldChar w:fldCharType="separate"/>
      </w:r>
      <w:r>
        <w:rPr>
          <w:rFonts w:hint="eastAsia" w:ascii="Times New Roman" w:hAnsi="Times New Roman" w:cs="Times New Roman"/>
          <w:sz w:val="21"/>
          <w:szCs w:val="21"/>
          <w:lang w:val="en-US" w:eastAsia="zh-CN"/>
        </w:rPr>
        <w:t>缪因知</w:t>
      </w:r>
      <w:r>
        <w:rPr>
          <w:rFonts w:hint="eastAsia" w:ascii="Times New Roman" w:hAnsi="Times New Roman" w:cs="Times New Roman"/>
          <w:sz w:val="21"/>
          <w:szCs w:val="21"/>
          <w:lang w:val="en-US" w:eastAsia="zh-CN"/>
        </w:rPr>
        <w:fldChar w:fldCharType="end"/>
      </w:r>
      <w:r>
        <w:rPr>
          <w:rFonts w:hint="eastAsia" w:ascii="Times New Roman" w:hAnsi="Times New Roman" w:cs="Times New Roman"/>
          <w:sz w:val="21"/>
          <w:szCs w:val="21"/>
          <w:lang w:val="en-US" w:eastAsia="zh-CN"/>
        </w:rPr>
        <w:t>：《论无利型证券虚假陈述之民事无责性》，载《当代法学》2025年第6期</w:t>
      </w:r>
    </w:p>
    <w:p w14:paraId="03DC9E5F">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fldChar w:fldCharType="begin"/>
      </w:r>
      <w:r>
        <w:rPr>
          <w:rFonts w:hint="eastAsia" w:ascii="Times New Roman" w:hAnsi="Times New Roman" w:cs="Times New Roman"/>
          <w:sz w:val="21"/>
          <w:szCs w:val="21"/>
          <w:lang w:val="en-US" w:eastAsia="zh-CN"/>
        </w:rPr>
        <w:instrText xml:space="preserve"> HYPERLINK "https://www.pkulaw.com/journal/findarticle?SearchKeywordType=Author&amp;Keywords=%e9%82%a2%e4%bc%9a%e5%bc%ba" \t "_blank" </w:instrText>
      </w:r>
      <w:r>
        <w:rPr>
          <w:rFonts w:hint="eastAsia" w:ascii="Times New Roman" w:hAnsi="Times New Roman" w:cs="Times New Roman"/>
          <w:sz w:val="21"/>
          <w:szCs w:val="21"/>
          <w:lang w:val="en-US" w:eastAsia="zh-CN"/>
        </w:rPr>
        <w:fldChar w:fldCharType="separate"/>
      </w:r>
      <w:r>
        <w:rPr>
          <w:rFonts w:hint="eastAsia" w:ascii="Times New Roman" w:hAnsi="Times New Roman" w:cs="Times New Roman"/>
          <w:sz w:val="21"/>
          <w:szCs w:val="21"/>
          <w:lang w:val="en-US" w:eastAsia="zh-CN"/>
        </w:rPr>
        <w:t>邢会强</w:t>
      </w:r>
      <w:r>
        <w:rPr>
          <w:rFonts w:hint="eastAsia" w:ascii="Times New Roman" w:hAnsi="Times New Roman" w:cs="Times New Roman"/>
          <w:sz w:val="21"/>
          <w:szCs w:val="21"/>
          <w:lang w:val="en-US" w:eastAsia="zh-CN"/>
        </w:rPr>
        <w:fldChar w:fldCharType="end"/>
      </w:r>
      <w:r>
        <w:rPr>
          <w:rFonts w:hint="eastAsia" w:ascii="Times New Roman" w:hAnsi="Times New Roman" w:cs="Times New Roman"/>
          <w:sz w:val="21"/>
          <w:szCs w:val="21"/>
          <w:lang w:val="en-US" w:eastAsia="zh-CN"/>
        </w:rPr>
        <w:t>：《我国证券虚假陈述侵权责任规范模式之重构》，载《法学研究》2025年第1期</w:t>
      </w:r>
    </w:p>
    <w:p w14:paraId="794131D9">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fldChar w:fldCharType="begin"/>
      </w:r>
      <w:r>
        <w:rPr>
          <w:rFonts w:hint="eastAsia" w:ascii="Times New Roman" w:hAnsi="Times New Roman" w:cs="Times New Roman"/>
          <w:sz w:val="21"/>
          <w:szCs w:val="21"/>
          <w:lang w:val="en-US" w:eastAsia="zh-CN"/>
        </w:rPr>
        <w:instrText xml:space="preserve"> HYPERLINK "https://www.pkulaw.com/journal/findarticle?SearchKeywordType=Author&amp;Keywords=%e8%99%9e%e6%9d%8e%e8%be%89" \t "_blank" </w:instrText>
      </w:r>
      <w:r>
        <w:rPr>
          <w:rFonts w:hint="eastAsia" w:ascii="Times New Roman" w:hAnsi="Times New Roman" w:cs="Times New Roman"/>
          <w:sz w:val="21"/>
          <w:szCs w:val="21"/>
          <w:lang w:val="en-US" w:eastAsia="zh-CN"/>
        </w:rPr>
        <w:fldChar w:fldCharType="separate"/>
      </w:r>
      <w:r>
        <w:rPr>
          <w:rFonts w:hint="eastAsia" w:ascii="Times New Roman" w:hAnsi="Times New Roman" w:cs="Times New Roman"/>
          <w:sz w:val="21"/>
          <w:szCs w:val="21"/>
          <w:lang w:val="en-US" w:eastAsia="zh-CN"/>
        </w:rPr>
        <w:t>虞李辉</w:t>
      </w:r>
      <w:r>
        <w:rPr>
          <w:rFonts w:hint="eastAsia" w:ascii="Times New Roman" w:hAnsi="Times New Roman" w:cs="Times New Roman"/>
          <w:sz w:val="21"/>
          <w:szCs w:val="21"/>
          <w:lang w:val="en-US" w:eastAsia="zh-CN"/>
        </w:rPr>
        <w:fldChar w:fldCharType="end"/>
      </w:r>
      <w:r>
        <w:rPr>
          <w:rFonts w:hint="eastAsia" w:ascii="Times New Roman" w:hAnsi="Times New Roman" w:cs="Times New Roman"/>
          <w:sz w:val="21"/>
          <w:szCs w:val="21"/>
          <w:lang w:val="en-US" w:eastAsia="zh-CN"/>
        </w:rPr>
        <w:t>：《证券虚假陈述案中中介机构责后追偿问题研究》，载《法学》2024年第9期</w:t>
      </w:r>
    </w:p>
    <w:p w14:paraId="37C47A17">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rPr>
        <w:t>焦津洪</w:t>
      </w:r>
      <w:r>
        <w:rPr>
          <w:rFonts w:hint="eastAsia" w:ascii="Times New Roman" w:hAnsi="Times New Roman" w:cs="Times New Roman"/>
          <w:sz w:val="21"/>
          <w:szCs w:val="21"/>
          <w:lang w:eastAsia="zh-CN"/>
        </w:rPr>
        <w:t>：《</w:t>
      </w:r>
      <w:r>
        <w:rPr>
          <w:rFonts w:hint="eastAsia" w:ascii="Times New Roman" w:hAnsi="Times New Roman" w:cs="Times New Roman"/>
          <w:sz w:val="21"/>
          <w:szCs w:val="21"/>
        </w:rPr>
        <w:t>“欺诈市场理论”研究</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val="en-US" w:eastAsia="zh-CN"/>
        </w:rPr>
        <w:t>载《中国法学》2003年第2期</w:t>
      </w:r>
    </w:p>
    <w:p w14:paraId="57C57142">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郭峰：《证券市场虚假陈述及其民事赔偿责任——兼评最高法院关于虚假陈述民事赔偿的司法解释》，载《法学家》2003年第2期</w:t>
      </w:r>
    </w:p>
    <w:p w14:paraId="619B1DE8">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eastAsia="宋体" w:cs="宋体"/>
          <w:sz w:val="21"/>
          <w:szCs w:val="21"/>
          <w:lang w:val="en-US" w:eastAsia="zh-CN"/>
        </w:rPr>
        <w:t>广东省高级人民法院民二庭课题</w:t>
      </w:r>
      <w:r>
        <w:rPr>
          <w:rFonts w:hint="eastAsia" w:ascii="Times New Roman" w:hAnsi="Times New Roman" w:cs="宋体"/>
          <w:sz w:val="21"/>
          <w:szCs w:val="21"/>
          <w:lang w:val="en-US" w:eastAsia="zh-CN"/>
        </w:rPr>
        <w:t>组：《</w:t>
      </w:r>
      <w:r>
        <w:rPr>
          <w:rFonts w:hint="eastAsia" w:ascii="Times New Roman" w:hAnsi="Times New Roman" w:eastAsia="宋体" w:cs="宋体"/>
          <w:sz w:val="21"/>
          <w:szCs w:val="21"/>
          <w:lang w:val="en-US" w:eastAsia="zh-CN"/>
        </w:rPr>
        <w:t>证券虚假陈述侵权责任纠纷疑难问题研究</w:t>
      </w:r>
      <w:r>
        <w:rPr>
          <w:rFonts w:hint="eastAsia" w:ascii="Times New Roman" w:hAnsi="Times New Roman" w:cs="宋体"/>
          <w:sz w:val="21"/>
          <w:szCs w:val="21"/>
          <w:lang w:val="en-US" w:eastAsia="zh-CN"/>
        </w:rPr>
        <w:t>》，载《法律适用》2025年第2期</w:t>
      </w:r>
    </w:p>
    <w:p w14:paraId="03E6C728">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rPr>
        <w:fldChar w:fldCharType="begin"/>
      </w:r>
      <w:r>
        <w:rPr>
          <w:rFonts w:hint="eastAsia" w:ascii="Times New Roman" w:hAnsi="Times New Roman" w:cs="Times New Roman"/>
          <w:sz w:val="21"/>
          <w:szCs w:val="21"/>
        </w:rPr>
        <w:instrText xml:space="preserve"> HYPERLINK "https://www.pkulaw.com/journal/findarticle?SearchKeywordType=Author&amp;Keywords=%e5%bd%ad%e5%86%b0" \t "_blank" </w:instrText>
      </w:r>
      <w:r>
        <w:rPr>
          <w:rFonts w:hint="eastAsia" w:ascii="Times New Roman" w:hAnsi="Times New Roman" w:cs="Times New Roman"/>
          <w:sz w:val="21"/>
          <w:szCs w:val="21"/>
        </w:rPr>
        <w:fldChar w:fldCharType="separate"/>
      </w:r>
      <w:r>
        <w:rPr>
          <w:rFonts w:hint="eastAsia" w:ascii="Times New Roman" w:hAnsi="Times New Roman" w:cs="Times New Roman"/>
          <w:sz w:val="21"/>
          <w:szCs w:val="21"/>
        </w:rPr>
        <w:t>彭冰</w:t>
      </w:r>
      <w:r>
        <w:rPr>
          <w:rFonts w:hint="eastAsia" w:ascii="Times New Roman" w:hAnsi="Times New Roman" w:cs="Times New Roman"/>
          <w:sz w:val="21"/>
          <w:szCs w:val="21"/>
        </w:rPr>
        <w:fldChar w:fldCharType="end"/>
      </w:r>
      <w:r>
        <w:rPr>
          <w:rFonts w:hint="eastAsia" w:ascii="Times New Roman" w:hAnsi="Times New Roman" w:cs="Times New Roman"/>
          <w:sz w:val="21"/>
          <w:szCs w:val="21"/>
          <w:lang w:eastAsia="zh-CN"/>
        </w:rPr>
        <w:t>：《证券虚假陈述民事赔偿中的因果关系——司法解释的新发展评析》，</w:t>
      </w:r>
      <w:r>
        <w:rPr>
          <w:rFonts w:hint="eastAsia" w:ascii="Times New Roman" w:hAnsi="Times New Roman" w:cs="Times New Roman"/>
          <w:sz w:val="21"/>
          <w:szCs w:val="21"/>
          <w:lang w:val="en-US" w:eastAsia="zh-CN"/>
        </w:rPr>
        <w:t>载《法律适用》2022年第5期</w:t>
      </w:r>
    </w:p>
    <w:p w14:paraId="1FBF027F">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侯东德、张丽萍：《证券虚假陈述侵权损害赔偿中损失因果关系的认定》，载《湖北社会科学》2024年第11期</w:t>
      </w:r>
    </w:p>
    <w:p w14:paraId="1D4A6C5C">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理查德·布斯：《证券欺诈集团诉讼中的损失因果关系与风险实现理论》，载《证券法苑》2023年第三十八卷，第15~41页</w:t>
      </w:r>
    </w:p>
    <w:p w14:paraId="6D39BA5B">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王春平、吴耀宏：《新司法解释下证券虚假陈述民事赔偿案件否定因果关系要件之抗辩路径——以两证券虚假陈述责任纠纷案为例》，载《中国证券期货》，2023年第1期</w:t>
      </w:r>
    </w:p>
    <w:p w14:paraId="0C9917CF">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陈广辉：《证券虚假陈述侵权损失核定的路径选择》，载</w:t>
      </w:r>
      <w:r>
        <w:rPr>
          <w:rFonts w:hint="eastAsia" w:ascii="Times New Roman" w:hAnsi="Times New Roman" w:cs="Times New Roman"/>
          <w:sz w:val="21"/>
          <w:szCs w:val="21"/>
          <w:lang w:val="en-US" w:eastAsia="zh-CN"/>
        </w:rPr>
        <w:fldChar w:fldCharType="begin"/>
      </w:r>
      <w:r>
        <w:rPr>
          <w:rFonts w:hint="eastAsia" w:ascii="Times New Roman" w:hAnsi="Times New Roman" w:cs="Times New Roman"/>
          <w:sz w:val="21"/>
          <w:szCs w:val="21"/>
          <w:lang w:val="en-US" w:eastAsia="zh-CN"/>
        </w:rPr>
        <w:instrText xml:space="preserve"> HYPERLINK "https://www.pkulaw.com/journal/articlebyclass?Aggs.JournalId=4&amp;way=textBasic" \t "_blank" </w:instrText>
      </w:r>
      <w:r>
        <w:rPr>
          <w:rFonts w:hint="eastAsia" w:ascii="Times New Roman" w:hAnsi="Times New Roman" w:cs="Times New Roman"/>
          <w:sz w:val="21"/>
          <w:szCs w:val="21"/>
          <w:lang w:val="en-US" w:eastAsia="zh-CN"/>
        </w:rPr>
        <w:fldChar w:fldCharType="separate"/>
      </w:r>
      <w:r>
        <w:rPr>
          <w:rFonts w:hint="eastAsia" w:ascii="Times New Roman" w:hAnsi="Times New Roman" w:cs="Times New Roman"/>
          <w:sz w:val="21"/>
          <w:szCs w:val="21"/>
          <w:lang w:val="en-US" w:eastAsia="zh-CN"/>
        </w:rPr>
        <w:t>《政法论坛》</w:t>
      </w:r>
      <w:r>
        <w:rPr>
          <w:rFonts w:hint="eastAsia" w:ascii="Times New Roman" w:hAnsi="Times New Roman" w:cs="Times New Roman"/>
          <w:sz w:val="21"/>
          <w:szCs w:val="21"/>
          <w:lang w:val="en-US" w:eastAsia="zh-CN"/>
        </w:rPr>
        <w:fldChar w:fldCharType="end"/>
      </w:r>
      <w:r>
        <w:rPr>
          <w:rFonts w:hint="eastAsia" w:ascii="Times New Roman" w:hAnsi="Times New Roman" w:cs="Times New Roman"/>
          <w:sz w:val="21"/>
          <w:szCs w:val="21"/>
          <w:lang w:val="en-US" w:eastAsia="zh-CN"/>
        </w:rPr>
        <w:t>2023年第6期</w:t>
      </w:r>
    </w:p>
    <w:p w14:paraId="64A25113">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宋体"/>
          <w:sz w:val="21"/>
          <w:szCs w:val="21"/>
          <w:lang w:val="en-US" w:eastAsia="zh-CN"/>
        </w:rPr>
        <w:t>朱大明：《证券虚假陈述中因果关系认定与损害赔偿数额计算的日本模式——以东芝案为例》，载《财经法学》2022年第6期</w:t>
      </w:r>
    </w:p>
    <w:p w14:paraId="54409FF9">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鲍彩慧：《证券虚假陈述民事赔偿因果关系的规则再述——基于</w:t>
      </w:r>
      <w:r>
        <w:rPr>
          <w:rFonts w:hint="eastAsia" w:ascii="Times New Roman" w:hAnsi="Times New Roman" w:cs="Times New Roman"/>
          <w:sz w:val="21"/>
          <w:szCs w:val="21"/>
        </w:rPr>
        <w:t>806份判决书的实证分析</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val="en-US" w:eastAsia="zh-CN"/>
        </w:rPr>
        <w:t>载《证券法苑》2017年第二十三卷，第439~463页</w:t>
      </w:r>
    </w:p>
    <w:p w14:paraId="232E4BD1">
      <w:pPr>
        <w:numPr>
          <w:ilvl w:val="0"/>
          <w:numId w:val="2"/>
        </w:numPr>
        <w:tabs>
          <w:tab w:val="left" w:pos="7200"/>
        </w:tabs>
        <w:spacing w:line="400" w:lineRule="atLeast"/>
        <w:ind w:firstLine="0" w:firstLineChars="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高明玥：《论诱空型虚假陈述侵权责任中因果关系的认定》，南京大学2019年硕士学位论文</w:t>
      </w:r>
    </w:p>
    <w:p w14:paraId="6ABF6627">
      <w:pPr>
        <w:rPr>
          <w:rFonts w:hint="default" w:ascii="Times New Roman" w:hAnsi="Times New Roman"/>
          <w:b/>
          <w:bCs/>
          <w:color w:val="000000" w:themeColor="text1"/>
          <w:lang w:val="en-US" w:eastAsia="zh-CN"/>
          <w14:textFill>
            <w14:solidFill>
              <w14:schemeClr w14:val="tx1"/>
            </w14:solidFill>
          </w14:textFill>
        </w:rPr>
      </w:pPr>
      <w:r>
        <w:rPr>
          <w:rFonts w:hint="default" w:ascii="Times New Roman" w:hAnsi="Times New Roman"/>
          <w:b/>
          <w:bCs/>
          <w:color w:val="000000" w:themeColor="text1"/>
          <w:lang w:val="en-US" w:eastAsia="zh-CN"/>
          <w14:textFill>
            <w14:solidFill>
              <w14:schemeClr w14:val="tx1"/>
            </w14:solidFill>
          </w14:textFill>
        </w:rPr>
        <w:br w:type="page"/>
      </w:r>
    </w:p>
    <w:p w14:paraId="6179ECE0">
      <w:pPr>
        <w:keepNext w:val="0"/>
        <w:keepLines w:val="0"/>
        <w:pageBreakBefore w:val="0"/>
        <w:widowControl w:val="0"/>
        <w:kinsoku/>
        <w:wordWrap/>
        <w:overflowPunct/>
        <w:topLinePunct w:val="0"/>
        <w:autoSpaceDE/>
        <w:autoSpaceDN/>
        <w:bidi w:val="0"/>
        <w:adjustRightInd/>
        <w:snapToGrid/>
        <w:spacing w:before="480" w:after="360"/>
        <w:ind w:left="0" w:leftChars="0" w:firstLine="0" w:firstLineChars="0"/>
        <w:jc w:val="center"/>
        <w:textAlignment w:val="auto"/>
        <w:outlineLvl w:val="0"/>
        <w:rPr>
          <w:rFonts w:hint="eastAsia" w:ascii="Times New Roman" w:hAnsi="Times New Roman"/>
          <w:b/>
          <w:bCs/>
          <w:color w:val="000000" w:themeColor="text1"/>
          <w:sz w:val="32"/>
          <w:lang w:val="en-US" w:eastAsia="zh-CN"/>
          <w14:textFill>
            <w14:solidFill>
              <w14:schemeClr w14:val="tx1"/>
            </w14:solidFill>
          </w14:textFill>
        </w:rPr>
      </w:pPr>
      <w:bookmarkStart w:id="68" w:name="_Toc23902"/>
      <w:r>
        <w:rPr>
          <w:rFonts w:hint="eastAsia" w:ascii="Times New Roman" w:hAnsi="Times New Roman"/>
          <w:b/>
          <w:bCs/>
          <w:color w:val="000000" w:themeColor="text1"/>
          <w:sz w:val="32"/>
          <w:lang w:val="en-US" w:eastAsia="zh-CN"/>
          <w14:textFill>
            <w14:solidFill>
              <w14:schemeClr w14:val="tx1"/>
            </w14:solidFill>
          </w14:textFill>
        </w:rPr>
        <w:t>致  谢</w:t>
      </w:r>
      <w:bookmarkEnd w:id="68"/>
    </w:p>
    <w:p w14:paraId="180E51FB">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b w:val="0"/>
          <w:bCs w:val="0"/>
          <w:color w:val="000000" w:themeColor="text1"/>
          <w:sz w:val="24"/>
          <w:lang w:val="en-US" w:eastAsia="zh-CN"/>
          <w14:textFill>
            <w14:solidFill>
              <w14:schemeClr w14:val="tx1"/>
            </w14:solidFill>
          </w14:textFill>
        </w:rPr>
      </w:pPr>
      <w:r>
        <w:rPr>
          <w:rFonts w:hint="eastAsia" w:ascii="Times New Roman" w:hAnsi="Times New Roman"/>
          <w:b w:val="0"/>
          <w:bCs w:val="0"/>
          <w:color w:val="000000" w:themeColor="text1"/>
          <w:sz w:val="24"/>
          <w:lang w:val="en-US" w:eastAsia="zh-CN"/>
          <w14:textFill>
            <w14:solidFill>
              <w14:schemeClr w14:val="tx1"/>
            </w14:solidFill>
          </w14:textFill>
        </w:rPr>
        <w:t>提笔至此，心中已有万千感激，比文字先行的，是梗于心头的泪意。</w:t>
      </w:r>
    </w:p>
    <w:p w14:paraId="0CBAC02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ascii="Times New Roman" w:hAnsi="Times New Roman"/>
          <w:b w:val="0"/>
          <w:bCs w:val="0"/>
          <w:color w:val="000000" w:themeColor="text1"/>
          <w:sz w:val="24"/>
          <w:lang w:val="en-US" w:eastAsia="zh-CN"/>
          <w14:textFill>
            <w14:solidFill>
              <w14:schemeClr w14:val="tx1"/>
            </w14:solidFill>
          </w14:textFill>
        </w:rPr>
      </w:pPr>
      <w:r>
        <w:rPr>
          <w:rFonts w:hint="eastAsia" w:ascii="Times New Roman" w:hAnsi="Times New Roman"/>
          <w:b w:val="0"/>
          <w:bCs w:val="0"/>
          <w:color w:val="000000" w:themeColor="text1"/>
          <w:sz w:val="24"/>
          <w:lang w:val="en-US" w:eastAsia="zh-CN"/>
          <w14:textFill>
            <w14:solidFill>
              <w14:schemeClr w14:val="tx1"/>
            </w14:solidFill>
          </w14:textFill>
        </w:rPr>
        <w:t>22年夏天，我因高考的遗憾而长期陷于沮丧低迷的情绪中，带着满心的迷茫与不甘来到了湘大。22岁夏天，湘大将我养育成为一名自信而坚定的法科学子，给予我底气与学识，助力我昂首挺胸地走向更广阔的天地。</w:t>
      </w:r>
    </w:p>
    <w:p w14:paraId="26AC238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ascii="Times New Roman" w:hAnsi="Times New Roman"/>
          <w:b w:val="0"/>
          <w:bCs w:val="0"/>
          <w:color w:val="000000" w:themeColor="text1"/>
          <w:sz w:val="24"/>
          <w:lang w:val="en-US" w:eastAsia="zh-CN"/>
          <w14:textFill>
            <w14:solidFill>
              <w14:schemeClr w14:val="tx1"/>
            </w14:solidFill>
          </w14:textFill>
        </w:rPr>
      </w:pPr>
      <w:r>
        <w:rPr>
          <w:rFonts w:hint="eastAsia" w:ascii="Times New Roman" w:hAnsi="Times New Roman"/>
          <w:b w:val="0"/>
          <w:bCs w:val="0"/>
          <w:color w:val="000000" w:themeColor="text1"/>
          <w:sz w:val="24"/>
          <w:lang w:val="en-US" w:eastAsia="zh-CN"/>
          <w14:textFill>
            <w14:solidFill>
              <w14:schemeClr w14:val="tx1"/>
            </w14:solidFill>
          </w14:textFill>
        </w:rPr>
        <w:t>四年，是我飞速成长的四年，是湘大法学视我如己出的四年，是我会永生怀念的四年。至此：</w:t>
      </w:r>
    </w:p>
    <w:p w14:paraId="3FF1D13B">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b w:val="0"/>
          <w:bCs w:val="0"/>
          <w:color w:val="000000" w:themeColor="text1"/>
          <w:sz w:val="24"/>
          <w:lang w:val="en-US" w:eastAsia="zh-CN"/>
          <w14:textFill>
            <w14:solidFill>
              <w14:schemeClr w14:val="tx1"/>
            </w14:solidFill>
          </w14:textFill>
        </w:rPr>
      </w:pPr>
      <w:r>
        <w:rPr>
          <w:rFonts w:hint="eastAsia" w:ascii="Times New Roman" w:hAnsi="Times New Roman"/>
          <w:b w:val="0"/>
          <w:bCs w:val="0"/>
          <w:color w:val="000000" w:themeColor="text1"/>
          <w:sz w:val="24"/>
          <w:lang w:val="en-US" w:eastAsia="zh-CN"/>
          <w14:textFill>
            <w14:solidFill>
              <w14:schemeClr w14:val="tx1"/>
            </w14:solidFill>
          </w14:textFill>
        </w:rPr>
        <w:t>感谢母校的每一次托举。</w:t>
      </w:r>
    </w:p>
    <w:p w14:paraId="245344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b w:val="0"/>
          <w:bCs w:val="0"/>
          <w:color w:val="000000" w:themeColor="text1"/>
          <w:sz w:val="24"/>
          <w:lang w:val="en-US" w:eastAsia="zh-CN"/>
          <w14:textFill>
            <w14:solidFill>
              <w14:schemeClr w14:val="tx1"/>
            </w14:solidFill>
          </w14:textFill>
        </w:rPr>
      </w:pPr>
      <w:r>
        <w:rPr>
          <w:rFonts w:hint="eastAsia" w:ascii="Times New Roman" w:hAnsi="Times New Roman"/>
          <w:b w:val="0"/>
          <w:bCs w:val="0"/>
          <w:color w:val="000000" w:themeColor="text1"/>
          <w:sz w:val="24"/>
          <w:lang w:val="en-US" w:eastAsia="zh-CN"/>
          <w14:textFill>
            <w14:solidFill>
              <w14:schemeClr w14:val="tx1"/>
            </w14:solidFill>
          </w14:textFill>
        </w:rPr>
        <w:t>感谢老师的每一次教导。</w:t>
      </w:r>
    </w:p>
    <w:p w14:paraId="100384C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b w:val="0"/>
          <w:bCs w:val="0"/>
          <w:color w:val="000000" w:themeColor="text1"/>
          <w:sz w:val="24"/>
          <w:lang w:val="en-US" w:eastAsia="zh-CN"/>
          <w14:textFill>
            <w14:solidFill>
              <w14:schemeClr w14:val="tx1"/>
            </w14:solidFill>
          </w14:textFill>
        </w:rPr>
      </w:pPr>
      <w:r>
        <w:rPr>
          <w:rFonts w:hint="eastAsia" w:ascii="Times New Roman" w:hAnsi="Times New Roman"/>
          <w:b w:val="0"/>
          <w:bCs w:val="0"/>
          <w:color w:val="000000" w:themeColor="text1"/>
          <w:sz w:val="24"/>
          <w:lang w:val="en-US" w:eastAsia="zh-CN"/>
          <w14:textFill>
            <w14:solidFill>
              <w14:schemeClr w14:val="tx1"/>
            </w14:solidFill>
          </w14:textFill>
        </w:rPr>
        <w:t>感谢亲朋的每一声关怀。</w:t>
      </w:r>
    </w:p>
    <w:p w14:paraId="46B3E06B">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b w:val="0"/>
          <w:bCs w:val="0"/>
          <w:color w:val="000000" w:themeColor="text1"/>
          <w:sz w:val="24"/>
          <w:lang w:val="en-US" w:eastAsia="zh-CN"/>
          <w14:textFill>
            <w14:solidFill>
              <w14:schemeClr w14:val="tx1"/>
            </w14:solidFill>
          </w14:textFill>
        </w:rPr>
      </w:pPr>
      <w:r>
        <w:rPr>
          <w:rFonts w:hint="eastAsia" w:ascii="Times New Roman" w:hAnsi="Times New Roman"/>
          <w:b w:val="0"/>
          <w:bCs w:val="0"/>
          <w:color w:val="000000" w:themeColor="text1"/>
          <w:sz w:val="24"/>
          <w:lang w:val="en-US" w:eastAsia="zh-CN"/>
          <w14:textFill>
            <w14:solidFill>
              <w14:schemeClr w14:val="tx1"/>
            </w14:solidFill>
          </w14:textFill>
        </w:rPr>
        <w:t>感谢所有在天色未明时出现的提灯人，致敬所有在夜色深沉中前行的赶路人。</w:t>
      </w:r>
    </w:p>
    <w:p w14:paraId="4A1FAE6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ascii="Times New Roman" w:hAnsi="Times New Roman"/>
          <w:b w:val="0"/>
          <w:bCs w:val="0"/>
          <w:color w:val="000000" w:themeColor="text1"/>
          <w:sz w:val="24"/>
          <w:lang w:val="en-US" w:eastAsia="zh-CN"/>
          <w14:textFill>
            <w14:solidFill>
              <w14:schemeClr w14:val="tx1"/>
            </w14:solidFill>
          </w14:textFill>
        </w:rPr>
      </w:pPr>
      <w:r>
        <w:rPr>
          <w:rFonts w:hint="eastAsia" w:ascii="Times New Roman" w:hAnsi="Times New Roman"/>
          <w:b w:val="0"/>
          <w:bCs w:val="0"/>
          <w:color w:val="000000" w:themeColor="text1"/>
          <w:sz w:val="24"/>
          <w:lang w:val="en-US" w:eastAsia="zh-CN"/>
          <w14:textFill>
            <w14:solidFill>
              <w14:schemeClr w14:val="tx1"/>
            </w14:solidFill>
          </w14:textFill>
        </w:rPr>
        <w:t>愿大家平安顺遂，万事胜意。</w:t>
      </w:r>
    </w:p>
    <w:sectPr>
      <w:footerReference r:id="rId7" w:type="default"/>
      <w:footnotePr>
        <w:numFmt w:val="decimalEnclosedCircleChinese"/>
        <w:numRestart w:val="eachPage"/>
      </w:footnotePr>
      <w:endnotePr>
        <w:numFmt w:val="decimal"/>
      </w:endnotePr>
      <w:pgSz w:w="11906" w:h="16838"/>
      <w:pgMar w:top="1440" w:right="1800" w:bottom="1440" w:left="1800" w:header="851" w:footer="992" w:gutter="0"/>
      <w:pgNumType w:fmt="decimal" w:start="1"/>
      <w:cols w:space="425" w:num="1"/>
      <w:docGrid w:type="lines" w:linePitch="312" w:charSpace="0"/>
    </w:sectPr>
  </w:body>
</w:document>
</file>

<file path=word/comments.xml><?xml version="1.0" encoding="utf-8"?>
<w:comments xmlns:mc="http://schemas.openxmlformats.org/markup-compatibility/2006" xmlns:w="http://schemas.openxmlformats.org/wordprocessingml/2006/main" xmlns:w14="http://schemas.microsoft.com/office/word/2010/wordml" mc:Ignorable="w14">
  <w:comment w:id="0" w:author="张老师的agent" w:initials="ZA" w:date="2026-05-19T09:37:47Z" w14:paraId="F9BDEB09">
    <w:p w14:paraId="F9BDEB09">
      <w:r>
        <w:t xml:space="preserve">【结构】【致命】绪论部分（含文献综述、研究设计）占比超过30%，核心实证分析和对策建议章节篇幅不足。绪论约1.2万字，而核心的实证分析（第三章）和完善建议（第四章）合计约1.8万字，核心论证部分被绪论挤压。 → 将绪论中的文献综述部分精简至6000字以内</w:t>
      </w:r>
      <w:r>
        <w:br/>
      </w:r>
      <w:r>
        <w:t xml:space="preserve">其他建议：</w:t>
      </w:r>
      <w:r>
        <w:br/>
      </w:r>
      <w:r>
        <w:t xml:space="preserve">  · 将更多篇幅分配给实证分析和对策建议部分</w:t>
      </w:r>
      <w:r>
        <w:br/>
      </w:r>
      <w:r>
        <w:t xml:space="preserve">  · 考虑将部分文献综述内容移至附录或脚注中</w:t>
      </w:r>
      <w:r>
        <w:br/>
      </w:r>
      <w:r>
        <w:t xml:space="preserve">[id: thesis-structure-001]</w:t>
      </w:r>
    </w:p>
  </w:comment>
  <w:comment w:id="1" w:author="张老师的agent" w:initials="ZA" w:date="2026-05-19T09:37:47Z" w14:paraId="2535D044">
    <w:p w14:paraId="2535D044">
      <w:r>
        <w:t xml:space="preserve">【引注格式】【重要】论文脚注中部分使用了'参见'前缀，部分未使用，格式不统一。同时，期刊文章的引用格式中，有的标注了卷号，有的未标注；案例引用格式也不统一——有的写'（2023）最高法民终XX号'，有的写'最高人民法院（2023）民终XX号'。 → 统一脚注格式，决定是否统一使用'参见'前缀</w:t>
      </w:r>
      <w:r>
        <w:br/>
      </w:r>
      <w:r>
        <w:t xml:space="preserve">其他建议：</w:t>
      </w:r>
      <w:r>
        <w:br/>
      </w:r>
      <w:r>
        <w:t xml:space="preserve">  · 期刊引用统一标注卷号</w:t>
      </w:r>
      <w:r>
        <w:br/>
      </w:r>
      <w:r>
        <w:t xml:space="preserve">  · 案例引用统一采用'（2023）最高法民终XX号民事判决书'格式</w:t>
      </w:r>
      <w:r>
        <w:br/>
      </w:r>
      <w:r>
        <w:t xml:space="preserve">[id: citation-citation-format-010]</w:t>
      </w:r>
    </w:p>
  </w:comment>
  <w:comment w:id="2" w:author="张老师的agent" w:initials="ZA" w:date="2026-05-19T09:37:47Z" w14:paraId="A5FF443E">
    <w:p w14:paraId="A5FF443E">
      <w:r>
        <w:t xml:space="preserve">【对策】【重要】论文提出'构建二元责任规范模式'，但未具体说明该模式应通过何种路径实现——是通过修改《证券法》还是通过最高人民法院出台新的司法解释？如果是通过司法解释，具体条文应如何设计？建议的可操作性有待增强。 → 在每项建议后增加'实现路径'说明</w:t>
      </w:r>
      <w:r>
        <w:br/>
      </w:r>
      <w:r>
        <w:t xml:space="preserve">其他建议：</w:t>
      </w:r>
      <w:r>
        <w:br/>
      </w:r>
      <w:r>
        <w:t xml:space="preserve">  · 明确建议的落实方式（立法修改/司法解释/指导性案例等）</w:t>
      </w:r>
      <w:r>
        <w:br/>
      </w:r>
      <w:r>
        <w:t xml:space="preserve">  · 如建议通过司法解释实现，可尝试草拟条文建议</w:t>
      </w:r>
      <w:r>
        <w:br/>
      </w:r>
      <w:r>
        <w:t xml:space="preserve">[id: thesis-policy-005]</w:t>
      </w:r>
    </w:p>
  </w:comment>
  <w:comment w:id="3" w:author="张老师的agent" w:initials="ZA" w:date="2026-05-19T09:37:47Z" w14:paraId="2286B366">
    <w:p w14:paraId="2286B366">
      <w:r>
        <w:t xml:space="preserve">【实证】【重要】样本中部分案件的一审虚假陈述行为可能发生在2022年《虚假陈述司法解释》施行前，但二审适用了新司法解释。论文未充分说明如何处理这种'行为发生在旧法时期、裁判适用新法'的时间冲突问题，可能影响实证分析结论的准确性。 → 在样本说明部分增加一段关于新旧司法解释适用情况的说明</w:t>
      </w:r>
      <w:r>
        <w:br/>
      </w:r>
      <w:r>
        <w:t xml:space="preserve">其他建议：</w:t>
      </w:r>
      <w:r>
        <w:br/>
      </w:r>
      <w:r>
        <w:t xml:space="preserve">  · 明确样本中适用旧解释和新解释的案件数量及比例</w:t>
      </w:r>
      <w:r>
        <w:br/>
      </w:r>
      <w:r>
        <w:t xml:space="preserve">  · 分析新旧解释差异对实证结果的可能影响</w:t>
      </w:r>
      <w:r>
        <w:br/>
      </w:r>
      <w:r>
        <w:t xml:space="preserve">[id: thesis-empirical-004]</w:t>
      </w:r>
    </w:p>
  </w:comment>
  <w:comment w:id="4" w:author="张老师的agent" w:initials="ZA" w:date="2026-05-19T09:37:47Z" w14:paraId="35A0D7C5">
    <w:p w14:paraId="35A0D7C5">
      <w:r>
        <w:t xml:space="preserve">【结构】【重要】第三章第三节标题为'交叉分析'，但该部分内容实际上包含了大量规范分析和案例评析，与标题'交叉分析'的实证研究方法定位不完全吻合，存在名实不符的问题。 → 将第三节标题改为'实证发现与规范分析'</w:t>
      </w:r>
      <w:r>
        <w:br/>
      </w:r>
      <w:r>
        <w:t xml:space="preserve">其他建议：</w:t>
      </w:r>
      <w:r>
        <w:br/>
      </w:r>
      <w:r>
        <w:t xml:space="preserve">  · 或拆分为'实证发现'和'典型案例评析'两个子节</w:t>
      </w:r>
      <w:r>
        <w:br/>
      </w:r>
      <w:r>
        <w:t xml:space="preserve">  · 确保标题准确反映该部分内容的方法论属性</w:t>
      </w:r>
      <w:r>
        <w:br/>
      </w:r>
      <w:r>
        <w:t xml:space="preserve">[id: thesis-structure-002]</w:t>
      </w:r>
    </w:p>
  </w:comment>
  <w:comment w:id="5" w:author="张老师的agent" w:initials="ZA" w:date="2026-05-19T09:37:47Z" w14:paraId="9C405176">
    <w:p w14:paraId="9C405176">
      <w:r>
        <w:t xml:space="preserve">【论证深度】【重要】论文指出法院将欺诈市场理论直接适用于发行市场，但仅以案例展示现象，未充分论证为何这种适用是错误的——即发行市场缺乏公开交易价格形成机制，欺诈市场理论的前提条件不成立，论据与论点之间的逻辑链条不够紧密。 → 在案例评析后增加一段理论分析，阐明欺诈市场理论的适用前提（有效市场、公开交易价格形成机制）</w:t>
      </w:r>
      <w:r>
        <w:br/>
      </w:r>
      <w:r>
        <w:t xml:space="preserve">其他建议：</w:t>
      </w:r>
      <w:r>
        <w:br/>
      </w:r>
      <w:r>
        <w:t xml:space="preserve">  · 论证为何发行市场不满足这些前提条件</w:t>
      </w:r>
      <w:r>
        <w:br/>
      </w:r>
      <w:r>
        <w:t xml:space="preserve">  · 引用域外判例和学说佐证该观点</w:t>
      </w:r>
      <w:r>
        <w:br/>
      </w:r>
      <w:r>
        <w:t xml:space="preserve">[id: thesis-argumentation-003]</w:t>
      </w:r>
    </w:p>
  </w:comment>
  <w:comment w:id="6" w:author="张老师的agent" w:initials="ZA" w:date="2026-05-19T09:37:47Z" w14:paraId="88D545BF">
    <w:p w14:paraId="88D545BF">
      <w:r>
        <w:t xml:space="preserve">⚠️ 精确定位失败, 挂到文档开头: 【引注信息】【轻微】论文中部分脚注仅标注了期刊名称和卷期，未标注引用内容所在的具体页码，不符合GB/T 7714规范要求。 → 逐条检查所有脚注</w:t>
      </w:r>
      <w:r>
        <w:br/>
      </w:r>
      <w:r>
        <w:t xml:space="preserve">其他建议：</w:t>
      </w:r>
      <w:r>
        <w:br/>
      </w:r>
      <w:r>
        <w:t xml:space="preserve">  · 补充缺失的引用页码</w:t>
      </w:r>
      <w:r>
        <w:br/>
      </w:r>
      <w:r>
        <w:t xml:space="preserve">  · 确保每条引用均符合GB/T 7714规范</w:t>
      </w:r>
      <w:r>
        <w:br/>
      </w:r>
      <w:r>
        <w:t xml:space="preserve">[id: citation-citation-missing-info-011]</w:t>
      </w:r>
    </w:p>
  </w:comment>
  <w:comment w:id="7" w:author="张老师的agent" w:initials="ZA" w:date="2026-05-19T09:37:47Z" w14:paraId="E658C0CC">
    <w:p w14:paraId="E658C0CC">
      <w:r>
        <w:t xml:space="preserve">【学术不端线索】【轻微】论文文献综述部分对学者观点的转述较多，建议使用查重系统进行全文查重，特别是文献综述部分注意避免过度引用导致的重复率过高问题。 → 使用知网查重系统进行全文查重</w:t>
      </w:r>
      <w:r>
        <w:br/>
      </w:r>
      <w:r>
        <w:t xml:space="preserve">其他建议：</w:t>
      </w:r>
      <w:r>
        <w:br/>
      </w:r>
      <w:r>
        <w:t xml:space="preserve">  · 对文献综述部分的转述进行改写，增加个人评述</w:t>
      </w:r>
      <w:r>
        <w:br/>
      </w:r>
      <w:r>
        <w:t xml:space="preserve">  · 确保引用内容在合理比例范围内</w:t>
      </w:r>
      <w:r>
        <w:br/>
      </w:r>
      <w:r>
        <w:t xml:space="preserve">[id: thesis-academic-integrity-012]</w:t>
      </w:r>
    </w:p>
  </w:comment>
  <w:comment w:id="8" w:author="张老师的agent" w:initials="ZA" w:date="2026-05-19T09:37:47Z" w14:paraId="CD883A93">
    <w:p w14:paraId="CD883A93">
      <w:r>
        <w:t xml:space="preserve">【语言】【轻微】'公开发行环节'的表述容易与'公开发行市场'混淆，术语使用不够精确，可能引起读者理解上的歧义。 → 将'公开发行环节'改为'公开发行市场'或'发行市场'</w:t>
      </w:r>
      <w:r>
        <w:br/>
      </w:r>
      <w:r>
        <w:t xml:space="preserve">其他建议：</w:t>
      </w:r>
      <w:r>
        <w:br/>
      </w:r>
      <w:r>
        <w:t xml:space="preserve">  · 全文统一使用'发行市场'与'交易市场'的二元术语体系</w:t>
      </w:r>
      <w:r>
        <w:br/>
      </w:r>
      <w:r>
        <w:t xml:space="preserve">[id: thesis-language-006]</w:t>
      </w:r>
    </w:p>
  </w:comment>
  <w:comment w:id="9" w:author="张老师的agent" w:initials="ZA" w:date="2026-05-19T09:37:47Z" w14:paraId="1B865703">
    <w:p w14:paraId="1B865703">
      <w:r>
        <w:t xml:space="preserve">【对策】【轻微】论文建议非公开发行排除信赖推定，但未讨论是否存在例外情形——例如当定向增发中存在公开披露的虚假信息且机构投资者确实依赖该信息时，是否应允许投资者举证实际信赖？建议的周延性有待加强。 → 增加对建议适用边界的讨论</w:t>
      </w:r>
      <w:r>
        <w:br/>
      </w:r>
      <w:r>
        <w:t xml:space="preserve">其他建议：</w:t>
      </w:r>
      <w:r>
        <w:br/>
      </w:r>
      <w:r>
        <w:t xml:space="preserve">  · 明确排除信赖推定后投资者的举证路径</w:t>
      </w:r>
      <w:r>
        <w:br/>
      </w:r>
      <w:r>
        <w:t xml:space="preserve">  · 讨论是否存在例外情形及其处理方式</w:t>
      </w:r>
      <w:r>
        <w:br/>
      </w:r>
      <w:r>
        <w:t xml:space="preserve">[id: thesis-policy-009]</w:t>
      </w:r>
    </w:p>
  </w:comment>
  <w:comment w:id="10" w:author="张老师的agent" w:initials="ZA" w:date="2026-05-19T09:37:47Z" w14:paraId="2A0CAD12">
    <w:p w14:paraId="2A0CAD12">
      <w:r>
        <w:t xml:space="preserve">【文献综述】【轻微】文献综述部分对国内学者的研究梳理较为全面，但对域外（尤其是美国联邦最高法院在Halliburton案后）关于欺诈市场理论的最新争议和发展趋势涉及较少，比较法视野有待拓展。 → 在文献综述中增加一段域外最新判例和学说的介绍</w:t>
      </w:r>
      <w:r>
        <w:br/>
      </w:r>
      <w:r>
        <w:t xml:space="preserve">其他建议：</w:t>
      </w:r>
      <w:r>
        <w:br/>
      </w:r>
      <w:r>
        <w:t xml:space="preserve">  · 重点介绍美国对'欺诈市场理论'适用条件的限缩趋势</w:t>
      </w:r>
      <w:r>
        <w:br/>
      </w:r>
      <w:r>
        <w:t xml:space="preserve">  · 可增加英国、德国等法域的比较法视角</w:t>
      </w:r>
      <w:r>
        <w:br/>
      </w:r>
      <w:r>
        <w:t xml:space="preserve">[id: thesis-literature-review-007]</w:t>
      </w:r>
    </w:p>
  </w:comment>
  <w:comment w:id="11" w:author="张老师的agent" w:initials="ZA" w:date="2026-05-19T09:37:47Z" w14:paraId="71F865C2">
    <w:p w14:paraId="71F865C2">
      <w:r>
        <w:t xml:space="preserve">【论证深度】【轻微】论文对损失因果关系的分析主要集中在损失计算方法的描述上（如'事件分析法''多因子模型'），但对损失因果关系本身的认定逻辑——即虚假陈述行为与投资者损失之间的相当因果关系判断——着墨较少，论证深度不足。 → 增加对损失因果关系认定标准的理论分析</w:t>
      </w:r>
      <w:r>
        <w:br/>
      </w:r>
      <w:r>
        <w:t xml:space="preserve">其他建议：</w:t>
      </w:r>
      <w:r>
        <w:br/>
      </w:r>
      <w:r>
        <w:t xml:space="preserve">  · 区分'系统风险扣除'与'损失因果关系成立'是两个不同层次的问题</w:t>
      </w:r>
      <w:r>
        <w:br/>
      </w:r>
      <w:r>
        <w:t xml:space="preserve">  · 可参考侵权法中相当因果关系理论进行分析</w:t>
      </w:r>
      <w:r>
        <w:br/>
      </w:r>
      <w:r>
        <w:t xml:space="preserve">[id: thesis-argumentation-008]</w:t>
      </w:r>
    </w:p>
  </w:comment>
</w:comments>
</file>

<file path=word/commentsExtended.xml><?xml version="1.0" encoding="utf-8"?>
<w15:commentsEx xmlns:w15="http://schemas.microsoft.com/office/word/2012/wordml">
  <w15:commentEx w15:paraId="F9BDEB09" w15:done="0"/>
  <w15:commentEx w15:paraId="2535D044" w15:done="0"/>
  <w15:commentEx w15:paraId="A5FF443E" w15:done="0"/>
  <w15:commentEx w15:paraId="2286B366" w15:done="0"/>
  <w15:commentEx w15:paraId="35A0D7C5" w15:done="0"/>
  <w15:commentEx w15:paraId="9C405176" w15:done="0"/>
  <w15:commentEx w15:paraId="88D545BF" w15:done="0"/>
  <w15:commentEx w15:paraId="E658C0CC" w15:done="0"/>
  <w15:commentEx w15:paraId="CD883A93" w15:done="0"/>
  <w15:commentEx w15:paraId="1B865703" w15:done="0"/>
  <w15:commentEx w15:paraId="2A0CAD12" w15:done="0"/>
  <w15:commentEx w15:paraId="71F865C2" w15:done="0"/>
</w15:commentsEx>
</file>

<file path=word/commentsIds.xml><?xml version="1.0" encoding="utf-8"?>
<w16cid:commentsIds xmlns:w16cid="http://schemas.microsoft.com/office/word/2016/wordml/cid">
  <w16cid:commentId w16cid:paraId="F9BDEB09" w16cid:durableId="0CE8C3F4"/>
  <w16cid:commentId w16cid:paraId="2535D044" w16cid:durableId="A1DE3092"/>
  <w16cid:commentId w16cid:paraId="A5FF443E" w16cid:durableId="A5FD8CE3"/>
  <w16cid:commentId w16cid:paraId="2286B366" w16cid:durableId="97B1F910"/>
  <w16cid:commentId w16cid:paraId="35A0D7C5" w16cid:durableId="0E453370"/>
  <w16cid:commentId w16cid:paraId="9C405176" w16cid:durableId="5DDA8FBB"/>
  <w16cid:commentId w16cid:paraId="88D545BF" w16cid:durableId="D319E41C"/>
  <w16cid:commentId w16cid:paraId="E658C0CC" w16cid:durableId="061F5F50"/>
  <w16cid:commentId w16cid:paraId="CD883A93" w16cid:durableId="7C6A9880"/>
  <w16cid:commentId w16cid:paraId="1B865703" w16cid:durableId="59C6E4B4"/>
  <w16cid:commentId w16cid:paraId="2A0CAD12" w16cid:durableId="2CAD7CEF"/>
  <w16cid:commentId w16cid:paraId="71F865C2" w16cid:durableId="0C8D1E3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B15EF">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E004C4">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BE004C4">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B3C01">
    <w:pPr>
      <w:pStyle w:val="9"/>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FF9A45">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78FF9A45">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34">
    <w:p>
      <w:pPr>
        <w:spacing w:line="240" w:lineRule="auto"/>
        <w:ind w:firstLine="480"/>
      </w:pPr>
      <w:r>
        <w:separator/>
      </w:r>
    </w:p>
  </w:footnote>
  <w:footnote w:type="continuationSeparator" w:id="135">
    <w:p>
      <w:pPr>
        <w:spacing w:line="240" w:lineRule="auto"/>
        <w:ind w:firstLine="480"/>
      </w:pPr>
      <w:r>
        <w:continuationSeparator/>
      </w:r>
    </w:p>
  </w:footnote>
  <w:footnote w:id="0">
    <w:p w14:paraId="391D463A">
      <w:pPr>
        <w:pStyle w:val="12"/>
        <w:keepNext w:val="0"/>
        <w:keepLines w:val="0"/>
        <w:pageBreakBefore w:val="0"/>
        <w:widowControl w:val="0"/>
        <w:kinsoku/>
        <w:wordWrap/>
        <w:overflowPunct/>
        <w:topLinePunct w:val="0"/>
        <w:bidi w:val="0"/>
        <w:adjustRightInd/>
        <w:snapToGrid w:val="0"/>
        <w:textAlignment w:val="auto"/>
        <w:rPr>
          <w:rFonts w:hint="default" w:ascii="Times New Roman" w:hAnsi="Times New Roman"/>
          <w:sz w:val="18"/>
          <w:lang w:val="en-US"/>
        </w:rPr>
      </w:pPr>
      <w:r>
        <w:rPr>
          <w:rStyle w:val="22"/>
          <w:rFonts w:ascii="Times New Roman" w:hAnsi="Times New Roman"/>
          <w:sz w:val="18"/>
        </w:rPr>
        <w:footnoteRef/>
      </w:r>
      <w:r>
        <w:rPr>
          <w:rFonts w:ascii="Times New Roman" w:hAnsi="Times New Roman"/>
          <w:sz w:val="18"/>
        </w:rPr>
        <w:t xml:space="preserve"> </w:t>
      </w:r>
      <w:r>
        <w:rPr>
          <w:rFonts w:hint="default" w:ascii="Times New Roman" w:hAnsi="Times New Roman"/>
          <w:sz w:val="18"/>
          <w:lang w:val="en-US" w:eastAsia="zh-CN"/>
        </w:rPr>
        <w:t>《关于依法从严打击证券违法活动的意见》</w:t>
      </w:r>
      <w:r>
        <w:rPr>
          <w:rFonts w:hint="eastAsia" w:ascii="Times New Roman" w:hAnsi="Times New Roman"/>
          <w:sz w:val="18"/>
          <w:lang w:val="en-US" w:eastAsia="zh-CN"/>
        </w:rPr>
        <w:t>，</w:t>
      </w:r>
      <w:r>
        <w:rPr>
          <w:rFonts w:hint="default" w:ascii="Times New Roman" w:hAnsi="Times New Roman"/>
          <w:sz w:val="18"/>
          <w:lang w:val="en-US" w:eastAsia="zh-CN"/>
        </w:rPr>
        <w:t>中办发〔2021〕26号</w:t>
      </w:r>
      <w:r>
        <w:rPr>
          <w:rFonts w:hint="eastAsia" w:ascii="Times New Roman" w:hAnsi="Times New Roman"/>
          <w:sz w:val="18"/>
          <w:lang w:val="en-US" w:eastAsia="zh-CN"/>
        </w:rPr>
        <w:t>，2021年9月2日发布。</w:t>
      </w:r>
    </w:p>
  </w:footnote>
  <w:footnote w:id="1">
    <w:p w14:paraId="2FE0E52F">
      <w:pPr>
        <w:pStyle w:val="12"/>
        <w:snapToGrid w:val="0"/>
        <w:rPr>
          <w:rFonts w:ascii="Times New Roman" w:hAnsi="Times New Roman"/>
          <w:sz w:val="18"/>
        </w:rPr>
      </w:pPr>
      <w:r>
        <w:rPr>
          <w:rStyle w:val="22"/>
          <w:rFonts w:ascii="Times New Roman" w:hAnsi="Times New Roman"/>
          <w:sz w:val="18"/>
        </w:rPr>
        <w:footnoteRef/>
      </w:r>
      <w:r>
        <w:rPr>
          <w:rFonts w:ascii="Times New Roman" w:hAnsi="Times New Roman"/>
          <w:sz w:val="18"/>
        </w:rPr>
        <w:t xml:space="preserve"> 焦津洪</w:t>
      </w:r>
      <w:r>
        <w:rPr>
          <w:rFonts w:hint="eastAsia" w:ascii="Times New Roman" w:hAnsi="Times New Roman"/>
          <w:sz w:val="18"/>
          <w:lang w:eastAsia="zh-CN"/>
        </w:rPr>
        <w:t>：《</w:t>
      </w:r>
      <w:r>
        <w:rPr>
          <w:rFonts w:hint="eastAsia" w:ascii="Times New Roman" w:hAnsi="Times New Roman"/>
          <w:sz w:val="18"/>
        </w:rPr>
        <w:t>“欺诈市场理论”研究</w:t>
      </w:r>
      <w:r>
        <w:rPr>
          <w:rFonts w:hint="eastAsia" w:ascii="Times New Roman" w:hAnsi="Times New Roman"/>
          <w:sz w:val="18"/>
          <w:lang w:eastAsia="zh-CN"/>
        </w:rPr>
        <w:t>》，</w:t>
      </w:r>
      <w:r>
        <w:rPr>
          <w:rFonts w:hint="eastAsia" w:ascii="Times New Roman" w:hAnsi="Times New Roman"/>
          <w:sz w:val="18"/>
          <w:lang w:val="en-US" w:eastAsia="zh-CN"/>
        </w:rPr>
        <w:t>载《中国法学》2003年第2期。</w:t>
      </w:r>
    </w:p>
  </w:footnote>
  <w:footnote w:id="2">
    <w:p w14:paraId="3300042F">
      <w:pPr>
        <w:pStyle w:val="12"/>
        <w:snapToGrid w:val="0"/>
        <w:rPr>
          <w:rFonts w:ascii="Times New Roman" w:hAnsi="Times New Roman"/>
          <w:sz w:val="18"/>
        </w:rPr>
      </w:pPr>
      <w:r>
        <w:rPr>
          <w:rStyle w:val="22"/>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郭峰：《证券市场虚假陈述及其民事赔偿责任——兼评最高法院关于虚假陈述民事赔偿的司法解释》，载《法学家》2003年第2期。</w:t>
      </w:r>
    </w:p>
  </w:footnote>
  <w:footnote w:id="3">
    <w:p w14:paraId="6C76ED43">
      <w:pPr>
        <w:pStyle w:val="12"/>
        <w:snapToGrid w:val="0"/>
        <w:jc w:val="both"/>
        <w:rPr>
          <w:rFonts w:ascii="Times New Roman" w:hAnsi="Times New Roman"/>
          <w:sz w:val="18"/>
        </w:rPr>
      </w:pPr>
      <w:r>
        <w:rPr>
          <w:rStyle w:val="22"/>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陈洁：《证券虚假陈述侵权损害赔偿中因果关系的认定机制》，载《中国社会科学院大学学报》2023年第10期。</w:t>
      </w:r>
    </w:p>
  </w:footnote>
  <w:footnote w:id="4">
    <w:p w14:paraId="152211B4">
      <w:pPr>
        <w:pStyle w:val="12"/>
        <w:snapToGrid w:val="0"/>
        <w:rPr>
          <w:rFonts w:ascii="Times New Roman" w:hAnsi="Times New Roman"/>
          <w:sz w:val="18"/>
        </w:rPr>
      </w:pPr>
      <w:r>
        <w:rPr>
          <w:rStyle w:val="22"/>
          <w:rFonts w:ascii="Times New Roman" w:hAnsi="Times New Roman"/>
          <w:sz w:val="18"/>
        </w:rPr>
        <w:footnoteRef/>
      </w:r>
      <w:r>
        <w:rPr>
          <w:rFonts w:ascii="Times New Roman" w:hAnsi="Times New Roman"/>
          <w:sz w:val="18"/>
        </w:rPr>
        <w:t xml:space="preserve"> </w:t>
      </w:r>
      <w:r>
        <w:rPr>
          <w:rFonts w:ascii="Times New Roman" w:hAnsi="Times New Roman"/>
          <w:sz w:val="18"/>
        </w:rPr>
        <w:fldChar w:fldCharType="begin"/>
      </w:r>
      <w:r>
        <w:rPr>
          <w:rFonts w:ascii="Times New Roman" w:hAnsi="Times New Roman"/>
          <w:sz w:val="18"/>
        </w:rPr>
        <w:instrText xml:space="preserve"> HYPERLINK "https://www.pkulaw.com/journal/findarticle?SearchKeywordType=Author&amp;Keywords=%e5%bd%ad%e5%86%b0" \t "_blank" </w:instrText>
      </w:r>
      <w:r>
        <w:rPr>
          <w:rFonts w:ascii="Times New Roman" w:hAnsi="Times New Roman"/>
          <w:sz w:val="18"/>
        </w:rPr>
        <w:fldChar w:fldCharType="separate"/>
      </w:r>
      <w:r>
        <w:rPr>
          <w:rFonts w:ascii="Times New Roman" w:hAnsi="Times New Roman"/>
          <w:sz w:val="18"/>
        </w:rPr>
        <w:t>彭冰</w:t>
      </w:r>
      <w:r>
        <w:rPr>
          <w:rFonts w:ascii="Times New Roman" w:hAnsi="Times New Roman"/>
          <w:sz w:val="18"/>
        </w:rPr>
        <w:fldChar w:fldCharType="end"/>
      </w:r>
      <w:r>
        <w:rPr>
          <w:rFonts w:hint="eastAsia" w:ascii="Times New Roman" w:hAnsi="Times New Roman"/>
          <w:sz w:val="18"/>
          <w:lang w:eastAsia="zh-CN"/>
        </w:rPr>
        <w:t>：《证券虚假陈述民事赔偿中的因果关系——司法解释的新发展评析》，</w:t>
      </w:r>
      <w:r>
        <w:rPr>
          <w:rFonts w:hint="eastAsia" w:ascii="Times New Roman" w:hAnsi="Times New Roman"/>
          <w:sz w:val="18"/>
          <w:lang w:val="en-US" w:eastAsia="zh-CN"/>
        </w:rPr>
        <w:t>载《法律适用》2022年第5期。</w:t>
      </w:r>
    </w:p>
  </w:footnote>
  <w:footnote w:id="5">
    <w:p w14:paraId="4D0259F7">
      <w:pPr>
        <w:pStyle w:val="12"/>
        <w:snapToGrid w:val="0"/>
        <w:rPr>
          <w:rFonts w:hint="default" w:ascii="Times New Roman" w:hAnsi="Times New Roman" w:eastAsia="宋体"/>
          <w:sz w:val="18"/>
          <w:lang w:val="en-US" w:eastAsia="zh-CN"/>
        </w:rPr>
      </w:pPr>
      <w:r>
        <w:rPr>
          <w:rStyle w:val="22"/>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宋建宝：《</w:t>
      </w:r>
      <w:r>
        <w:rPr>
          <w:rFonts w:hint="eastAsia" w:ascii="Times New Roman" w:hAnsi="Times New Roman"/>
          <w:sz w:val="18"/>
        </w:rPr>
        <w:t>债券市场虚假陈述损害赔偿责任的认定</w:t>
      </w:r>
      <w:r>
        <w:rPr>
          <w:rFonts w:hint="eastAsia" w:ascii="Times New Roman" w:hAnsi="Times New Roman"/>
          <w:sz w:val="18"/>
          <w:lang w:eastAsia="zh-CN"/>
        </w:rPr>
        <w:t>》，</w:t>
      </w:r>
      <w:r>
        <w:rPr>
          <w:rFonts w:hint="eastAsia" w:ascii="Times New Roman" w:hAnsi="Times New Roman"/>
          <w:sz w:val="18"/>
          <w:lang w:val="en-US" w:eastAsia="zh-CN"/>
        </w:rPr>
        <w:t>载《债券》2025年第10期。</w:t>
      </w:r>
    </w:p>
  </w:footnote>
  <w:footnote w:id="6">
    <w:p w14:paraId="1DC66C1E">
      <w:pPr>
        <w:pStyle w:val="12"/>
        <w:snapToGrid w:val="0"/>
        <w:rPr>
          <w:rFonts w:hint="default" w:ascii="Times New Roman" w:hAnsi="Times New Roman"/>
          <w:sz w:val="18"/>
          <w:lang w:val="en-US" w:eastAsia="zh-CN"/>
        </w:rPr>
      </w:pPr>
      <w:r>
        <w:rPr>
          <w:rStyle w:val="22"/>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理查德·布斯</w:t>
      </w:r>
      <w:bookmarkStart w:id="69" w:name="_GoBack"/>
      <w:bookmarkEnd w:id="69"/>
      <w:r>
        <w:rPr>
          <w:rFonts w:hint="eastAsia" w:ascii="Times New Roman" w:hAnsi="Times New Roman"/>
          <w:sz w:val="18"/>
          <w:lang w:val="en-US" w:eastAsia="zh-CN"/>
        </w:rPr>
        <w:t>：《证券欺诈集团诉讼中的损失因果关系与风险实现理论》，载《证券法苑》2023年第三十八卷，第15~41页。</w:t>
      </w:r>
    </w:p>
  </w:footnote>
  <w:footnote w:id="7">
    <w:p w14:paraId="2C80D780">
      <w:pPr>
        <w:pStyle w:val="12"/>
        <w:snapToGrid w:val="0"/>
        <w:rPr>
          <w:rFonts w:hint="default" w:ascii="Times New Roman" w:hAnsi="Times New Roman"/>
          <w:sz w:val="18"/>
          <w:lang w:val="en-US"/>
        </w:rPr>
      </w:pPr>
      <w:r>
        <w:rPr>
          <w:rStyle w:val="22"/>
          <w:rFonts w:ascii="Times New Roman" w:hAnsi="Times New Roman"/>
          <w:sz w:val="18"/>
        </w:rPr>
        <w:footnoteRef/>
      </w:r>
      <w:r>
        <w:rPr>
          <w:rFonts w:ascii="Times New Roman" w:hAnsi="Times New Roman"/>
          <w:sz w:val="18"/>
        </w:rPr>
        <w:t xml:space="preserve"> </w:t>
      </w:r>
      <w:r>
        <w:rPr>
          <w:rFonts w:hint="default" w:ascii="Times New Roman" w:hAnsi="Times New Roman"/>
          <w:sz w:val="18"/>
          <w:lang w:val="en-US" w:eastAsia="zh-CN"/>
        </w:rPr>
        <w:t>王春平、吴耀宏</w:t>
      </w:r>
      <w:r>
        <w:rPr>
          <w:rFonts w:hint="eastAsia" w:ascii="Times New Roman" w:hAnsi="Times New Roman"/>
          <w:sz w:val="18"/>
          <w:lang w:val="en-US" w:eastAsia="zh-CN"/>
        </w:rPr>
        <w:t>：《新司法解释下证券虚假陈述民事赔偿案件否定因果关系要件之抗辩路径——以两证券虚假陈述责任纠纷案为例》，载《中国证券期货》，2023年第1期。</w:t>
      </w:r>
    </w:p>
  </w:footnote>
  <w:footnote w:id="8">
    <w:p w14:paraId="0619DD93">
      <w:pPr>
        <w:pStyle w:val="12"/>
        <w:snapToGrid w:val="0"/>
        <w:rPr>
          <w:rFonts w:ascii="Times New Roman" w:hAnsi="Times New Roman"/>
          <w:sz w:val="18"/>
        </w:rPr>
      </w:pPr>
      <w:r>
        <w:rPr>
          <w:rFonts w:hint="eastAsia" w:ascii="Times New Roman" w:hAnsi="Times New Roman"/>
          <w:sz w:val="18"/>
          <w:lang w:val="en-US" w:eastAsia="zh-CN"/>
        </w:rPr>
        <w:footnoteRef/>
      </w:r>
      <w:r>
        <w:rPr>
          <w:rFonts w:hint="eastAsia" w:ascii="Times New Roman" w:hAnsi="Times New Roman"/>
          <w:sz w:val="18"/>
          <w:lang w:val="en-US" w:eastAsia="zh-CN"/>
        </w:rPr>
        <w:t xml:space="preserve"> 陈洁：《证券虚假陈述侵权损害赔偿中因果关系的认定机制》，载《中国社会科学院大学学报》2023年第10期。</w:t>
      </w:r>
    </w:p>
  </w:footnote>
  <w:footnote w:id="9">
    <w:p w14:paraId="32AF4E37">
      <w:pPr>
        <w:pStyle w:val="12"/>
        <w:snapToGrid w:val="0"/>
        <w:rPr>
          <w:rFonts w:ascii="Times New Roman" w:hAnsi="Times New Roman"/>
          <w:sz w:val="18"/>
        </w:rPr>
      </w:pPr>
      <w:r>
        <w:rPr>
          <w:rFonts w:hint="eastAsia" w:ascii="Times New Roman" w:hAnsi="Times New Roman"/>
          <w:sz w:val="18"/>
          <w:lang w:val="en-US" w:eastAsia="zh-CN"/>
        </w:rPr>
        <w:footnoteRef/>
      </w:r>
      <w:r>
        <w:rPr>
          <w:rFonts w:hint="eastAsia" w:ascii="Times New Roman" w:hAnsi="Times New Roman"/>
          <w:sz w:val="18"/>
          <w:lang w:val="en-US" w:eastAsia="zh-CN"/>
        </w:rPr>
        <w:t xml:space="preserve"> 宋建宝：《</w:t>
      </w:r>
      <w:r>
        <w:rPr>
          <w:rFonts w:hint="eastAsia" w:ascii="Times New Roman" w:hAnsi="Times New Roman"/>
          <w:sz w:val="18"/>
        </w:rPr>
        <w:t>债券市场虚假陈述损害赔偿责任的认定</w:t>
      </w:r>
      <w:r>
        <w:rPr>
          <w:rFonts w:hint="eastAsia" w:ascii="Times New Roman" w:hAnsi="Times New Roman"/>
          <w:sz w:val="18"/>
          <w:lang w:eastAsia="zh-CN"/>
        </w:rPr>
        <w:t>》，</w:t>
      </w:r>
      <w:r>
        <w:rPr>
          <w:rFonts w:hint="eastAsia" w:ascii="Times New Roman" w:hAnsi="Times New Roman"/>
          <w:sz w:val="18"/>
          <w:lang w:val="en-US" w:eastAsia="zh-CN"/>
        </w:rPr>
        <w:t>载《债券》2025年第10期。</w:t>
      </w:r>
    </w:p>
  </w:footnote>
  <w:footnote w:id="10">
    <w:p w14:paraId="17622565">
      <w:pPr>
        <w:pStyle w:val="12"/>
        <w:snapToGrid w:val="0"/>
        <w:rPr>
          <w:rFonts w:hint="default" w:ascii="Times New Roman" w:hAnsi="Times New Roman" w:eastAsia="宋体"/>
          <w:sz w:val="18"/>
          <w:lang w:val="en-US" w:eastAsia="zh-CN"/>
        </w:rPr>
      </w:pPr>
      <w:r>
        <w:rPr>
          <w:rFonts w:hint="eastAsia" w:ascii="Times New Roman" w:hAnsi="Times New Roman"/>
          <w:sz w:val="18"/>
          <w:lang w:val="en-US" w:eastAsia="zh-CN"/>
        </w:rPr>
        <w:footnoteRef/>
      </w:r>
      <w:r>
        <w:rPr>
          <w:rFonts w:hint="eastAsia" w:ascii="Times New Roman" w:hAnsi="Times New Roman"/>
          <w:sz w:val="18"/>
          <w:lang w:val="en-US" w:eastAsia="zh-CN"/>
        </w:rPr>
        <w:t xml:space="preserve"> 某某甲公司诉某某乙公司虚假陈述责任纠纷案，山东省青岛市中级人民法院（2022）鲁02民初1721号民事判决书。</w:t>
      </w:r>
    </w:p>
  </w:footnote>
  <w:footnote w:id="11">
    <w:p w14:paraId="64AD5639">
      <w:pPr>
        <w:pStyle w:val="12"/>
        <w:snapToGrid w:val="0"/>
        <w:rPr>
          <w:rFonts w:hint="default" w:ascii="Times New Roman" w:hAnsi="Times New Roman" w:eastAsia="宋体"/>
          <w:sz w:val="18"/>
          <w:lang w:val="en-US" w:eastAsia="zh-CN"/>
        </w:rPr>
      </w:pPr>
      <w:r>
        <w:rPr>
          <w:rFonts w:hint="eastAsia" w:ascii="Times New Roman" w:hAnsi="Times New Roman"/>
          <w:sz w:val="18"/>
          <w:lang w:val="en-US" w:eastAsia="zh-CN"/>
        </w:rPr>
        <w:footnoteRef/>
      </w:r>
      <w:r>
        <w:rPr>
          <w:rFonts w:hint="eastAsia" w:ascii="Times New Roman" w:hAnsi="Times New Roman"/>
          <w:sz w:val="18"/>
          <w:lang w:val="en-US" w:eastAsia="zh-CN"/>
        </w:rPr>
        <w:t xml:space="preserve"> Basic Inc. </w:t>
      </w:r>
      <w:r>
        <w:rPr>
          <w:rFonts w:hint="eastAsia" w:ascii="Times New Roman" w:hAnsi="Times New Roman"/>
          <w:i/>
          <w:iCs/>
          <w:sz w:val="18"/>
          <w:lang w:val="en-US" w:eastAsia="zh-CN"/>
        </w:rPr>
        <w:t>v.</w:t>
      </w:r>
      <w:r>
        <w:rPr>
          <w:rFonts w:hint="eastAsia" w:ascii="Times New Roman" w:hAnsi="Times New Roman"/>
          <w:sz w:val="18"/>
          <w:lang w:val="en-US" w:eastAsia="zh-CN"/>
        </w:rPr>
        <w:t xml:space="preserve"> Levinson, 485 U.S. 224 (U.S. 1988).</w:t>
      </w:r>
    </w:p>
  </w:footnote>
  <w:footnote w:id="12">
    <w:p w14:paraId="0ABEC64F">
      <w:pPr>
        <w:pStyle w:val="12"/>
        <w:snapToGrid w:val="0"/>
        <w:rPr>
          <w:rFonts w:hint="default" w:ascii="Times New Roman" w:hAnsi="Times New Roman" w:eastAsia="宋体" w:cs="Times New Roman"/>
          <w:sz w:val="18"/>
          <w:lang w:val="en-US" w:eastAsia="zh-CN"/>
        </w:rPr>
      </w:pPr>
      <w:r>
        <w:rPr>
          <w:rFonts w:hint="default" w:ascii="Times New Roman" w:hAnsi="Times New Roman"/>
          <w:sz w:val="18"/>
          <w:lang w:val="en-US" w:eastAsia="zh-CN"/>
        </w:rPr>
        <w:footnoteRef/>
      </w:r>
      <w:r>
        <w:rPr>
          <w:rFonts w:hint="default" w:ascii="Times New Roman" w:hAnsi="Times New Roman"/>
          <w:sz w:val="18"/>
          <w:lang w:val="en-US" w:eastAsia="zh-CN"/>
        </w:rPr>
        <w:t xml:space="preserve"> </w:t>
      </w:r>
      <w:r>
        <w:rPr>
          <w:rFonts w:hint="default" w:ascii="Times New Roman" w:hAnsi="Times New Roman" w:cs="Times New Roman"/>
          <w:sz w:val="18"/>
          <w:lang w:val="en-US" w:eastAsia="zh-CN"/>
        </w:rPr>
        <w:t xml:space="preserve">Dura Pharmaceuticals, Inc. </w:t>
      </w:r>
      <w:r>
        <w:rPr>
          <w:rFonts w:hint="default" w:ascii="Times New Roman" w:hAnsi="Times New Roman" w:cs="Times New Roman"/>
          <w:i/>
          <w:iCs/>
          <w:sz w:val="18"/>
          <w:lang w:val="en-US" w:eastAsia="zh-CN"/>
        </w:rPr>
        <w:t>v</w:t>
      </w:r>
      <w:r>
        <w:rPr>
          <w:rFonts w:hint="default" w:ascii="Times New Roman" w:hAnsi="Times New Roman" w:cs="Times New Roman"/>
          <w:sz w:val="18"/>
          <w:lang w:val="en-US" w:eastAsia="zh-CN"/>
        </w:rPr>
        <w:t>. Broudo, 544 U.S. 336 (2005).</w:t>
      </w:r>
    </w:p>
  </w:footnote>
  <w:footnote w:id="13">
    <w:p w14:paraId="1D5A72BA">
      <w:pPr>
        <w:pStyle w:val="12"/>
        <w:bidi w:val="0"/>
        <w:rPr>
          <w:rFonts w:hint="default" w:ascii="Times New Roman" w:hAnsi="Times New Roman" w:cs="Times New Roman"/>
          <w:sz w:val="18"/>
          <w:lang w:val="en-US" w:eastAsia="zh-CN"/>
        </w:rPr>
      </w:pPr>
      <w:r>
        <w:rPr>
          <w:rFonts w:hint="default" w:ascii="Times New Roman" w:hAnsi="Times New Roman" w:cs="Times New Roman"/>
          <w:sz w:val="18"/>
          <w:lang w:val="en-US" w:eastAsia="zh-CN"/>
        </w:rPr>
        <w:footnoteRef/>
      </w:r>
      <w:r>
        <w:rPr>
          <w:rFonts w:hint="default" w:ascii="Times New Roman" w:hAnsi="Times New Roman" w:cs="Times New Roman"/>
          <w:sz w:val="18"/>
          <w:lang w:val="en-US" w:eastAsia="zh-CN"/>
        </w:rPr>
        <w:t xml:space="preserve"> United States </w:t>
      </w:r>
      <w:r>
        <w:rPr>
          <w:rFonts w:hint="default" w:ascii="Times New Roman" w:hAnsi="Times New Roman" w:cs="Times New Roman"/>
          <w:i/>
          <w:iCs/>
          <w:sz w:val="18"/>
          <w:lang w:val="en-US" w:eastAsia="zh-CN"/>
        </w:rPr>
        <w:t>v.</w:t>
      </w:r>
      <w:r>
        <w:rPr>
          <w:rFonts w:hint="default" w:ascii="Times New Roman" w:hAnsi="Times New Roman" w:cs="Times New Roman"/>
          <w:sz w:val="18"/>
          <w:lang w:val="en-US" w:eastAsia="zh-CN"/>
        </w:rPr>
        <w:t xml:space="preserve"> Kaufman, 2019 WL 3714491 (E.D. Mich. Aug. 7, 2019)</w:t>
      </w:r>
      <w:r>
        <w:rPr>
          <w:rFonts w:hint="eastAsia" w:ascii="Times New Roman" w:hAnsi="Times New Roman" w:cs="Times New Roman"/>
          <w:sz w:val="18"/>
          <w:lang w:val="en-US" w:eastAsia="zh-CN"/>
        </w:rPr>
        <w:t>.</w:t>
      </w:r>
    </w:p>
  </w:footnote>
  <w:footnote w:id="14">
    <w:p w14:paraId="604857A3">
      <w:pPr>
        <w:pStyle w:val="12"/>
        <w:bidi w:val="0"/>
        <w:rPr>
          <w:rFonts w:hint="default" w:ascii="Times New Roman" w:hAnsi="Times New Roman" w:cs="Times New Roman"/>
          <w:sz w:val="18"/>
          <w:lang w:val="en-US" w:eastAsia="zh-CN"/>
        </w:rPr>
      </w:pPr>
      <w:r>
        <w:rPr>
          <w:rFonts w:hint="default" w:ascii="Times New Roman" w:hAnsi="Times New Roman" w:cs="Times New Roman"/>
          <w:sz w:val="18"/>
          <w:lang w:val="en-US" w:eastAsia="zh-CN"/>
        </w:rPr>
        <w:footnoteRef/>
      </w:r>
      <w:r>
        <w:rPr>
          <w:rFonts w:hint="default" w:ascii="Times New Roman" w:hAnsi="Times New Roman" w:cs="Times New Roman"/>
          <w:sz w:val="18"/>
          <w:lang w:val="en-US" w:eastAsia="zh-CN"/>
        </w:rPr>
        <w:t xml:space="preserve"> Blair, M. M. &amp; Ramsay</w:t>
      </w:r>
      <w:r>
        <w:rPr>
          <w:rFonts w:hint="eastAsia" w:ascii="Times New Roman" w:hAnsi="Times New Roman" w:cs="Times New Roman"/>
          <w:sz w:val="18"/>
          <w:lang w:val="en-US" w:eastAsia="zh-CN"/>
        </w:rPr>
        <w:t xml:space="preserve"> </w:t>
      </w:r>
      <w:r>
        <w:rPr>
          <w:rFonts w:hint="default" w:ascii="Times New Roman" w:hAnsi="Times New Roman" w:cs="Times New Roman"/>
          <w:sz w:val="18"/>
          <w:lang w:val="en-US" w:eastAsia="zh-CN"/>
        </w:rPr>
        <w:t xml:space="preserve">, </w:t>
      </w:r>
      <w:r>
        <w:rPr>
          <w:rFonts w:hint="default" w:ascii="Times New Roman" w:hAnsi="Times New Roman" w:cs="Times New Roman"/>
          <w:i/>
          <w:iCs/>
          <w:sz w:val="18"/>
          <w:lang w:val="en-US" w:eastAsia="zh-CN"/>
        </w:rPr>
        <w:t>Corporate Governance: The Role of Law and Finance</w:t>
      </w:r>
      <w:r>
        <w:rPr>
          <w:rFonts w:hint="eastAsia" w:ascii="Times New Roman" w:hAnsi="Times New Roman" w:cs="Times New Roman"/>
          <w:i/>
          <w:iCs/>
          <w:sz w:val="18"/>
          <w:lang w:val="en-US" w:eastAsia="zh-CN"/>
        </w:rPr>
        <w:t xml:space="preserve"> , </w:t>
      </w:r>
      <w:r>
        <w:rPr>
          <w:rFonts w:hint="eastAsia" w:ascii="Times New Roman" w:hAnsi="Times New Roman" w:cs="Times New Roman"/>
          <w:sz w:val="18"/>
          <w:lang w:val="en-US" w:eastAsia="zh-CN"/>
        </w:rPr>
        <w:t>University of Michigan Law School Research Paper Series, Working Paper No. 98-02.</w:t>
      </w:r>
    </w:p>
  </w:footnote>
  <w:footnote w:id="15">
    <w:p w14:paraId="104A878F">
      <w:pPr>
        <w:pStyle w:val="12"/>
        <w:bidi w:val="0"/>
        <w:rPr>
          <w:rFonts w:hint="default" w:ascii="Times New Roman" w:hAnsi="Times New Roman" w:cs="Times New Roman"/>
          <w:sz w:val="18"/>
          <w:lang w:val="en-US" w:eastAsia="zh-CN"/>
        </w:rPr>
      </w:pPr>
      <w:r>
        <w:rPr>
          <w:rFonts w:hint="default" w:ascii="Times New Roman" w:hAnsi="Times New Roman" w:cs="Times New Roman"/>
          <w:sz w:val="18"/>
          <w:lang w:val="en-US" w:eastAsia="zh-CN"/>
        </w:rPr>
        <w:footnoteRef/>
      </w:r>
      <w:r>
        <w:rPr>
          <w:rFonts w:hint="default" w:ascii="Times New Roman" w:hAnsi="Times New Roman" w:cs="Times New Roman"/>
          <w:sz w:val="18"/>
          <w:lang w:val="en-US" w:eastAsia="zh-CN"/>
        </w:rPr>
        <w:t xml:space="preserve"> Cerbino</w:t>
      </w:r>
      <w:r>
        <w:rPr>
          <w:rFonts w:hint="eastAsia" w:ascii="Times New Roman" w:hAnsi="Times New Roman" w:cs="Times New Roman"/>
          <w:sz w:val="18"/>
          <w:lang w:val="en-US" w:eastAsia="zh-CN"/>
        </w:rPr>
        <w:t xml:space="preserve"> </w:t>
      </w:r>
      <w:r>
        <w:rPr>
          <w:rFonts w:hint="default" w:ascii="Times New Roman" w:hAnsi="Times New Roman" w:cs="Times New Roman"/>
          <w:sz w:val="18"/>
          <w:lang w:val="en-US" w:eastAsia="zh-CN"/>
        </w:rPr>
        <w:t xml:space="preserve">,. </w:t>
      </w:r>
      <w:r>
        <w:rPr>
          <w:rFonts w:hint="default" w:ascii="Times New Roman" w:hAnsi="Times New Roman" w:cs="Times New Roman"/>
          <w:i/>
          <w:iCs/>
          <w:sz w:val="18"/>
          <w:lang w:val="en-US" w:eastAsia="zh-CN"/>
        </w:rPr>
        <w:t>Loss Causation and the Market Fraud-on-the-Market Theory: Reconciling Dura Pharmaceuticals v. Broudo and Halliburton II.</w:t>
      </w:r>
      <w:r>
        <w:rPr>
          <w:rFonts w:hint="eastAsia" w:ascii="Times New Roman" w:hAnsi="Times New Roman" w:cs="Times New Roman"/>
          <w:sz w:val="18"/>
          <w:lang w:val="en-US" w:eastAsia="zh-CN"/>
        </w:rPr>
        <w:t xml:space="preserve"> , Journal of Corporate Law, 46(3), 581-624.</w:t>
      </w:r>
    </w:p>
  </w:footnote>
  <w:footnote w:id="16">
    <w:p w14:paraId="5DFFE168">
      <w:pPr>
        <w:pStyle w:val="12"/>
        <w:snapToGrid w:val="0"/>
        <w:rPr>
          <w:rFonts w:hint="eastAsia" w:ascii="Times New Roman" w:hAnsi="Times New Roman" w:eastAsia="宋体"/>
          <w:sz w:val="18"/>
          <w:lang w:eastAsia="zh-CN"/>
        </w:rPr>
      </w:pPr>
      <w:r>
        <w:rPr>
          <w:rStyle w:val="22"/>
          <w:rFonts w:ascii="Times New Roman" w:hAnsi="Times New Roman"/>
          <w:sz w:val="18"/>
          <w:vertAlign w:val="baseline"/>
        </w:rPr>
        <w:footnoteRef/>
      </w:r>
      <w:r>
        <w:rPr>
          <w:rFonts w:ascii="Times New Roman" w:hAnsi="Times New Roman"/>
          <w:sz w:val="18"/>
        </w:rPr>
        <w:t xml:space="preserve"> </w:t>
      </w:r>
      <w:r>
        <w:rPr>
          <w:rFonts w:hint="eastAsia" w:ascii="Times New Roman" w:hAnsi="Times New Roman"/>
          <w:sz w:val="18"/>
        </w:rPr>
        <w:t>最高人民法院民事审判第二庭编著：《最高人民法院关于审理证券市场虚假陈述案件司法解释的理解与适用》，人民法院出版社2015年版，第17页</w:t>
      </w:r>
      <w:r>
        <w:rPr>
          <w:rFonts w:hint="eastAsia" w:ascii="Times New Roman" w:hAnsi="Times New Roman"/>
          <w:sz w:val="18"/>
          <w:lang w:eastAsia="zh-CN"/>
        </w:rPr>
        <w:t>。</w:t>
      </w:r>
    </w:p>
  </w:footnote>
  <w:footnote w:id="17">
    <w:p w14:paraId="312D464A">
      <w:pPr>
        <w:pStyle w:val="12"/>
        <w:snapToGrid w:val="0"/>
        <w:rPr>
          <w:rFonts w:hint="eastAsia" w:ascii="Times New Roman" w:hAnsi="Times New Roman" w:eastAsia="宋体"/>
          <w:sz w:val="18"/>
          <w:lang w:eastAsia="zh-CN"/>
        </w:rPr>
      </w:pPr>
      <w:r>
        <w:rPr>
          <w:rStyle w:val="22"/>
          <w:rFonts w:ascii="Times New Roman" w:hAnsi="Times New Roman"/>
          <w:sz w:val="18"/>
          <w:szCs w:val="18"/>
          <w:vertAlign w:val="baseline"/>
        </w:rPr>
        <w:footnoteRef/>
      </w:r>
      <w:r>
        <w:rPr>
          <w:rFonts w:ascii="Times New Roman" w:hAnsi="Times New Roman"/>
          <w:sz w:val="18"/>
        </w:rPr>
        <w:t xml:space="preserve"> 林文学等：《〈关于审理证券市场虚假陈述侵权民事赔偿案件的若干规定〉的理解与适用》，</w:t>
      </w:r>
      <w:r>
        <w:rPr>
          <w:rFonts w:hint="eastAsia" w:ascii="Times New Roman" w:hAnsi="Times New Roman"/>
          <w:sz w:val="18"/>
          <w:lang w:val="en-US" w:eastAsia="zh-CN"/>
        </w:rPr>
        <w:t>载</w:t>
      </w:r>
      <w:r>
        <w:rPr>
          <w:rFonts w:ascii="Times New Roman" w:hAnsi="Times New Roman"/>
          <w:sz w:val="18"/>
        </w:rPr>
        <w:t>《人民司法》2022年第7期；焦津洪：《</w:t>
      </w:r>
      <w:r>
        <w:rPr>
          <w:rFonts w:ascii="Times New Roman" w:hAnsi="Times New Roman"/>
          <w:sz w:val="18"/>
        </w:rPr>
        <w:fldChar w:fldCharType="begin"/>
      </w:r>
      <w:r>
        <w:rPr>
          <w:rFonts w:ascii="Times New Roman" w:hAnsi="Times New Roman"/>
          <w:sz w:val="18"/>
        </w:rPr>
        <w:instrText xml:space="preserve"> HYPERLINK "https://www.pkulaw.com/qikan/d0d5f084c9b99fa3a8295b952aa5cb46bdfb.html?way=textSlc" \l "tiao_0" </w:instrText>
      </w:r>
      <w:r>
        <w:rPr>
          <w:rFonts w:ascii="Times New Roman" w:hAnsi="Times New Roman"/>
          <w:sz w:val="18"/>
        </w:rPr>
        <w:fldChar w:fldCharType="separate"/>
      </w:r>
      <w:r>
        <w:rPr>
          <w:rFonts w:hint="eastAsia" w:ascii="Times New Roman" w:hAnsi="Times New Roman"/>
          <w:sz w:val="18"/>
          <w:lang w:eastAsia="zh-CN"/>
        </w:rPr>
        <w:t>“</w:t>
      </w:r>
      <w:r>
        <w:rPr>
          <w:rFonts w:ascii="Times New Roman" w:hAnsi="Times New Roman"/>
          <w:sz w:val="18"/>
        </w:rPr>
        <w:t>欺诈市场理论</w:t>
      </w:r>
      <w:r>
        <w:rPr>
          <w:rFonts w:hint="eastAsia" w:ascii="Times New Roman" w:hAnsi="Times New Roman"/>
          <w:sz w:val="18"/>
          <w:lang w:eastAsia="zh-CN"/>
        </w:rPr>
        <w:t>”</w:t>
      </w:r>
      <w:r>
        <w:rPr>
          <w:rFonts w:ascii="Times New Roman" w:hAnsi="Times New Roman"/>
          <w:sz w:val="18"/>
        </w:rPr>
        <w:t>研究</w:t>
      </w:r>
      <w:r>
        <w:rPr>
          <w:rFonts w:ascii="Times New Roman" w:hAnsi="Times New Roman"/>
          <w:sz w:val="18"/>
        </w:rPr>
        <w:fldChar w:fldCharType="end"/>
      </w:r>
      <w:r>
        <w:rPr>
          <w:rFonts w:ascii="Times New Roman" w:hAnsi="Times New Roman"/>
          <w:sz w:val="18"/>
        </w:rPr>
        <w:t>》，</w:t>
      </w:r>
      <w:r>
        <w:rPr>
          <w:rFonts w:hint="eastAsia" w:ascii="Times New Roman" w:hAnsi="Times New Roman"/>
          <w:sz w:val="18"/>
          <w:lang w:val="en-US" w:eastAsia="zh-CN"/>
        </w:rPr>
        <w:t>载</w:t>
      </w:r>
      <w:r>
        <w:rPr>
          <w:rFonts w:ascii="Times New Roman" w:hAnsi="Times New Roman"/>
          <w:sz w:val="18"/>
        </w:rPr>
        <w:t>《中国法学》2003年第2期</w:t>
      </w:r>
      <w:r>
        <w:rPr>
          <w:rFonts w:hint="eastAsia" w:ascii="Times New Roman" w:hAnsi="Times New Roman"/>
          <w:sz w:val="18"/>
          <w:lang w:eastAsia="zh-CN"/>
        </w:rPr>
        <w:t>。</w:t>
      </w:r>
    </w:p>
  </w:footnote>
  <w:footnote w:id="18">
    <w:p w14:paraId="3F71795D">
      <w:pPr>
        <w:pStyle w:val="12"/>
        <w:snapToGrid w:val="0"/>
        <w:rPr>
          <w:rFonts w:hint="eastAsia" w:ascii="Times New Roman" w:hAnsi="Times New Roman"/>
          <w:sz w:val="18"/>
          <w:lang w:val="en-US" w:eastAsia="zh-CN"/>
        </w:rPr>
      </w:pPr>
      <w:r>
        <w:rPr>
          <w:rFonts w:hint="default" w:ascii="Times New Roman" w:hAnsi="Times New Roman"/>
          <w:sz w:val="18"/>
          <w:lang w:val="en-US" w:eastAsia="zh-CN"/>
        </w:rPr>
        <w:footnoteRef/>
      </w:r>
      <w:r>
        <w:rPr>
          <w:rFonts w:hint="default" w:ascii="Times New Roman" w:hAnsi="Times New Roman"/>
          <w:sz w:val="18"/>
          <w:lang w:val="en-US" w:eastAsia="zh-CN"/>
        </w:rPr>
        <w:t xml:space="preserve"> </w:t>
      </w:r>
      <w:r>
        <w:rPr>
          <w:rFonts w:hint="eastAsia" w:ascii="Times New Roman" w:hAnsi="Times New Roman"/>
          <w:sz w:val="18"/>
          <w:lang w:val="en-US" w:eastAsia="zh-CN"/>
        </w:rPr>
        <w:t>郭</w:t>
      </w:r>
      <w:r>
        <w:rPr>
          <w:rFonts w:hint="default" w:ascii="Times New Roman" w:hAnsi="Times New Roman"/>
          <w:sz w:val="18"/>
          <w:lang w:val="en-US" w:eastAsia="zh-CN"/>
        </w:rPr>
        <w:t>峰：《证券市场虚假陈述及其民事赔偿责任》，载《法学家》2003年第2期</w:t>
      </w:r>
      <w:r>
        <w:rPr>
          <w:rFonts w:hint="eastAsia" w:ascii="Times New Roman" w:hAnsi="Times New Roman"/>
          <w:sz w:val="18"/>
          <w:lang w:val="en-US" w:eastAsia="zh-CN"/>
        </w:rPr>
        <w:t>。</w:t>
      </w:r>
    </w:p>
  </w:footnote>
  <w:footnote w:id="19">
    <w:p w14:paraId="49858FD0">
      <w:pPr>
        <w:pStyle w:val="12"/>
        <w:snapToGrid w:val="0"/>
        <w:rPr>
          <w:rFonts w:ascii="Times New Roman" w:hAnsi="Times New Roman"/>
          <w:sz w:val="18"/>
        </w:rPr>
      </w:pPr>
      <w:r>
        <w:rPr>
          <w:rFonts w:ascii="Times New Roman" w:hAnsi="Times New Roman"/>
          <w:sz w:val="18"/>
        </w:rPr>
        <w:footnoteRef/>
      </w:r>
      <w:r>
        <w:rPr>
          <w:rFonts w:ascii="Times New Roman" w:hAnsi="Times New Roman"/>
          <w:sz w:val="18"/>
        </w:rPr>
        <w:t xml:space="preserve"> 朱</w:t>
      </w:r>
      <w:r>
        <w:rPr>
          <w:rFonts w:hint="eastAsia" w:ascii="Times New Roman" w:hAnsi="Times New Roman"/>
          <w:sz w:val="18"/>
          <w:lang w:val="en-US" w:eastAsia="zh-CN"/>
        </w:rPr>
        <w:t>阁</w:t>
      </w:r>
      <w:r>
        <w:rPr>
          <w:rFonts w:ascii="Times New Roman" w:hAnsi="Times New Roman"/>
          <w:sz w:val="18"/>
        </w:rPr>
        <w:t>强诉贵州国创能源控股（集团）股份有限公司证券虚假陈述责任纠纷案</w:t>
      </w:r>
      <w:r>
        <w:rPr>
          <w:rFonts w:hint="eastAsia" w:ascii="Times New Roman" w:hAnsi="Times New Roman"/>
          <w:sz w:val="18"/>
          <w:lang w:eastAsia="zh-CN"/>
        </w:rPr>
        <w:t>，</w:t>
      </w:r>
      <w:r>
        <w:rPr>
          <w:rFonts w:ascii="Times New Roman" w:hAnsi="Times New Roman"/>
          <w:sz w:val="18"/>
        </w:rPr>
        <w:t>贵州省高级人民法院（2012）黔高民商终字第3号民事判决书</w:t>
      </w:r>
    </w:p>
  </w:footnote>
  <w:footnote w:id="20">
    <w:p w14:paraId="0CDC2AD7">
      <w:pPr>
        <w:pStyle w:val="12"/>
        <w:snapToGrid w:val="0"/>
        <w:rPr>
          <w:rFonts w:hint="default" w:ascii="Times New Roman" w:hAnsi="Times New Roman"/>
          <w:sz w:val="18"/>
          <w:lang w:val="en-US" w:eastAsia="zh-CN"/>
        </w:rPr>
      </w:pPr>
      <w:r>
        <w:rPr>
          <w:rFonts w:ascii="Times New Roman" w:hAnsi="Times New Roman"/>
          <w:sz w:val="18"/>
        </w:rPr>
        <w:footnoteRef/>
      </w:r>
      <w:r>
        <w:rPr>
          <w:rFonts w:ascii="Times New Roman" w:hAnsi="Times New Roman"/>
          <w:sz w:val="18"/>
        </w:rPr>
        <w:t xml:space="preserve"> </w:t>
      </w:r>
      <w:r>
        <w:rPr>
          <w:rFonts w:hint="eastAsia" w:ascii="Times New Roman" w:hAnsi="Times New Roman"/>
          <w:sz w:val="18"/>
        </w:rPr>
        <w:t>《</w:t>
      </w:r>
      <w:r>
        <w:rPr>
          <w:rFonts w:hint="eastAsia" w:ascii="Times New Roman" w:hAnsi="Times New Roman"/>
          <w:sz w:val="18"/>
          <w:lang w:val="en-US" w:eastAsia="zh-CN"/>
        </w:rPr>
        <w:t>最高人民法院</w:t>
      </w:r>
      <w:r>
        <w:rPr>
          <w:rFonts w:hint="eastAsia" w:ascii="Times New Roman" w:hAnsi="Times New Roman"/>
          <w:sz w:val="18"/>
        </w:rPr>
        <w:t>关于审理证券市场虚假陈述侵权民事赔偿案件的若干规定》</w:t>
      </w:r>
      <w:r>
        <w:rPr>
          <w:rFonts w:hint="eastAsia" w:ascii="Times New Roman" w:hAnsi="Times New Roman"/>
          <w:sz w:val="18"/>
          <w:lang w:eastAsia="zh-CN"/>
        </w:rPr>
        <w:t>，</w:t>
      </w:r>
      <w:r>
        <w:rPr>
          <w:rFonts w:hint="eastAsia" w:ascii="Times New Roman" w:hAnsi="Times New Roman"/>
          <w:sz w:val="18"/>
        </w:rPr>
        <w:t>法释〔2022〕2号</w:t>
      </w:r>
      <w:r>
        <w:rPr>
          <w:rFonts w:hint="eastAsia" w:ascii="Times New Roman" w:hAnsi="Times New Roman"/>
          <w:sz w:val="18"/>
          <w:lang w:eastAsia="zh-CN"/>
        </w:rPr>
        <w:t>，</w:t>
      </w:r>
      <w:r>
        <w:rPr>
          <w:rFonts w:hint="eastAsia" w:ascii="Times New Roman" w:hAnsi="Times New Roman"/>
          <w:sz w:val="18"/>
          <w:lang w:val="en-US" w:eastAsia="zh-CN"/>
        </w:rPr>
        <w:t>第十一条。</w:t>
      </w:r>
    </w:p>
  </w:footnote>
  <w:footnote w:id="21">
    <w:p w14:paraId="63923C1D">
      <w:pPr>
        <w:pStyle w:val="12"/>
        <w:snapToGrid w:val="0"/>
        <w:rPr>
          <w:rFonts w:ascii="Times New Roman" w:hAnsi="Times New Roman"/>
          <w:sz w:val="18"/>
        </w:rPr>
      </w:pPr>
      <w:r>
        <w:rPr>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陈洁：《证券虚假陈述侵权损害赔偿中因果关系的认定机制》，载《中国社会科学院大学学报》2023年第10期。</w:t>
      </w:r>
    </w:p>
  </w:footnote>
  <w:footnote w:id="22">
    <w:p w14:paraId="30C3BFE7">
      <w:pPr>
        <w:pStyle w:val="12"/>
        <w:snapToGrid w:val="0"/>
        <w:rPr>
          <w:rFonts w:ascii="Times New Roman" w:hAnsi="Times New Roman"/>
          <w:sz w:val="18"/>
        </w:rPr>
      </w:pPr>
      <w:r>
        <w:rPr>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陈洁：《证券虚假陈述民事赔偿中重大性要件的适用》，载《中国法学》2025年第6期。</w:t>
      </w:r>
    </w:p>
  </w:footnote>
  <w:footnote w:id="23">
    <w:p w14:paraId="68C16DB9">
      <w:pPr>
        <w:pStyle w:val="12"/>
        <w:snapToGrid w:val="0"/>
        <w:rPr>
          <w:rFonts w:hint="default" w:ascii="Times New Roman" w:hAnsi="Times New Roman"/>
          <w:sz w:val="18"/>
          <w:lang w:val="en-US" w:eastAsia="zh-CN"/>
        </w:rPr>
      </w:pPr>
      <w:r>
        <w:rPr>
          <w:rFonts w:ascii="Times New Roman" w:hAnsi="Times New Roman"/>
          <w:sz w:val="18"/>
        </w:rPr>
        <w:footnoteRef/>
      </w:r>
      <w:r>
        <w:rPr>
          <w:rFonts w:ascii="Times New Roman" w:hAnsi="Times New Roman"/>
          <w:sz w:val="18"/>
        </w:rPr>
        <w:t xml:space="preserve"> 李淮川</w:t>
      </w:r>
      <w:r>
        <w:rPr>
          <w:rFonts w:hint="eastAsia" w:ascii="Times New Roman" w:hAnsi="Times New Roman"/>
          <w:sz w:val="18"/>
          <w:lang w:eastAsia="zh-CN"/>
        </w:rPr>
        <w:t>、</w:t>
      </w:r>
      <w:r>
        <w:rPr>
          <w:rFonts w:ascii="Times New Roman" w:hAnsi="Times New Roman"/>
          <w:sz w:val="18"/>
        </w:rPr>
        <w:t>周向东</w:t>
      </w:r>
      <w:r>
        <w:rPr>
          <w:rFonts w:hint="eastAsia" w:ascii="Times New Roman" w:hAnsi="Times New Roman"/>
          <w:sz w:val="18"/>
          <w:lang w:val="en-US" w:eastAsia="zh-CN"/>
        </w:rPr>
        <w:t>诉</w:t>
      </w:r>
      <w:r>
        <w:rPr>
          <w:rFonts w:ascii="Times New Roman" w:hAnsi="Times New Roman"/>
          <w:sz w:val="18"/>
        </w:rPr>
        <w:t>中安科股份有限公司、中安消技术有限公司、招商证券股份有限公司、瑞华会计师事务所（特殊普通合伙）等证券虚假陈述责任纠纷案</w:t>
      </w:r>
      <w:r>
        <w:rPr>
          <w:rFonts w:hint="eastAsia" w:ascii="Times New Roman" w:hAnsi="Times New Roman"/>
          <w:sz w:val="18"/>
          <w:lang w:eastAsia="zh-CN"/>
        </w:rPr>
        <w:t>，</w:t>
      </w:r>
      <w:r>
        <w:rPr>
          <w:rFonts w:hint="eastAsia" w:ascii="Times New Roman" w:hAnsi="Times New Roman"/>
          <w:sz w:val="18"/>
          <w:lang w:val="en-US" w:eastAsia="zh-CN"/>
        </w:rPr>
        <w:t>上海市高级人民法院（2020）沪民终666号民事判决书。</w:t>
      </w:r>
    </w:p>
  </w:footnote>
  <w:footnote w:id="24">
    <w:p w14:paraId="02C46B1B">
      <w:pPr>
        <w:pStyle w:val="12"/>
        <w:snapToGrid w:val="0"/>
        <w:rPr>
          <w:rFonts w:ascii="Times New Roman" w:hAnsi="Times New Roman"/>
          <w:sz w:val="18"/>
        </w:rPr>
      </w:pPr>
      <w:r>
        <w:rPr>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陈洁：《证券虚假陈述侵权损害赔偿中因果关系的认定机制》，载《中国社会科学院大学学报》2023年第10期。</w:t>
      </w:r>
    </w:p>
  </w:footnote>
  <w:footnote w:id="25">
    <w:p w14:paraId="198D62AE">
      <w:pPr>
        <w:pStyle w:val="12"/>
        <w:snapToGrid w:val="0"/>
        <w:rPr>
          <w:rFonts w:ascii="Times New Roman" w:hAnsi="Times New Roman"/>
          <w:sz w:val="18"/>
        </w:rPr>
      </w:pPr>
      <w:r>
        <w:rPr>
          <w:rFonts w:hint="eastAsia" w:ascii="Times New Roman" w:hAnsi="Times New Roman"/>
          <w:sz w:val="18"/>
        </w:rPr>
        <w:footnoteRef/>
      </w:r>
      <w:r>
        <w:rPr>
          <w:rFonts w:hint="eastAsia" w:ascii="Times New Roman" w:hAnsi="Times New Roman"/>
          <w:sz w:val="18"/>
        </w:rPr>
        <w:t xml:space="preserve"> 《</w:t>
      </w:r>
      <w:r>
        <w:rPr>
          <w:rFonts w:hint="eastAsia" w:ascii="Times New Roman" w:hAnsi="Times New Roman"/>
          <w:sz w:val="18"/>
          <w:lang w:val="en-US" w:eastAsia="zh-CN"/>
        </w:rPr>
        <w:t>最高人民法院</w:t>
      </w:r>
      <w:r>
        <w:rPr>
          <w:rFonts w:hint="eastAsia" w:ascii="Times New Roman" w:hAnsi="Times New Roman"/>
          <w:sz w:val="18"/>
        </w:rPr>
        <w:t>关于审理证券市场虚假陈述侵权民事赔偿案件的若干规定》</w:t>
      </w:r>
      <w:r>
        <w:rPr>
          <w:rFonts w:hint="eastAsia" w:ascii="Times New Roman" w:hAnsi="Times New Roman"/>
          <w:sz w:val="18"/>
          <w:lang w:eastAsia="zh-CN"/>
        </w:rPr>
        <w:t>，</w:t>
      </w:r>
      <w:r>
        <w:rPr>
          <w:rFonts w:hint="eastAsia" w:ascii="Times New Roman" w:hAnsi="Times New Roman"/>
          <w:sz w:val="18"/>
        </w:rPr>
        <w:t>法释〔2022〕2号</w:t>
      </w:r>
      <w:r>
        <w:rPr>
          <w:rFonts w:hint="eastAsia" w:ascii="Times New Roman" w:hAnsi="Times New Roman"/>
          <w:sz w:val="18"/>
          <w:lang w:eastAsia="zh-CN"/>
        </w:rPr>
        <w:t>，</w:t>
      </w:r>
      <w:r>
        <w:rPr>
          <w:rFonts w:hint="eastAsia" w:ascii="Times New Roman" w:hAnsi="Times New Roman"/>
          <w:sz w:val="18"/>
          <w:lang w:val="en-US" w:eastAsia="zh-CN"/>
        </w:rPr>
        <w:t>第三十一条。</w:t>
      </w:r>
    </w:p>
  </w:footnote>
  <w:footnote w:id="26">
    <w:p w14:paraId="09AA5BA9">
      <w:pPr>
        <w:pStyle w:val="12"/>
        <w:snapToGrid w:val="0"/>
        <w:rPr>
          <w:rFonts w:hint="eastAsia" w:ascii="Times New Roman" w:hAnsi="Times New Roman"/>
          <w:sz w:val="18"/>
          <w:lang w:eastAsia="zh-CN"/>
        </w:rPr>
      </w:pPr>
      <w:r>
        <w:rPr>
          <w:rFonts w:ascii="Times New Roman" w:hAnsi="Times New Roman"/>
          <w:sz w:val="18"/>
        </w:rPr>
        <w:footnoteRef/>
      </w:r>
      <w:r>
        <w:rPr>
          <w:rFonts w:ascii="Times New Roman" w:hAnsi="Times New Roman"/>
          <w:sz w:val="18"/>
        </w:rPr>
        <w:t xml:space="preserve"> 许某鑫等诉甲上市公司证券虚假陈述责任纠纷案</w:t>
      </w:r>
      <w:r>
        <w:rPr>
          <w:rFonts w:hint="eastAsia" w:ascii="Times New Roman" w:hAnsi="Times New Roman"/>
          <w:sz w:val="18"/>
          <w:lang w:eastAsia="zh-CN"/>
        </w:rPr>
        <w:t>，</w:t>
      </w:r>
      <w:r>
        <w:rPr>
          <w:rFonts w:hint="eastAsia" w:ascii="Times New Roman" w:hAnsi="Times New Roman"/>
          <w:sz w:val="18"/>
          <w:lang w:val="en-US" w:eastAsia="zh-CN"/>
        </w:rPr>
        <w:t>上海金融法院</w:t>
      </w:r>
      <w:r>
        <w:rPr>
          <w:rFonts w:ascii="Times New Roman" w:hAnsi="Times New Roman"/>
          <w:sz w:val="18"/>
        </w:rPr>
        <w:t>（2018）沪74民初1399号</w:t>
      </w:r>
      <w:r>
        <w:rPr>
          <w:rFonts w:hint="eastAsia" w:ascii="Times New Roman" w:hAnsi="Times New Roman"/>
          <w:sz w:val="18"/>
          <w:lang w:val="en-US" w:eastAsia="zh-CN"/>
        </w:rPr>
        <w:t>民事判决书</w:t>
      </w:r>
      <w:r>
        <w:rPr>
          <w:rFonts w:hint="eastAsia" w:ascii="Times New Roman" w:hAnsi="Times New Roman"/>
          <w:sz w:val="18"/>
          <w:lang w:eastAsia="zh-CN"/>
        </w:rPr>
        <w:t>。</w:t>
      </w:r>
    </w:p>
  </w:footnote>
  <w:footnote w:id="27">
    <w:p w14:paraId="2F282E1C">
      <w:pPr>
        <w:pStyle w:val="12"/>
        <w:snapToGrid w:val="0"/>
        <w:rPr>
          <w:rFonts w:hint="default" w:ascii="Times New Roman" w:hAnsi="Times New Roman"/>
          <w:sz w:val="18"/>
          <w:lang w:val="en-US" w:eastAsia="zh-CN"/>
        </w:rPr>
      </w:pPr>
      <w:r>
        <w:rPr>
          <w:rFonts w:ascii="Times New Roman" w:hAnsi="Times New Roman"/>
          <w:sz w:val="18"/>
        </w:rPr>
        <w:footnoteRef/>
      </w:r>
      <w:r>
        <w:rPr>
          <w:rFonts w:ascii="Times New Roman" w:hAnsi="Times New Roman"/>
          <w:sz w:val="18"/>
        </w:rPr>
        <w:t xml:space="preserve"> 北京海金商业保理有限公司</w:t>
      </w:r>
      <w:r>
        <w:rPr>
          <w:rFonts w:hint="eastAsia" w:ascii="Times New Roman" w:hAnsi="Times New Roman"/>
          <w:sz w:val="18"/>
          <w:lang w:val="en-US" w:eastAsia="zh-CN"/>
        </w:rPr>
        <w:t>诉</w:t>
      </w:r>
      <w:r>
        <w:rPr>
          <w:rFonts w:ascii="Times New Roman" w:hAnsi="Times New Roman"/>
          <w:sz w:val="18"/>
        </w:rPr>
        <w:t>盛联融资租赁有限公司</w:t>
      </w:r>
      <w:r>
        <w:rPr>
          <w:rFonts w:hint="eastAsia" w:ascii="Times New Roman" w:hAnsi="Times New Roman"/>
          <w:sz w:val="18"/>
          <w:lang w:eastAsia="zh-CN"/>
        </w:rPr>
        <w:t>、</w:t>
      </w:r>
      <w:r>
        <w:rPr>
          <w:rFonts w:ascii="Times New Roman" w:hAnsi="Times New Roman"/>
          <w:sz w:val="18"/>
        </w:rPr>
        <w:t>东方网力科技股份有限公司</w:t>
      </w:r>
      <w:r>
        <w:rPr>
          <w:rFonts w:hint="eastAsia" w:ascii="Times New Roman" w:hAnsi="Times New Roman"/>
          <w:sz w:val="18"/>
          <w:lang w:eastAsia="zh-CN"/>
        </w:rPr>
        <w:t>、</w:t>
      </w:r>
      <w:r>
        <w:rPr>
          <w:rFonts w:ascii="Times New Roman" w:hAnsi="Times New Roman"/>
          <w:sz w:val="18"/>
        </w:rPr>
        <w:t>刘光证券虚假陈述责任纠纷案</w:t>
      </w:r>
      <w:r>
        <w:rPr>
          <w:rFonts w:hint="eastAsia" w:ascii="Times New Roman" w:hAnsi="Times New Roman"/>
          <w:sz w:val="18"/>
          <w:lang w:eastAsia="zh-CN"/>
        </w:rPr>
        <w:t>，</w:t>
      </w:r>
      <w:r>
        <w:rPr>
          <w:rFonts w:hint="eastAsia" w:ascii="Times New Roman" w:hAnsi="Times New Roman"/>
          <w:sz w:val="18"/>
          <w:lang w:val="en-US" w:eastAsia="zh-CN"/>
        </w:rPr>
        <w:t>北京金融法院</w:t>
      </w:r>
      <w:r>
        <w:rPr>
          <w:rFonts w:ascii="Times New Roman" w:hAnsi="Times New Roman"/>
          <w:sz w:val="18"/>
        </w:rPr>
        <w:t>（2021）京74民初1256号</w:t>
      </w:r>
      <w:r>
        <w:rPr>
          <w:rFonts w:hint="eastAsia" w:ascii="Times New Roman" w:hAnsi="Times New Roman"/>
          <w:sz w:val="18"/>
          <w:lang w:val="en-US" w:eastAsia="zh-CN"/>
        </w:rPr>
        <w:t>民事判决书。</w:t>
      </w:r>
    </w:p>
  </w:footnote>
  <w:footnote w:id="28">
    <w:p w14:paraId="4829A2B9">
      <w:pPr>
        <w:pStyle w:val="12"/>
        <w:snapToGrid w:val="0"/>
        <w:rPr>
          <w:rFonts w:ascii="Times New Roman" w:hAnsi="Times New Roman"/>
          <w:sz w:val="18"/>
        </w:rPr>
      </w:pPr>
      <w:r>
        <w:rPr>
          <w:rFonts w:ascii="Times New Roman" w:hAnsi="Times New Roman"/>
          <w:sz w:val="18"/>
        </w:rPr>
        <w:footnoteRef/>
      </w:r>
      <w:r>
        <w:rPr>
          <w:rFonts w:ascii="Times New Roman" w:hAnsi="Times New Roman"/>
          <w:sz w:val="18"/>
        </w:rPr>
        <w:t xml:space="preserve"> </w:t>
      </w:r>
      <w:r>
        <w:rPr>
          <w:rFonts w:hint="eastAsia" w:ascii="Times New Roman" w:hAnsi="Times New Roman"/>
          <w:sz w:val="18"/>
        </w:rPr>
        <w:t>北大方正集团有限公司</w:t>
      </w:r>
      <w:r>
        <w:rPr>
          <w:rFonts w:hint="eastAsia" w:ascii="Times New Roman" w:hAnsi="Times New Roman"/>
          <w:sz w:val="18"/>
          <w:lang w:val="en-US" w:eastAsia="zh-CN"/>
        </w:rPr>
        <w:t>诉</w:t>
      </w:r>
      <w:r>
        <w:rPr>
          <w:rFonts w:hint="eastAsia" w:ascii="Times New Roman" w:hAnsi="Times New Roman"/>
          <w:sz w:val="18"/>
        </w:rPr>
        <w:t>安菊香证券虚假陈述责任纠纷</w:t>
      </w:r>
      <w:r>
        <w:rPr>
          <w:rFonts w:hint="eastAsia" w:ascii="Times New Roman" w:hAnsi="Times New Roman"/>
          <w:sz w:val="18"/>
          <w:lang w:val="en-US" w:eastAsia="zh-CN"/>
        </w:rPr>
        <w:t>案</w:t>
      </w:r>
      <w:r>
        <w:rPr>
          <w:rFonts w:hint="eastAsia" w:ascii="Times New Roman" w:hAnsi="Times New Roman"/>
          <w:sz w:val="18"/>
          <w:lang w:eastAsia="zh-CN"/>
        </w:rPr>
        <w:t>，</w:t>
      </w:r>
      <w:r>
        <w:rPr>
          <w:rFonts w:hint="eastAsia" w:ascii="Times New Roman" w:hAnsi="Times New Roman"/>
          <w:sz w:val="18"/>
          <w:lang w:val="en-US" w:eastAsia="zh-CN"/>
        </w:rPr>
        <w:t>湖南省高级人民法院，（2019）湘民终519-522号民事判决书。</w:t>
      </w:r>
    </w:p>
  </w:footnote>
  <w:footnote w:id="29">
    <w:p w14:paraId="58602C42">
      <w:pPr>
        <w:pStyle w:val="12"/>
        <w:snapToGrid w:val="0"/>
        <w:rPr>
          <w:rFonts w:hint="eastAsia" w:ascii="Times New Roman" w:hAnsi="Times New Roman" w:eastAsia="宋体"/>
          <w:sz w:val="18"/>
          <w:lang w:val="en-US" w:eastAsia="zh-CN"/>
        </w:rPr>
      </w:pPr>
      <w:r>
        <w:rPr>
          <w:rFonts w:hint="eastAsia" w:ascii="Times New Roman" w:hAnsi="Times New Roman"/>
          <w:sz w:val="18"/>
        </w:rPr>
        <w:footnoteRef/>
      </w:r>
      <w:r>
        <w:rPr>
          <w:rFonts w:ascii="Times New Roman" w:hAnsi="Times New Roman"/>
          <w:sz w:val="18"/>
        </w:rPr>
        <w:t xml:space="preserve"> </w:t>
      </w:r>
      <w:r>
        <w:rPr>
          <w:rFonts w:hint="eastAsia" w:ascii="Times New Roman" w:hAnsi="Times New Roman"/>
          <w:sz w:val="18"/>
        </w:rPr>
        <w:t>仲某芳</w:t>
      </w:r>
      <w:r>
        <w:rPr>
          <w:rFonts w:hint="eastAsia" w:ascii="Times New Roman" w:hAnsi="Times New Roman"/>
          <w:sz w:val="18"/>
          <w:lang w:val="en-US" w:eastAsia="zh-CN"/>
        </w:rPr>
        <w:t>诉</w:t>
      </w:r>
      <w:r>
        <w:rPr>
          <w:rFonts w:hint="eastAsia" w:ascii="Times New Roman" w:hAnsi="Times New Roman"/>
          <w:sz w:val="18"/>
        </w:rPr>
        <w:t>内蒙古西水创业股份有限公司</w:t>
      </w:r>
      <w:r>
        <w:rPr>
          <w:rFonts w:hint="eastAsia" w:ascii="Times New Roman" w:hAnsi="Times New Roman"/>
          <w:sz w:val="18"/>
          <w:lang w:val="en-US" w:eastAsia="zh-CN"/>
        </w:rPr>
        <w:t>证券虚假陈述责任纠纷案，</w:t>
      </w:r>
      <w:r>
        <w:rPr>
          <w:rFonts w:hint="eastAsia" w:ascii="Times New Roman" w:hAnsi="Times New Roman"/>
          <w:sz w:val="18"/>
          <w:lang w:val="en-US" w:eastAsia="zh-CN"/>
        </w:rPr>
        <w:fldChar w:fldCharType="begin"/>
      </w:r>
      <w:r>
        <w:rPr>
          <w:rFonts w:hint="eastAsia" w:ascii="Times New Roman" w:hAnsi="Times New Roman"/>
          <w:sz w:val="18"/>
          <w:lang w:val="en-US" w:eastAsia="zh-CN"/>
        </w:rPr>
        <w:instrText xml:space="preserve"> HYPERLINK "https://www.pkulaw.com/case/pfnl?Aggs.LastInstanceCourt=0801&amp;way=textBasic" \t "https://www.pkulaw.com/_blank" </w:instrText>
      </w:r>
      <w:r>
        <w:rPr>
          <w:rFonts w:hint="eastAsia" w:ascii="Times New Roman" w:hAnsi="Times New Roman"/>
          <w:sz w:val="18"/>
          <w:lang w:val="en-US" w:eastAsia="zh-CN"/>
        </w:rPr>
        <w:fldChar w:fldCharType="separate"/>
      </w:r>
      <w:r>
        <w:rPr>
          <w:rFonts w:hint="eastAsia" w:ascii="Times New Roman" w:hAnsi="Times New Roman"/>
          <w:sz w:val="18"/>
          <w:lang w:val="en-US" w:eastAsia="zh-CN"/>
        </w:rPr>
        <w:t>内蒙古自治区高级人民法院</w:t>
      </w:r>
      <w:r>
        <w:rPr>
          <w:rFonts w:hint="eastAsia" w:ascii="Times New Roman" w:hAnsi="Times New Roman"/>
          <w:sz w:val="18"/>
          <w:lang w:val="en-US" w:eastAsia="zh-CN"/>
        </w:rPr>
        <w:fldChar w:fldCharType="end"/>
      </w:r>
      <w:r>
        <w:rPr>
          <w:rFonts w:hint="eastAsia" w:ascii="Times New Roman" w:hAnsi="Times New Roman"/>
          <w:sz w:val="18"/>
          <w:lang w:val="en-US" w:eastAsia="zh-CN"/>
        </w:rPr>
        <w:t>（</w:t>
      </w:r>
      <w:r>
        <w:rPr>
          <w:rFonts w:hint="eastAsia" w:ascii="Times New Roman" w:hAnsi="Times New Roman"/>
          <w:sz w:val="18"/>
        </w:rPr>
        <w:t>2023</w:t>
      </w:r>
      <w:r>
        <w:rPr>
          <w:rFonts w:hint="eastAsia" w:ascii="Times New Roman" w:hAnsi="Times New Roman"/>
          <w:sz w:val="18"/>
          <w:lang w:eastAsia="zh-CN"/>
        </w:rPr>
        <w:t>）</w:t>
      </w:r>
      <w:r>
        <w:rPr>
          <w:rFonts w:hint="eastAsia" w:ascii="Times New Roman" w:hAnsi="Times New Roman"/>
          <w:sz w:val="18"/>
        </w:rPr>
        <w:t>内民终553号</w:t>
      </w:r>
      <w:r>
        <w:rPr>
          <w:rFonts w:hint="eastAsia" w:ascii="Times New Roman" w:hAnsi="Times New Roman"/>
          <w:sz w:val="18"/>
          <w:lang w:val="en-US" w:eastAsia="zh-CN"/>
        </w:rPr>
        <w:t>民事判决书。</w:t>
      </w:r>
    </w:p>
  </w:footnote>
  <w:footnote w:id="30">
    <w:p w14:paraId="35898418">
      <w:pPr>
        <w:pStyle w:val="12"/>
        <w:snapToGrid w:val="0"/>
        <w:rPr>
          <w:rFonts w:hint="eastAsia" w:ascii="Times New Roman" w:hAnsi="Times New Roman" w:eastAsia="宋体"/>
          <w:sz w:val="18"/>
          <w:lang w:val="en-US" w:eastAsia="zh-CN"/>
        </w:rPr>
      </w:pPr>
      <w:r>
        <w:rPr>
          <w:rFonts w:hint="eastAsia" w:ascii="Times New Roman" w:hAnsi="Times New Roman"/>
          <w:sz w:val="18"/>
          <w:lang w:val="en-US" w:eastAsia="zh-CN"/>
        </w:rPr>
        <w:footnoteRef/>
      </w:r>
      <w:r>
        <w:rPr>
          <w:rFonts w:hint="eastAsia" w:ascii="Times New Roman" w:hAnsi="Times New Roman"/>
          <w:sz w:val="18"/>
          <w:lang w:val="en-US" w:eastAsia="zh-CN"/>
        </w:rPr>
        <w:t xml:space="preserve"> </w:t>
      </w:r>
      <w:r>
        <w:rPr>
          <w:rFonts w:hint="eastAsia" w:ascii="Times New Roman" w:hAnsi="Times New Roman"/>
          <w:sz w:val="18"/>
        </w:rPr>
        <w:t>某公司等</w:t>
      </w:r>
      <w:r>
        <w:rPr>
          <w:rFonts w:hint="eastAsia" w:ascii="Times New Roman" w:hAnsi="Times New Roman"/>
          <w:sz w:val="18"/>
          <w:lang w:val="en-US" w:eastAsia="zh-CN"/>
        </w:rPr>
        <w:t>诉</w:t>
      </w:r>
      <w:r>
        <w:rPr>
          <w:rFonts w:hint="eastAsia" w:ascii="Times New Roman" w:hAnsi="Times New Roman"/>
          <w:sz w:val="18"/>
        </w:rPr>
        <w:t>某公司2等证券虚假陈述责任纠纷</w:t>
      </w:r>
      <w:r>
        <w:rPr>
          <w:rFonts w:hint="eastAsia" w:ascii="Times New Roman" w:hAnsi="Times New Roman"/>
          <w:sz w:val="18"/>
          <w:lang w:val="en-US" w:eastAsia="zh-CN"/>
        </w:rPr>
        <w:t>案</w:t>
      </w:r>
      <w:r>
        <w:rPr>
          <w:rFonts w:hint="eastAsia" w:ascii="Times New Roman" w:hAnsi="Times New Roman"/>
          <w:sz w:val="18"/>
          <w:lang w:eastAsia="zh-CN"/>
        </w:rPr>
        <w:t>，</w:t>
      </w:r>
      <w:r>
        <w:rPr>
          <w:rFonts w:hint="eastAsia" w:ascii="Times New Roman" w:hAnsi="Times New Roman"/>
          <w:sz w:val="18"/>
          <w:lang w:val="en-US" w:eastAsia="zh-CN"/>
        </w:rPr>
        <w:t>北京市高级人民法院</w:t>
      </w:r>
      <w:r>
        <w:rPr>
          <w:rFonts w:hint="eastAsia" w:ascii="Times New Roman" w:hAnsi="Times New Roman"/>
          <w:sz w:val="18"/>
        </w:rPr>
        <w:t>（2024）京民终666号</w:t>
      </w:r>
      <w:r>
        <w:rPr>
          <w:rFonts w:hint="eastAsia" w:ascii="Times New Roman" w:hAnsi="Times New Roman"/>
          <w:sz w:val="18"/>
          <w:lang w:val="en-US" w:eastAsia="zh-CN"/>
        </w:rPr>
        <w:t>民事判决书。</w:t>
      </w:r>
    </w:p>
  </w:footnote>
  <w:footnote w:id="31">
    <w:p w14:paraId="5371B945">
      <w:pPr>
        <w:pStyle w:val="12"/>
        <w:snapToGrid w:val="0"/>
        <w:rPr>
          <w:rFonts w:hint="eastAsia" w:ascii="Times New Roman" w:hAnsi="Times New Roman" w:eastAsia="宋体"/>
          <w:sz w:val="18"/>
          <w:lang w:eastAsia="zh-CN"/>
        </w:rPr>
      </w:pPr>
      <w:r>
        <w:rPr>
          <w:rStyle w:val="22"/>
          <w:rFonts w:ascii="Times New Roman" w:hAnsi="Times New Roman"/>
          <w:sz w:val="18"/>
        </w:rPr>
        <w:footnoteRef/>
      </w:r>
      <w:r>
        <w:rPr>
          <w:rFonts w:ascii="Times New Roman" w:hAnsi="Times New Roman"/>
          <w:sz w:val="18"/>
        </w:rPr>
        <w:t xml:space="preserve"> </w:t>
      </w:r>
      <w:r>
        <w:rPr>
          <w:rFonts w:hint="eastAsia" w:ascii="Times New Roman" w:hAnsi="Times New Roman"/>
          <w:sz w:val="18"/>
        </w:rPr>
        <w:t>某产业投资股份有限公司</w:t>
      </w:r>
      <w:r>
        <w:rPr>
          <w:rFonts w:hint="eastAsia" w:ascii="Times New Roman" w:hAnsi="Times New Roman"/>
          <w:sz w:val="18"/>
          <w:lang w:val="en-US" w:eastAsia="zh-CN"/>
        </w:rPr>
        <w:t>诉</w:t>
      </w:r>
      <w:r>
        <w:rPr>
          <w:rFonts w:hint="eastAsia" w:ascii="Times New Roman" w:hAnsi="Times New Roman"/>
          <w:sz w:val="18"/>
        </w:rPr>
        <w:t>唐某等证券虚假陈述责任纠纷</w:t>
      </w:r>
      <w:r>
        <w:rPr>
          <w:rFonts w:hint="eastAsia" w:ascii="Times New Roman" w:hAnsi="Times New Roman"/>
          <w:sz w:val="18"/>
          <w:lang w:val="en-US" w:eastAsia="zh-CN"/>
        </w:rPr>
        <w:t>案</w:t>
      </w:r>
      <w:r>
        <w:rPr>
          <w:rFonts w:hint="eastAsia" w:ascii="Times New Roman" w:hAnsi="Times New Roman"/>
          <w:sz w:val="18"/>
          <w:lang w:eastAsia="zh-CN"/>
        </w:rPr>
        <w:t>，</w:t>
      </w:r>
      <w:r>
        <w:rPr>
          <w:rFonts w:hint="eastAsia" w:ascii="Times New Roman" w:hAnsi="Times New Roman"/>
          <w:sz w:val="18"/>
          <w:lang w:eastAsia="zh-CN"/>
        </w:rPr>
        <w:fldChar w:fldCharType="begin"/>
      </w:r>
      <w:r>
        <w:rPr>
          <w:rFonts w:hint="eastAsia" w:ascii="Times New Roman" w:hAnsi="Times New Roman"/>
          <w:sz w:val="18"/>
          <w:lang w:eastAsia="zh-CN"/>
        </w:rPr>
        <w:instrText xml:space="preserve"> HYPERLINK "https://www.pkulaw.com/case/pfnl?Aggs.LastInstanceCourt=2201&amp;way=textBasic" \t "https://www.pkulaw.com/_blank" </w:instrText>
      </w:r>
      <w:r>
        <w:rPr>
          <w:rFonts w:hint="eastAsia" w:ascii="Times New Roman" w:hAnsi="Times New Roman"/>
          <w:sz w:val="18"/>
          <w:lang w:eastAsia="zh-CN"/>
        </w:rPr>
        <w:fldChar w:fldCharType="separate"/>
      </w:r>
      <w:r>
        <w:rPr>
          <w:rFonts w:hint="eastAsia" w:ascii="Times New Roman" w:hAnsi="Times New Roman"/>
          <w:sz w:val="18"/>
          <w:lang w:eastAsia="zh-CN"/>
        </w:rPr>
        <w:t>广西壮族自治区高级人民法院</w:t>
      </w:r>
      <w:r>
        <w:rPr>
          <w:rFonts w:hint="eastAsia" w:ascii="Times New Roman" w:hAnsi="Times New Roman"/>
          <w:sz w:val="18"/>
          <w:lang w:eastAsia="zh-CN"/>
        </w:rPr>
        <w:fldChar w:fldCharType="end"/>
      </w:r>
      <w:r>
        <w:rPr>
          <w:rFonts w:hint="eastAsia" w:ascii="Times New Roman" w:hAnsi="Times New Roman"/>
          <w:sz w:val="18"/>
        </w:rPr>
        <w:t>（2025）桂民终17号民事判决书</w:t>
      </w:r>
      <w:r>
        <w:rPr>
          <w:rFonts w:hint="eastAsia" w:ascii="Times New Roman" w:hAnsi="Times New Roman"/>
          <w:sz w:val="18"/>
          <w:lang w:eastAsia="zh-CN"/>
        </w:rPr>
        <w:t>。</w:t>
      </w:r>
    </w:p>
  </w:footnote>
  <w:footnote w:id="32">
    <w:p w14:paraId="5DA63770">
      <w:pPr>
        <w:pStyle w:val="12"/>
        <w:snapToGrid w:val="0"/>
        <w:rPr>
          <w:rFonts w:ascii="Times New Roman" w:hAnsi="Times New Roman"/>
          <w:sz w:val="18"/>
        </w:rPr>
      </w:pPr>
      <w:r>
        <w:rPr>
          <w:rStyle w:val="22"/>
          <w:rFonts w:ascii="Times New Roman" w:hAnsi="Times New Roman"/>
          <w:sz w:val="18"/>
        </w:rPr>
        <w:footnoteRef/>
      </w:r>
      <w:r>
        <w:rPr>
          <w:rFonts w:ascii="Times New Roman" w:hAnsi="Times New Roman"/>
          <w:sz w:val="18"/>
        </w:rPr>
        <w:t xml:space="preserve"> </w:t>
      </w:r>
      <w:r>
        <w:rPr>
          <w:rFonts w:hint="eastAsia" w:ascii="Times New Roman" w:hAnsi="Times New Roman"/>
          <w:sz w:val="18"/>
        </w:rPr>
        <w:t>某公司等</w:t>
      </w:r>
      <w:r>
        <w:rPr>
          <w:rFonts w:hint="eastAsia" w:ascii="Times New Roman" w:hAnsi="Times New Roman"/>
          <w:sz w:val="18"/>
          <w:lang w:val="en-US" w:eastAsia="zh-CN"/>
        </w:rPr>
        <w:t>诉</w:t>
      </w:r>
      <w:r>
        <w:rPr>
          <w:rFonts w:hint="eastAsia" w:ascii="Times New Roman" w:hAnsi="Times New Roman"/>
          <w:sz w:val="18"/>
        </w:rPr>
        <w:t>某公司2等证券虚假陈述责任纠纷</w:t>
      </w:r>
      <w:r>
        <w:rPr>
          <w:rFonts w:hint="eastAsia" w:ascii="Times New Roman" w:hAnsi="Times New Roman"/>
          <w:sz w:val="18"/>
          <w:lang w:val="en-US" w:eastAsia="zh-CN"/>
        </w:rPr>
        <w:t>案</w:t>
      </w:r>
      <w:r>
        <w:rPr>
          <w:rFonts w:hint="eastAsia" w:ascii="Times New Roman" w:hAnsi="Times New Roman"/>
          <w:sz w:val="18"/>
          <w:lang w:eastAsia="zh-CN"/>
        </w:rPr>
        <w:t>，</w:t>
      </w:r>
      <w:r>
        <w:rPr>
          <w:rFonts w:hint="eastAsia" w:ascii="Times New Roman" w:hAnsi="Times New Roman"/>
          <w:sz w:val="18"/>
          <w:lang w:val="en-US" w:eastAsia="zh-CN"/>
        </w:rPr>
        <w:t>北京市高级人民法院</w:t>
      </w:r>
      <w:r>
        <w:rPr>
          <w:rFonts w:hint="eastAsia" w:ascii="Times New Roman" w:hAnsi="Times New Roman"/>
          <w:sz w:val="18"/>
        </w:rPr>
        <w:t>（2024）京民终666号</w:t>
      </w:r>
      <w:r>
        <w:rPr>
          <w:rFonts w:hint="eastAsia" w:ascii="Times New Roman" w:hAnsi="Times New Roman"/>
          <w:sz w:val="18"/>
          <w:lang w:val="en-US" w:eastAsia="zh-CN"/>
        </w:rPr>
        <w:t>民事判决书。</w:t>
      </w:r>
    </w:p>
  </w:footnote>
  <w:footnote w:id="33">
    <w:p w14:paraId="17BFB1AE">
      <w:pPr>
        <w:pStyle w:val="12"/>
        <w:snapToGrid w:val="0"/>
        <w:rPr>
          <w:rFonts w:ascii="Times New Roman" w:hAnsi="Times New Roman"/>
          <w:sz w:val="18"/>
        </w:rPr>
      </w:pPr>
      <w:r>
        <w:rPr>
          <w:rStyle w:val="22"/>
          <w:rFonts w:ascii="Times New Roman" w:hAnsi="Times New Roman"/>
          <w:sz w:val="18"/>
        </w:rPr>
        <w:footnoteRef/>
      </w:r>
      <w:r>
        <w:rPr>
          <w:rFonts w:ascii="Times New Roman" w:hAnsi="Times New Roman"/>
          <w:sz w:val="18"/>
        </w:rPr>
        <w:t xml:space="preserve"> </w:t>
      </w:r>
      <w:r>
        <w:rPr>
          <w:rFonts w:hint="eastAsia" w:ascii="Times New Roman" w:hAnsi="Times New Roman"/>
          <w:sz w:val="18"/>
        </w:rPr>
        <w:t>仲某芳</w:t>
      </w:r>
      <w:r>
        <w:rPr>
          <w:rFonts w:hint="eastAsia" w:ascii="Times New Roman" w:hAnsi="Times New Roman"/>
          <w:sz w:val="18"/>
          <w:lang w:val="en-US" w:eastAsia="zh-CN"/>
        </w:rPr>
        <w:t>诉</w:t>
      </w:r>
      <w:r>
        <w:rPr>
          <w:rFonts w:hint="eastAsia" w:ascii="Times New Roman" w:hAnsi="Times New Roman"/>
          <w:sz w:val="18"/>
        </w:rPr>
        <w:t>内蒙古西水创业股份有限公司</w:t>
      </w:r>
      <w:r>
        <w:rPr>
          <w:rFonts w:hint="eastAsia" w:ascii="Times New Roman" w:hAnsi="Times New Roman"/>
          <w:sz w:val="18"/>
          <w:lang w:val="en-US" w:eastAsia="zh-CN"/>
        </w:rPr>
        <w:t>证券虚假陈述责任纠纷案，</w:t>
      </w:r>
      <w:r>
        <w:rPr>
          <w:rFonts w:hint="eastAsia" w:ascii="Times New Roman" w:hAnsi="Times New Roman"/>
          <w:sz w:val="18"/>
          <w:lang w:val="en-US" w:eastAsia="zh-CN"/>
        </w:rPr>
        <w:fldChar w:fldCharType="begin"/>
      </w:r>
      <w:r>
        <w:rPr>
          <w:rFonts w:hint="eastAsia" w:ascii="Times New Roman" w:hAnsi="Times New Roman"/>
          <w:sz w:val="18"/>
          <w:lang w:val="en-US" w:eastAsia="zh-CN"/>
        </w:rPr>
        <w:instrText xml:space="preserve"> HYPERLINK "https://www.pkulaw.com/case/pfnl?Aggs.LastInstanceCourt=0801&amp;way=textBasic" \t "https://www.pkulaw.com/_blank" </w:instrText>
      </w:r>
      <w:r>
        <w:rPr>
          <w:rFonts w:hint="eastAsia" w:ascii="Times New Roman" w:hAnsi="Times New Roman"/>
          <w:sz w:val="18"/>
          <w:lang w:val="en-US" w:eastAsia="zh-CN"/>
        </w:rPr>
        <w:fldChar w:fldCharType="separate"/>
      </w:r>
      <w:r>
        <w:rPr>
          <w:rFonts w:hint="eastAsia" w:ascii="Times New Roman" w:hAnsi="Times New Roman"/>
          <w:sz w:val="18"/>
          <w:lang w:val="en-US" w:eastAsia="zh-CN"/>
        </w:rPr>
        <w:t>内蒙古自治区高级人民法院</w:t>
      </w:r>
      <w:r>
        <w:rPr>
          <w:rFonts w:hint="eastAsia" w:ascii="Times New Roman" w:hAnsi="Times New Roman"/>
          <w:sz w:val="18"/>
          <w:lang w:val="en-US" w:eastAsia="zh-CN"/>
        </w:rPr>
        <w:fldChar w:fldCharType="end"/>
      </w:r>
      <w:r>
        <w:rPr>
          <w:rFonts w:hint="eastAsia" w:ascii="Times New Roman" w:hAnsi="Times New Roman"/>
          <w:sz w:val="18"/>
          <w:lang w:val="en-US" w:eastAsia="zh-CN"/>
        </w:rPr>
        <w:t>（</w:t>
      </w:r>
      <w:r>
        <w:rPr>
          <w:rFonts w:hint="eastAsia" w:ascii="Times New Roman" w:hAnsi="Times New Roman"/>
          <w:sz w:val="18"/>
        </w:rPr>
        <w:t>2023</w:t>
      </w:r>
      <w:r>
        <w:rPr>
          <w:rFonts w:hint="eastAsia" w:ascii="Times New Roman" w:hAnsi="Times New Roman"/>
          <w:sz w:val="18"/>
          <w:lang w:eastAsia="zh-CN"/>
        </w:rPr>
        <w:t>）</w:t>
      </w:r>
      <w:r>
        <w:rPr>
          <w:rFonts w:hint="eastAsia" w:ascii="Times New Roman" w:hAnsi="Times New Roman"/>
          <w:sz w:val="18"/>
        </w:rPr>
        <w:t>内民终553号</w:t>
      </w:r>
      <w:r>
        <w:rPr>
          <w:rFonts w:hint="eastAsia" w:ascii="Times New Roman" w:hAnsi="Times New Roman"/>
          <w:sz w:val="18"/>
          <w:lang w:val="en-US" w:eastAsia="zh-CN"/>
        </w:rPr>
        <w:t>民事判决书。</w:t>
      </w:r>
    </w:p>
  </w:footnote>
  <w:footnote w:id="34">
    <w:p w14:paraId="1D7DBF70">
      <w:pPr>
        <w:pStyle w:val="12"/>
        <w:snapToGrid w:val="0"/>
        <w:rPr>
          <w:rFonts w:ascii="Times New Roman" w:hAnsi="Times New Roman"/>
          <w:sz w:val="18"/>
        </w:rPr>
      </w:pPr>
      <w:r>
        <w:rPr>
          <w:rStyle w:val="22"/>
          <w:rFonts w:ascii="Times New Roman" w:hAnsi="Times New Roman"/>
          <w:sz w:val="18"/>
        </w:rPr>
        <w:footnoteRef/>
      </w:r>
      <w:r>
        <w:rPr>
          <w:rFonts w:ascii="Times New Roman" w:hAnsi="Times New Roman"/>
          <w:sz w:val="18"/>
        </w:rPr>
        <w:t xml:space="preserve"> </w:t>
      </w:r>
      <w:r>
        <w:rPr>
          <w:rFonts w:hint="eastAsia" w:ascii="Times New Roman" w:hAnsi="Times New Roman"/>
          <w:sz w:val="18"/>
        </w:rPr>
        <w:t>某公司等</w:t>
      </w:r>
      <w:r>
        <w:rPr>
          <w:rFonts w:hint="eastAsia" w:ascii="Times New Roman" w:hAnsi="Times New Roman"/>
          <w:sz w:val="18"/>
          <w:lang w:val="en-US" w:eastAsia="zh-CN"/>
        </w:rPr>
        <w:t>诉</w:t>
      </w:r>
      <w:r>
        <w:rPr>
          <w:rFonts w:hint="eastAsia" w:ascii="Times New Roman" w:hAnsi="Times New Roman"/>
          <w:sz w:val="18"/>
        </w:rPr>
        <w:t>某公司2等证券虚假陈述责任纠纷</w:t>
      </w:r>
      <w:r>
        <w:rPr>
          <w:rFonts w:hint="eastAsia" w:ascii="Times New Roman" w:hAnsi="Times New Roman"/>
          <w:sz w:val="18"/>
          <w:lang w:val="en-US" w:eastAsia="zh-CN"/>
        </w:rPr>
        <w:t>案</w:t>
      </w:r>
      <w:r>
        <w:rPr>
          <w:rFonts w:hint="eastAsia" w:ascii="Times New Roman" w:hAnsi="Times New Roman"/>
          <w:sz w:val="18"/>
          <w:lang w:eastAsia="zh-CN"/>
        </w:rPr>
        <w:t>，</w:t>
      </w:r>
      <w:r>
        <w:rPr>
          <w:rFonts w:hint="eastAsia" w:ascii="Times New Roman" w:hAnsi="Times New Roman"/>
          <w:sz w:val="18"/>
          <w:lang w:val="en-US" w:eastAsia="zh-CN"/>
        </w:rPr>
        <w:t>北京市高级人民法院</w:t>
      </w:r>
      <w:r>
        <w:rPr>
          <w:rFonts w:hint="eastAsia" w:ascii="Times New Roman" w:hAnsi="Times New Roman"/>
          <w:sz w:val="18"/>
        </w:rPr>
        <w:t>（2024）京民终666号</w:t>
      </w:r>
      <w:r>
        <w:rPr>
          <w:rFonts w:hint="eastAsia" w:ascii="Times New Roman" w:hAnsi="Times New Roman"/>
          <w:sz w:val="18"/>
          <w:lang w:val="en-US" w:eastAsia="zh-CN"/>
        </w:rPr>
        <w:t>民事判决书。</w:t>
      </w:r>
    </w:p>
  </w:footnote>
  <w:footnote w:id="35">
    <w:p w14:paraId="5E061DDE">
      <w:pPr>
        <w:pStyle w:val="12"/>
        <w:snapToGrid w:val="0"/>
        <w:rPr>
          <w:rFonts w:hint="eastAsia" w:ascii="Times New Roman" w:hAnsi="Times New Roman" w:eastAsia="宋体"/>
          <w:sz w:val="18"/>
          <w:lang w:val="en-US" w:eastAsia="zh-CN"/>
        </w:rPr>
      </w:pPr>
      <w:r>
        <w:rPr>
          <w:rFonts w:hint="eastAsia" w:ascii="Times New Roman" w:hAnsi="Times New Roman"/>
          <w:sz w:val="18"/>
        </w:rPr>
        <w:footnoteRef/>
      </w:r>
      <w:r>
        <w:rPr>
          <w:rFonts w:hint="eastAsia" w:ascii="Times New Roman" w:hAnsi="Times New Roman"/>
          <w:sz w:val="18"/>
        </w:rPr>
        <w:t xml:space="preserve"> 北京某某鑫牛润瀛股权投资基金</w:t>
      </w:r>
      <w:r>
        <w:rPr>
          <w:rFonts w:hint="eastAsia" w:ascii="Times New Roman" w:hAnsi="Times New Roman"/>
          <w:sz w:val="18"/>
          <w:lang w:val="en-US" w:eastAsia="zh-CN"/>
        </w:rPr>
        <w:t>诉</w:t>
      </w:r>
      <w:r>
        <w:rPr>
          <w:rFonts w:hint="eastAsia" w:ascii="Times New Roman" w:hAnsi="Times New Roman"/>
          <w:sz w:val="18"/>
        </w:rPr>
        <w:t>某某建投证券股份有限公司证券虚假陈述责任纠纷</w:t>
      </w:r>
      <w:r>
        <w:rPr>
          <w:rFonts w:hint="eastAsia" w:ascii="Times New Roman" w:hAnsi="Times New Roman"/>
          <w:sz w:val="18"/>
          <w:lang w:val="en-US" w:eastAsia="zh-CN"/>
        </w:rPr>
        <w:t>案</w:t>
      </w:r>
      <w:r>
        <w:rPr>
          <w:rFonts w:hint="eastAsia" w:ascii="Times New Roman" w:hAnsi="Times New Roman"/>
          <w:sz w:val="18"/>
          <w:lang w:eastAsia="zh-CN"/>
        </w:rPr>
        <w:t>，</w:t>
      </w:r>
      <w:r>
        <w:rPr>
          <w:rFonts w:hint="eastAsia" w:ascii="Times New Roman" w:hAnsi="Times New Roman"/>
          <w:sz w:val="18"/>
          <w:lang w:val="en-US" w:eastAsia="zh-CN"/>
        </w:rPr>
        <w:t>山东省高级人民法院（</w:t>
      </w:r>
      <w:r>
        <w:rPr>
          <w:rFonts w:hint="eastAsia" w:ascii="Times New Roman" w:hAnsi="Times New Roman"/>
          <w:sz w:val="18"/>
        </w:rPr>
        <w:t>2023</w:t>
      </w:r>
      <w:r>
        <w:rPr>
          <w:rFonts w:hint="eastAsia" w:ascii="Times New Roman" w:hAnsi="Times New Roman"/>
          <w:sz w:val="18"/>
          <w:lang w:eastAsia="zh-CN"/>
        </w:rPr>
        <w:t>）</w:t>
      </w:r>
      <w:r>
        <w:rPr>
          <w:rFonts w:hint="eastAsia" w:ascii="Times New Roman" w:hAnsi="Times New Roman"/>
          <w:sz w:val="18"/>
        </w:rPr>
        <w:t>鲁民终356号</w:t>
      </w:r>
      <w:r>
        <w:rPr>
          <w:rFonts w:hint="eastAsia" w:ascii="Times New Roman" w:hAnsi="Times New Roman"/>
          <w:sz w:val="18"/>
          <w:lang w:val="en-US" w:eastAsia="zh-CN"/>
        </w:rPr>
        <w:t>民事判决书。</w:t>
      </w:r>
    </w:p>
  </w:footnote>
  <w:footnote w:id="36">
    <w:p w14:paraId="43716BEB">
      <w:pPr>
        <w:pStyle w:val="12"/>
        <w:snapToGrid w:val="0"/>
        <w:rPr>
          <w:rFonts w:hint="eastAsia" w:ascii="Times New Roman" w:hAnsi="Times New Roman" w:eastAsia="宋体"/>
          <w:sz w:val="18"/>
          <w:lang w:val="en-US" w:eastAsia="zh-CN"/>
        </w:rPr>
      </w:pPr>
      <w:r>
        <w:rPr>
          <w:rStyle w:val="22"/>
          <w:rFonts w:ascii="Times New Roman" w:hAnsi="Times New Roman"/>
          <w:sz w:val="18"/>
        </w:rPr>
        <w:footnoteRef/>
      </w:r>
      <w:r>
        <w:rPr>
          <w:rFonts w:ascii="Times New Roman" w:hAnsi="Times New Roman"/>
          <w:sz w:val="18"/>
        </w:rPr>
        <w:t xml:space="preserve"> </w:t>
      </w:r>
      <w:r>
        <w:rPr>
          <w:rFonts w:hint="eastAsia" w:ascii="Times New Roman" w:hAnsi="Times New Roman"/>
          <w:sz w:val="18"/>
        </w:rPr>
        <w:t>浙江省围某股份有限公司</w:t>
      </w:r>
      <w:r>
        <w:rPr>
          <w:rFonts w:hint="eastAsia" w:ascii="Times New Roman" w:hAnsi="Times New Roman"/>
          <w:sz w:val="18"/>
          <w:lang w:val="en-US" w:eastAsia="zh-CN"/>
        </w:rPr>
        <w:t>诉</w:t>
      </w:r>
      <w:r>
        <w:rPr>
          <w:rFonts w:hint="eastAsia" w:ascii="Times New Roman" w:hAnsi="Times New Roman"/>
          <w:sz w:val="18"/>
        </w:rPr>
        <w:t>张某证券虚假陈述责任纠纷</w:t>
      </w:r>
      <w:r>
        <w:rPr>
          <w:rFonts w:hint="eastAsia" w:ascii="Times New Roman" w:hAnsi="Times New Roman"/>
          <w:sz w:val="18"/>
          <w:lang w:val="en-US" w:eastAsia="zh-CN"/>
        </w:rPr>
        <w:t>案，</w:t>
      </w:r>
      <w:r>
        <w:rPr>
          <w:rFonts w:hint="eastAsia" w:ascii="Times New Roman" w:hAnsi="Times New Roman"/>
          <w:sz w:val="18"/>
        </w:rPr>
        <w:t>浙江省</w:t>
      </w:r>
      <w:r>
        <w:rPr>
          <w:rFonts w:hint="eastAsia" w:ascii="Times New Roman" w:hAnsi="Times New Roman"/>
          <w:sz w:val="18"/>
          <w:lang w:val="en-US" w:eastAsia="zh-CN"/>
        </w:rPr>
        <w:t>高级人民法院</w:t>
      </w:r>
      <w:r>
        <w:rPr>
          <w:rFonts w:hint="eastAsia" w:ascii="Times New Roman" w:hAnsi="Times New Roman"/>
          <w:sz w:val="18"/>
        </w:rPr>
        <w:t>（2025）浙民终834号民事判决书</w:t>
      </w:r>
      <w:r>
        <w:rPr>
          <w:rFonts w:hint="eastAsia" w:ascii="Times New Roman" w:hAnsi="Times New Roman"/>
          <w:sz w:val="18"/>
          <w:lang w:eastAsia="zh-CN"/>
        </w:rPr>
        <w:t>。</w:t>
      </w:r>
    </w:p>
  </w:footnote>
  <w:footnote w:id="37">
    <w:p w14:paraId="68D9CC37">
      <w:pPr>
        <w:pStyle w:val="12"/>
        <w:snapToGrid w:val="0"/>
        <w:rPr>
          <w:rFonts w:hint="eastAsia" w:ascii="Times New Roman" w:hAnsi="Times New Roman" w:eastAsia="宋体"/>
          <w:sz w:val="18"/>
          <w:lang w:eastAsia="zh-CN"/>
        </w:rPr>
      </w:pPr>
      <w:r>
        <w:rPr>
          <w:rStyle w:val="22"/>
          <w:rFonts w:ascii="Times New Roman" w:hAnsi="Times New Roman"/>
          <w:sz w:val="18"/>
        </w:rPr>
        <w:footnoteRef/>
      </w:r>
      <w:r>
        <w:rPr>
          <w:rFonts w:ascii="Times New Roman" w:hAnsi="Times New Roman"/>
          <w:sz w:val="18"/>
        </w:rPr>
        <w:t xml:space="preserve"> </w:t>
      </w:r>
      <w:r>
        <w:rPr>
          <w:rFonts w:hint="eastAsia" w:ascii="Times New Roman" w:hAnsi="Times New Roman"/>
          <w:sz w:val="18"/>
        </w:rPr>
        <w:t>湖南某公司</w:t>
      </w:r>
      <w:r>
        <w:rPr>
          <w:rFonts w:hint="eastAsia" w:ascii="Times New Roman" w:hAnsi="Times New Roman"/>
          <w:sz w:val="18"/>
          <w:lang w:val="en-US" w:eastAsia="zh-CN"/>
        </w:rPr>
        <w:t>诉</w:t>
      </w:r>
      <w:r>
        <w:rPr>
          <w:rFonts w:hint="eastAsia" w:ascii="Times New Roman" w:hAnsi="Times New Roman"/>
          <w:sz w:val="18"/>
        </w:rPr>
        <w:t>吴某证券虚假陈述责任纠纷</w:t>
      </w:r>
      <w:r>
        <w:rPr>
          <w:rFonts w:hint="eastAsia" w:ascii="Times New Roman" w:hAnsi="Times New Roman"/>
          <w:sz w:val="18"/>
          <w:lang w:val="en-US" w:eastAsia="zh-CN"/>
        </w:rPr>
        <w:t>案，湖南</w:t>
      </w:r>
      <w:r>
        <w:rPr>
          <w:rFonts w:hint="eastAsia" w:ascii="Times New Roman" w:hAnsi="Times New Roman"/>
          <w:sz w:val="18"/>
        </w:rPr>
        <w:t>省</w:t>
      </w:r>
      <w:r>
        <w:rPr>
          <w:rFonts w:hint="eastAsia" w:ascii="Times New Roman" w:hAnsi="Times New Roman"/>
          <w:sz w:val="18"/>
          <w:lang w:val="en-US" w:eastAsia="zh-CN"/>
        </w:rPr>
        <w:t>高级人民法院</w:t>
      </w:r>
      <w:r>
        <w:rPr>
          <w:rFonts w:hint="eastAsia" w:ascii="Times New Roman" w:hAnsi="Times New Roman"/>
          <w:sz w:val="18"/>
        </w:rPr>
        <w:t>（2023）湘民终162号民事判决书</w:t>
      </w:r>
      <w:r>
        <w:rPr>
          <w:rFonts w:hint="eastAsia" w:ascii="Times New Roman" w:hAnsi="Times New Roman"/>
          <w:sz w:val="18"/>
          <w:lang w:eastAsia="zh-CN"/>
        </w:rPr>
        <w:t>。</w:t>
      </w:r>
    </w:p>
  </w:footnote>
  <w:footnote w:id="38">
    <w:p w14:paraId="745D570E">
      <w:pPr>
        <w:pStyle w:val="12"/>
        <w:keepNext w:val="0"/>
        <w:keepLines w:val="0"/>
        <w:pageBreakBefore w:val="0"/>
        <w:widowControl w:val="0"/>
        <w:kinsoku/>
        <w:wordWrap/>
        <w:overflowPunct/>
        <w:topLinePunct w:val="0"/>
        <w:bidi w:val="0"/>
        <w:adjustRightInd/>
        <w:snapToGrid w:val="0"/>
        <w:textAlignment w:val="auto"/>
        <w:rPr>
          <w:rFonts w:hint="eastAsia" w:ascii="Times New Roman" w:hAnsi="Times New Roman"/>
          <w:sz w:val="18"/>
          <w:lang w:eastAsia="zh-CN"/>
        </w:rPr>
      </w:pPr>
      <w:r>
        <w:rPr>
          <w:rFonts w:hint="eastAsia" w:ascii="Times New Roman" w:hAnsi="Times New Roman"/>
          <w:sz w:val="18"/>
        </w:rPr>
        <w:footnoteRef/>
      </w:r>
      <w:r>
        <w:rPr>
          <w:rFonts w:hint="eastAsia" w:ascii="Times New Roman" w:hAnsi="Times New Roman"/>
          <w:sz w:val="18"/>
        </w:rPr>
        <w:t xml:space="preserve"> 孙某</w:t>
      </w:r>
      <w:r>
        <w:rPr>
          <w:rFonts w:hint="eastAsia" w:ascii="Times New Roman" w:hAnsi="Times New Roman"/>
          <w:sz w:val="18"/>
          <w:lang w:val="en-US" w:eastAsia="zh-CN"/>
        </w:rPr>
        <w:t>诉</w:t>
      </w:r>
      <w:r>
        <w:rPr>
          <w:rFonts w:hint="eastAsia" w:ascii="Times New Roman" w:hAnsi="Times New Roman"/>
          <w:sz w:val="18"/>
        </w:rPr>
        <w:t>深圳某公司证券虚假陈述责任纠纷</w:t>
      </w:r>
      <w:r>
        <w:rPr>
          <w:rFonts w:hint="eastAsia" w:ascii="Times New Roman" w:hAnsi="Times New Roman"/>
          <w:sz w:val="18"/>
          <w:lang w:val="en-US" w:eastAsia="zh-CN"/>
        </w:rPr>
        <w:t>案，广东省高级人民法院</w:t>
      </w:r>
      <w:r>
        <w:rPr>
          <w:rFonts w:hint="eastAsia" w:ascii="Times New Roman" w:hAnsi="Times New Roman"/>
          <w:sz w:val="18"/>
        </w:rPr>
        <w:t>（2025）粤民终2802号民事判决书</w:t>
      </w:r>
      <w:r>
        <w:rPr>
          <w:rFonts w:hint="eastAsia" w:ascii="Times New Roman" w:hAnsi="Times New Roman"/>
          <w:sz w:val="18"/>
          <w:lang w:eastAsia="zh-CN"/>
        </w:rPr>
        <w:t>。</w:t>
      </w:r>
    </w:p>
  </w:footnote>
  <w:footnote w:id="39">
    <w:p w14:paraId="5E8C247F">
      <w:pPr>
        <w:pStyle w:val="12"/>
        <w:snapToGrid w:val="0"/>
        <w:rPr>
          <w:rFonts w:hint="eastAsia" w:ascii="Times New Roman" w:hAnsi="Times New Roman"/>
          <w:sz w:val="18"/>
          <w:lang w:eastAsia="zh-CN"/>
        </w:rPr>
      </w:pPr>
      <w:r>
        <w:rPr>
          <w:rFonts w:hint="eastAsia" w:ascii="Times New Roman" w:hAnsi="Times New Roman"/>
          <w:sz w:val="18"/>
        </w:rPr>
        <w:footnoteRef/>
      </w:r>
      <w:r>
        <w:rPr>
          <w:rFonts w:hint="eastAsia" w:ascii="Times New Roman" w:hAnsi="Times New Roman"/>
          <w:sz w:val="18"/>
        </w:rPr>
        <w:t xml:space="preserve"> 张某碧</w:t>
      </w:r>
      <w:r>
        <w:rPr>
          <w:rFonts w:hint="eastAsia" w:ascii="Times New Roman" w:hAnsi="Times New Roman"/>
          <w:sz w:val="18"/>
          <w:lang w:val="en-US" w:eastAsia="zh-CN"/>
        </w:rPr>
        <w:t>诉</w:t>
      </w:r>
      <w:r>
        <w:rPr>
          <w:rFonts w:hint="eastAsia" w:ascii="Times New Roman" w:hAnsi="Times New Roman"/>
          <w:sz w:val="18"/>
        </w:rPr>
        <w:t>深圳市某某实业股份有限公司证券虚假陈述责任纠纷</w:t>
      </w:r>
      <w:r>
        <w:rPr>
          <w:rFonts w:hint="eastAsia" w:ascii="Times New Roman" w:hAnsi="Times New Roman"/>
          <w:sz w:val="18"/>
          <w:lang w:val="en-US" w:eastAsia="zh-CN"/>
        </w:rPr>
        <w:t>案，广东省高级人民法院</w:t>
      </w:r>
      <w:r>
        <w:rPr>
          <w:rFonts w:hint="eastAsia" w:ascii="Times New Roman" w:hAnsi="Times New Roman"/>
          <w:sz w:val="18"/>
        </w:rPr>
        <w:t>（2024）粤民终355号民事判决书</w:t>
      </w:r>
      <w:r>
        <w:rPr>
          <w:rFonts w:hint="eastAsia" w:ascii="Times New Roman" w:hAnsi="Times New Roman"/>
          <w:sz w:val="18"/>
          <w:lang w:eastAsia="zh-CN"/>
        </w:rPr>
        <w:t>。</w:t>
      </w:r>
    </w:p>
  </w:footnote>
  <w:footnote w:id="40">
    <w:p w14:paraId="7D22A14B">
      <w:pPr>
        <w:pStyle w:val="12"/>
        <w:snapToGrid w:val="0"/>
        <w:rPr>
          <w:rFonts w:hint="eastAsia" w:ascii="Times New Roman" w:hAnsi="Times New Roman"/>
          <w:sz w:val="18"/>
          <w:lang w:eastAsia="zh-CN"/>
        </w:rPr>
      </w:pPr>
      <w:r>
        <w:rPr>
          <w:rFonts w:hint="eastAsia" w:ascii="Times New Roman" w:hAnsi="Times New Roman"/>
          <w:sz w:val="18"/>
        </w:rPr>
        <w:footnoteRef/>
      </w:r>
      <w:r>
        <w:rPr>
          <w:rFonts w:hint="eastAsia" w:ascii="Times New Roman" w:hAnsi="Times New Roman"/>
          <w:sz w:val="18"/>
        </w:rPr>
        <w:t xml:space="preserve"> 胡某</w:t>
      </w:r>
      <w:r>
        <w:rPr>
          <w:rFonts w:hint="eastAsia" w:ascii="Times New Roman" w:hAnsi="Times New Roman"/>
          <w:sz w:val="18"/>
          <w:lang w:val="en-US" w:eastAsia="zh-CN"/>
        </w:rPr>
        <w:t>诉</w:t>
      </w:r>
      <w:r>
        <w:rPr>
          <w:rFonts w:hint="eastAsia" w:ascii="Times New Roman" w:hAnsi="Times New Roman"/>
          <w:sz w:val="18"/>
        </w:rPr>
        <w:t>某某事务所等证券虚假陈述责任纠纷</w:t>
      </w:r>
      <w:r>
        <w:rPr>
          <w:rFonts w:hint="eastAsia" w:ascii="Times New Roman" w:hAnsi="Times New Roman"/>
          <w:sz w:val="18"/>
          <w:lang w:val="en-US" w:eastAsia="zh-CN"/>
        </w:rPr>
        <w:t>案，江苏省高级人民法院</w:t>
      </w:r>
      <w:r>
        <w:rPr>
          <w:rFonts w:hint="eastAsia" w:ascii="Times New Roman" w:hAnsi="Times New Roman"/>
          <w:sz w:val="18"/>
        </w:rPr>
        <w:t>（2023）苏民终6号民事判决书</w:t>
      </w:r>
      <w:r>
        <w:rPr>
          <w:rFonts w:hint="eastAsia" w:ascii="Times New Roman" w:hAnsi="Times New Roman"/>
          <w:sz w:val="18"/>
          <w:lang w:eastAsia="zh-CN"/>
        </w:rPr>
        <w:t>。</w:t>
      </w:r>
    </w:p>
  </w:footnote>
  <w:footnote w:id="41">
    <w:p w14:paraId="0270CB91">
      <w:pPr>
        <w:pStyle w:val="12"/>
        <w:snapToGrid w:val="0"/>
        <w:rPr>
          <w:rFonts w:hint="default" w:ascii="Times New Roman" w:hAnsi="Times New Roman" w:eastAsia="宋体"/>
          <w:sz w:val="18"/>
          <w:lang w:val="en-US" w:eastAsia="zh-CN"/>
        </w:rPr>
      </w:pPr>
      <w:r>
        <w:rPr>
          <w:rFonts w:hint="eastAsia" w:ascii="Times New Roman" w:hAnsi="Times New Roman"/>
          <w:sz w:val="18"/>
        </w:rPr>
        <w:footnoteRef/>
      </w:r>
      <w:r>
        <w:rPr>
          <w:rFonts w:hint="eastAsia" w:ascii="Times New Roman" w:hAnsi="Times New Roman"/>
          <w:sz w:val="18"/>
        </w:rPr>
        <w:t xml:space="preserve"> 某产业投资股份有限公司、唐某等证券虚假陈述责任纠纷</w:t>
      </w:r>
      <w:r>
        <w:rPr>
          <w:rFonts w:hint="eastAsia" w:ascii="Times New Roman" w:hAnsi="Times New Roman"/>
          <w:sz w:val="18"/>
          <w:lang w:val="en-US" w:eastAsia="zh-CN"/>
        </w:rPr>
        <w:t>案，广西壮族自治区高级人民法院</w:t>
      </w:r>
      <w:r>
        <w:rPr>
          <w:rFonts w:hint="eastAsia" w:ascii="Times New Roman" w:hAnsi="Times New Roman"/>
          <w:sz w:val="18"/>
          <w:lang w:eastAsia="zh-CN"/>
        </w:rPr>
        <w:t>（</w:t>
      </w:r>
      <w:r>
        <w:rPr>
          <w:rFonts w:hint="eastAsia" w:ascii="Times New Roman" w:hAnsi="Times New Roman"/>
          <w:sz w:val="18"/>
        </w:rPr>
        <w:t>2025</w:t>
      </w:r>
      <w:r>
        <w:rPr>
          <w:rFonts w:hint="eastAsia" w:ascii="Times New Roman" w:hAnsi="Times New Roman"/>
          <w:sz w:val="18"/>
          <w:lang w:eastAsia="zh-CN"/>
        </w:rPr>
        <w:t>）</w:t>
      </w:r>
      <w:r>
        <w:rPr>
          <w:rFonts w:hint="eastAsia" w:ascii="Times New Roman" w:hAnsi="Times New Roman"/>
          <w:sz w:val="18"/>
        </w:rPr>
        <w:t>桂民终17号</w:t>
      </w:r>
      <w:r>
        <w:rPr>
          <w:rFonts w:hint="eastAsia" w:ascii="Times New Roman" w:hAnsi="Times New Roman"/>
          <w:sz w:val="18"/>
          <w:lang w:val="en-US" w:eastAsia="zh-CN"/>
        </w:rPr>
        <w:t>民事判决书。</w:t>
      </w:r>
    </w:p>
  </w:footnote>
  <w:footnote w:id="42">
    <w:p w14:paraId="4B29FD13">
      <w:pPr>
        <w:pStyle w:val="12"/>
        <w:snapToGrid w:val="0"/>
        <w:rPr>
          <w:rFonts w:hint="eastAsia" w:ascii="Times New Roman" w:hAnsi="Times New Roman" w:eastAsia="宋体"/>
          <w:sz w:val="18"/>
          <w:lang w:eastAsia="zh-CN"/>
        </w:rPr>
      </w:pPr>
      <w:r>
        <w:rPr>
          <w:rFonts w:hint="eastAsia" w:ascii="Times New Roman" w:hAnsi="Times New Roman"/>
          <w:sz w:val="18"/>
        </w:rPr>
        <w:footnoteRef/>
      </w:r>
      <w:r>
        <w:rPr>
          <w:rFonts w:hint="eastAsia" w:ascii="Times New Roman" w:hAnsi="Times New Roman"/>
          <w:sz w:val="18"/>
        </w:rPr>
        <w:t xml:space="preserve"> 北海某某物产业投资股份有限公司、李某证券虚假陈述责任纠纷</w:t>
      </w:r>
      <w:r>
        <w:rPr>
          <w:rFonts w:hint="eastAsia" w:ascii="Times New Roman" w:hAnsi="Times New Roman"/>
          <w:sz w:val="18"/>
          <w:lang w:val="en-US" w:eastAsia="zh-CN"/>
        </w:rPr>
        <w:t>案，</w:t>
      </w:r>
      <w:r>
        <w:rPr>
          <w:rFonts w:hint="eastAsia" w:ascii="Times New Roman" w:hAnsi="Times New Roman"/>
          <w:sz w:val="18"/>
        </w:rPr>
        <w:t>广西壮族自治区</w:t>
      </w:r>
      <w:r>
        <w:rPr>
          <w:rFonts w:hint="eastAsia" w:ascii="Times New Roman" w:hAnsi="Times New Roman"/>
          <w:sz w:val="18"/>
          <w:lang w:val="en-US" w:eastAsia="zh-CN"/>
        </w:rPr>
        <w:t>高级人民法院</w:t>
      </w:r>
      <w:r>
        <w:rPr>
          <w:rFonts w:hint="eastAsia" w:ascii="Times New Roman" w:hAnsi="Times New Roman"/>
          <w:sz w:val="18"/>
          <w:lang w:eastAsia="zh-CN"/>
        </w:rPr>
        <w:t>（</w:t>
      </w:r>
      <w:r>
        <w:rPr>
          <w:rFonts w:hint="eastAsia" w:ascii="Times New Roman" w:hAnsi="Times New Roman"/>
          <w:sz w:val="18"/>
        </w:rPr>
        <w:t>2024</w:t>
      </w:r>
      <w:r>
        <w:rPr>
          <w:rFonts w:hint="eastAsia" w:ascii="Times New Roman" w:hAnsi="Times New Roman"/>
          <w:sz w:val="18"/>
          <w:lang w:eastAsia="zh-CN"/>
        </w:rPr>
        <w:t>）</w:t>
      </w:r>
      <w:r>
        <w:rPr>
          <w:rFonts w:hint="eastAsia" w:ascii="Times New Roman" w:hAnsi="Times New Roman"/>
          <w:sz w:val="18"/>
        </w:rPr>
        <w:t>桂民终240号民事判决书</w:t>
      </w:r>
      <w:r>
        <w:rPr>
          <w:rFonts w:hint="eastAsia" w:ascii="Times New Roman" w:hAnsi="Times New Roman"/>
          <w:sz w:val="18"/>
          <w:lang w:eastAsia="zh-CN"/>
        </w:rPr>
        <w:t>。</w:t>
      </w:r>
    </w:p>
  </w:footnote>
  <w:footnote w:id="43">
    <w:p w14:paraId="609E3DC8">
      <w:pPr>
        <w:pStyle w:val="12"/>
        <w:snapToGrid w:val="0"/>
        <w:rPr>
          <w:rFonts w:hint="eastAsia" w:ascii="Times New Roman" w:hAnsi="Times New Roman"/>
          <w:sz w:val="18"/>
          <w:lang w:eastAsia="zh-CN"/>
        </w:rPr>
      </w:pPr>
      <w:r>
        <w:rPr>
          <w:rFonts w:hint="eastAsia" w:ascii="Times New Roman" w:hAnsi="Times New Roman"/>
          <w:sz w:val="18"/>
        </w:rPr>
        <w:footnoteRef/>
      </w:r>
      <w:r>
        <w:rPr>
          <w:rFonts w:hint="eastAsia" w:ascii="Times New Roman" w:hAnsi="Times New Roman"/>
          <w:sz w:val="18"/>
        </w:rPr>
        <w:t xml:space="preserve"> 贵州某某股份有限公司</w:t>
      </w:r>
      <w:r>
        <w:rPr>
          <w:rFonts w:hint="eastAsia" w:ascii="Times New Roman" w:hAnsi="Times New Roman"/>
          <w:sz w:val="18"/>
          <w:lang w:val="en-US" w:eastAsia="zh-CN"/>
        </w:rPr>
        <w:t>诉</w:t>
      </w:r>
      <w:r>
        <w:rPr>
          <w:rFonts w:hint="eastAsia" w:ascii="Times New Roman" w:hAnsi="Times New Roman"/>
          <w:sz w:val="18"/>
        </w:rPr>
        <w:t>周某某证券虚假陈述责任纠纷</w:t>
      </w:r>
      <w:r>
        <w:rPr>
          <w:rFonts w:hint="eastAsia" w:ascii="Times New Roman" w:hAnsi="Times New Roman"/>
          <w:sz w:val="18"/>
          <w:lang w:val="en-US" w:eastAsia="zh-CN"/>
        </w:rPr>
        <w:t>案，贵州省高级人民法院</w:t>
      </w:r>
      <w:r>
        <w:rPr>
          <w:rFonts w:hint="eastAsia" w:ascii="Times New Roman" w:hAnsi="Times New Roman"/>
          <w:sz w:val="18"/>
        </w:rPr>
        <w:t>（2024）黔民终35号民事判决书</w:t>
      </w:r>
      <w:r>
        <w:rPr>
          <w:rFonts w:hint="eastAsia" w:ascii="Times New Roman" w:hAnsi="Times New Roman"/>
          <w:sz w:val="18"/>
          <w:lang w:eastAsia="zh-CN"/>
        </w:rPr>
        <w:t>。</w:t>
      </w:r>
    </w:p>
  </w:footnote>
  <w:footnote w:id="44">
    <w:p w14:paraId="55F8F0D0">
      <w:pPr>
        <w:pStyle w:val="12"/>
        <w:snapToGrid w:val="0"/>
        <w:rPr>
          <w:rFonts w:hint="eastAsia" w:ascii="Times New Roman" w:hAnsi="Times New Roman"/>
          <w:sz w:val="18"/>
          <w:lang w:eastAsia="zh-CN"/>
        </w:rPr>
      </w:pPr>
      <w:r>
        <w:rPr>
          <w:rFonts w:hint="eastAsia" w:ascii="Times New Roman" w:hAnsi="Times New Roman"/>
          <w:sz w:val="18"/>
        </w:rPr>
        <w:footnoteRef/>
      </w:r>
      <w:r>
        <w:rPr>
          <w:rFonts w:hint="eastAsia" w:ascii="Times New Roman" w:hAnsi="Times New Roman"/>
          <w:sz w:val="18"/>
        </w:rPr>
        <w:t xml:space="preserve"> 田某</w:t>
      </w:r>
      <w:r>
        <w:rPr>
          <w:rFonts w:hint="eastAsia" w:ascii="Times New Roman" w:hAnsi="Times New Roman"/>
          <w:sz w:val="18"/>
          <w:lang w:val="en-US" w:eastAsia="zh-CN"/>
        </w:rPr>
        <w:t>诉</w:t>
      </w:r>
      <w:r>
        <w:rPr>
          <w:rFonts w:hint="eastAsia" w:ascii="Times New Roman" w:hAnsi="Times New Roman"/>
          <w:sz w:val="18"/>
        </w:rPr>
        <w:t>新疆某公司等证券虚假陈述责任纠纷</w:t>
      </w:r>
      <w:r>
        <w:rPr>
          <w:rFonts w:hint="eastAsia" w:ascii="Times New Roman" w:hAnsi="Times New Roman"/>
          <w:sz w:val="18"/>
          <w:lang w:val="en-US" w:eastAsia="zh-CN"/>
        </w:rPr>
        <w:t>案，新疆维吾尔自治区高级人民法院</w:t>
      </w:r>
      <w:r>
        <w:rPr>
          <w:rFonts w:hint="eastAsia" w:ascii="Times New Roman" w:hAnsi="Times New Roman"/>
          <w:sz w:val="18"/>
        </w:rPr>
        <w:t>（2024）新民终61号民事判决书</w:t>
      </w:r>
      <w:r>
        <w:rPr>
          <w:rFonts w:hint="eastAsia" w:ascii="Times New Roman" w:hAnsi="Times New Roman"/>
          <w:sz w:val="18"/>
          <w:lang w:eastAsia="zh-CN"/>
        </w:rPr>
        <w:t>。</w:t>
      </w:r>
    </w:p>
  </w:footnote>
  <w:footnote w:id="45">
    <w:p w14:paraId="112DD6F0">
      <w:pPr>
        <w:pStyle w:val="12"/>
        <w:snapToGrid w:val="0"/>
        <w:rPr>
          <w:rFonts w:ascii="Times New Roman" w:hAnsi="Times New Roman"/>
          <w:sz w:val="18"/>
        </w:rPr>
      </w:pPr>
      <w:r>
        <w:rPr>
          <w:rFonts w:hint="eastAsia" w:ascii="Times New Roman" w:hAnsi="Times New Roman"/>
          <w:sz w:val="18"/>
        </w:rPr>
        <w:footnoteRef/>
      </w:r>
      <w:r>
        <w:rPr>
          <w:rFonts w:hint="eastAsia" w:ascii="Times New Roman" w:hAnsi="Times New Roman"/>
          <w:sz w:val="18"/>
        </w:rPr>
        <w:t xml:space="preserve"> 某公司等</w:t>
      </w:r>
      <w:r>
        <w:rPr>
          <w:rFonts w:hint="eastAsia" w:ascii="Times New Roman" w:hAnsi="Times New Roman"/>
          <w:sz w:val="18"/>
          <w:lang w:val="en-US" w:eastAsia="zh-CN"/>
        </w:rPr>
        <w:t>诉</w:t>
      </w:r>
      <w:r>
        <w:rPr>
          <w:rFonts w:hint="eastAsia" w:ascii="Times New Roman" w:hAnsi="Times New Roman"/>
          <w:sz w:val="18"/>
        </w:rPr>
        <w:t>某公司2等证券虚假陈述责任纠纷</w:t>
      </w:r>
      <w:r>
        <w:rPr>
          <w:rFonts w:hint="eastAsia" w:ascii="Times New Roman" w:hAnsi="Times New Roman"/>
          <w:sz w:val="18"/>
          <w:lang w:val="en-US" w:eastAsia="zh-CN"/>
        </w:rPr>
        <w:t>案</w:t>
      </w:r>
      <w:r>
        <w:rPr>
          <w:rFonts w:hint="eastAsia" w:ascii="Times New Roman" w:hAnsi="Times New Roman"/>
          <w:sz w:val="18"/>
          <w:lang w:eastAsia="zh-CN"/>
        </w:rPr>
        <w:t>，</w:t>
      </w:r>
      <w:r>
        <w:rPr>
          <w:rFonts w:hint="eastAsia" w:ascii="Times New Roman" w:hAnsi="Times New Roman"/>
          <w:sz w:val="18"/>
          <w:lang w:val="en-US" w:eastAsia="zh-CN"/>
        </w:rPr>
        <w:t>北京市高级人民法院</w:t>
      </w:r>
      <w:r>
        <w:rPr>
          <w:rFonts w:hint="eastAsia" w:ascii="Times New Roman" w:hAnsi="Times New Roman"/>
          <w:sz w:val="18"/>
        </w:rPr>
        <w:t>（2024）京民终666号</w:t>
      </w:r>
      <w:r>
        <w:rPr>
          <w:rFonts w:hint="eastAsia" w:ascii="Times New Roman" w:hAnsi="Times New Roman"/>
          <w:sz w:val="18"/>
          <w:lang w:val="en-US" w:eastAsia="zh-CN"/>
        </w:rPr>
        <w:t>民事判决书。</w:t>
      </w:r>
    </w:p>
  </w:footnote>
  <w:footnote w:id="46">
    <w:p w14:paraId="5B4CA39A">
      <w:pPr>
        <w:pStyle w:val="12"/>
        <w:snapToGrid w:val="0"/>
        <w:rPr>
          <w:rFonts w:hint="default" w:ascii="Times New Roman" w:hAnsi="Times New Roman"/>
          <w:sz w:val="18"/>
          <w:lang w:val="en-US"/>
        </w:rPr>
      </w:pPr>
      <w:r>
        <w:rPr>
          <w:rStyle w:val="22"/>
          <w:rFonts w:ascii="Times New Roman" w:hAnsi="Times New Roman"/>
          <w:sz w:val="18"/>
        </w:rPr>
        <w:footnoteRef/>
      </w:r>
      <w:r>
        <w:rPr>
          <w:rFonts w:ascii="Times New Roman" w:hAnsi="Times New Roman"/>
          <w:sz w:val="18"/>
        </w:rPr>
        <w:t xml:space="preserve"> </w:t>
      </w:r>
      <w:r>
        <w:rPr>
          <w:rFonts w:ascii="Times New Roman" w:hAnsi="Times New Roman"/>
          <w:sz w:val="18"/>
        </w:rPr>
        <w:fldChar w:fldCharType="begin"/>
      </w:r>
      <w:r>
        <w:rPr>
          <w:rFonts w:ascii="Times New Roman" w:hAnsi="Times New Roman"/>
          <w:sz w:val="18"/>
        </w:rPr>
        <w:instrText xml:space="preserve"> HYPERLINK "https://www.pkulaw.com/pfnl/c7ed112b8012f816dbd01f2fc42ef76bec5a6448f9574419bdfb.html?keyword=%EF%BC%882024%EF%BC%89%E8%B1%AB%E6%B0%91%E7%BB%8886%E5%8F%B7&amp;way=listView" \t "https://www.pkulaw.com/_blank" </w:instrText>
      </w:r>
      <w:r>
        <w:rPr>
          <w:rFonts w:ascii="Times New Roman" w:hAnsi="Times New Roman"/>
          <w:sz w:val="18"/>
        </w:rPr>
        <w:fldChar w:fldCharType="separate"/>
      </w:r>
      <w:r>
        <w:rPr>
          <w:rFonts w:hint="eastAsia" w:ascii="Times New Roman" w:hAnsi="Times New Roman"/>
          <w:sz w:val="18"/>
        </w:rPr>
        <w:t>湖北某科技公司与洛阳某甲有限公司等证券虚假陈述责任纠纷</w:t>
      </w:r>
      <w:r>
        <w:rPr>
          <w:rFonts w:hint="eastAsia" w:ascii="Times New Roman" w:hAnsi="Times New Roman"/>
          <w:sz w:val="18"/>
        </w:rPr>
        <w:fldChar w:fldCharType="end"/>
      </w:r>
      <w:r>
        <w:rPr>
          <w:rFonts w:hint="eastAsia" w:ascii="Times New Roman" w:hAnsi="Times New Roman"/>
          <w:sz w:val="18"/>
          <w:lang w:val="en-US" w:eastAsia="zh-CN"/>
        </w:rPr>
        <w:t>案，河南省高级人民法院（2024）豫民终86号民事判决书。</w:t>
      </w:r>
    </w:p>
  </w:footnote>
  <w:footnote w:id="47">
    <w:p w14:paraId="315176F9">
      <w:pPr>
        <w:pStyle w:val="12"/>
        <w:snapToGrid w:val="0"/>
        <w:rPr>
          <w:rFonts w:ascii="Times New Roman" w:hAnsi="Times New Roman"/>
          <w:sz w:val="18"/>
        </w:rPr>
      </w:pPr>
      <w:r>
        <w:rPr>
          <w:rFonts w:hint="eastAsia" w:ascii="Times New Roman" w:hAnsi="Times New Roman"/>
          <w:sz w:val="18"/>
        </w:rPr>
        <w:footnoteRef/>
      </w:r>
      <w:r>
        <w:rPr>
          <w:rFonts w:hint="eastAsia" w:ascii="Times New Roman" w:hAnsi="Times New Roman"/>
          <w:sz w:val="18"/>
        </w:rPr>
        <w:t xml:space="preserve"> 北京某某鑫牛润瀛股权投资基金</w:t>
      </w:r>
      <w:r>
        <w:rPr>
          <w:rFonts w:hint="eastAsia" w:ascii="Times New Roman" w:hAnsi="Times New Roman"/>
          <w:sz w:val="18"/>
          <w:lang w:val="en-US" w:eastAsia="zh-CN"/>
        </w:rPr>
        <w:t>诉</w:t>
      </w:r>
      <w:r>
        <w:rPr>
          <w:rFonts w:hint="eastAsia" w:ascii="Times New Roman" w:hAnsi="Times New Roman"/>
          <w:sz w:val="18"/>
        </w:rPr>
        <w:t>某某建投证券股份有限公司证券虚假陈述责任纠纷</w:t>
      </w:r>
      <w:r>
        <w:rPr>
          <w:rFonts w:hint="eastAsia" w:ascii="Times New Roman" w:hAnsi="Times New Roman"/>
          <w:sz w:val="18"/>
          <w:lang w:val="en-US" w:eastAsia="zh-CN"/>
        </w:rPr>
        <w:t>案</w:t>
      </w:r>
      <w:r>
        <w:rPr>
          <w:rFonts w:hint="eastAsia" w:ascii="Times New Roman" w:hAnsi="Times New Roman"/>
          <w:sz w:val="18"/>
          <w:lang w:eastAsia="zh-CN"/>
        </w:rPr>
        <w:t>，</w:t>
      </w:r>
      <w:r>
        <w:rPr>
          <w:rFonts w:hint="eastAsia" w:ascii="Times New Roman" w:hAnsi="Times New Roman"/>
          <w:sz w:val="18"/>
          <w:lang w:val="en-US" w:eastAsia="zh-CN"/>
        </w:rPr>
        <w:t>山东省高级人民法院（</w:t>
      </w:r>
      <w:r>
        <w:rPr>
          <w:rFonts w:hint="eastAsia" w:ascii="Times New Roman" w:hAnsi="Times New Roman"/>
          <w:sz w:val="18"/>
        </w:rPr>
        <w:t>2023</w:t>
      </w:r>
      <w:r>
        <w:rPr>
          <w:rFonts w:hint="eastAsia" w:ascii="Times New Roman" w:hAnsi="Times New Roman"/>
          <w:sz w:val="18"/>
          <w:lang w:eastAsia="zh-CN"/>
        </w:rPr>
        <w:t>）</w:t>
      </w:r>
      <w:r>
        <w:rPr>
          <w:rFonts w:hint="eastAsia" w:ascii="Times New Roman" w:hAnsi="Times New Roman"/>
          <w:sz w:val="18"/>
        </w:rPr>
        <w:t>鲁民终356号</w:t>
      </w:r>
      <w:r>
        <w:rPr>
          <w:rFonts w:hint="eastAsia" w:ascii="Times New Roman" w:hAnsi="Times New Roman"/>
          <w:sz w:val="18"/>
          <w:lang w:val="en-US" w:eastAsia="zh-CN"/>
        </w:rPr>
        <w:t>民事判决书。</w:t>
      </w:r>
    </w:p>
  </w:footnote>
  <w:footnote w:id="48">
    <w:p w14:paraId="2417FCA7">
      <w:pPr>
        <w:pStyle w:val="12"/>
        <w:snapToGrid w:val="0"/>
        <w:rPr>
          <w:rFonts w:hint="eastAsia" w:ascii="Times New Roman" w:hAnsi="Times New Roman" w:eastAsia="宋体"/>
          <w:sz w:val="18"/>
          <w:lang w:eastAsia="zh-CN"/>
        </w:rPr>
      </w:pPr>
      <w:r>
        <w:rPr>
          <w:rFonts w:hint="default" w:ascii="Times New Roman" w:hAnsi="Times New Roman" w:cs="Times New Roman"/>
          <w:sz w:val="18"/>
        </w:rPr>
        <w:footnoteRef/>
      </w:r>
      <w:r>
        <w:rPr>
          <w:rFonts w:ascii="Times New Roman" w:hAnsi="Times New Roman"/>
          <w:sz w:val="18"/>
        </w:rPr>
        <w:t xml:space="preserve"> 盛焕炜、朱川：《</w:t>
      </w:r>
      <w:r>
        <w:rPr>
          <w:rFonts w:ascii="Times New Roman" w:hAnsi="Times New Roman"/>
          <w:sz w:val="18"/>
        </w:rPr>
        <w:fldChar w:fldCharType="begin"/>
      </w:r>
      <w:r>
        <w:rPr>
          <w:rFonts w:ascii="Times New Roman" w:hAnsi="Times New Roman"/>
          <w:sz w:val="18"/>
        </w:rPr>
        <w:instrText xml:space="preserve"> HYPERLINK "https://www.pkulaw.com/qikan/6bfa4b608ed1dcb3ea25c3b4971ab262bdfb.html?way=textSlc" \l "tiao_0" </w:instrText>
      </w:r>
      <w:r>
        <w:rPr>
          <w:rFonts w:ascii="Times New Roman" w:hAnsi="Times New Roman"/>
          <w:sz w:val="18"/>
        </w:rPr>
        <w:fldChar w:fldCharType="separate"/>
      </w:r>
      <w:r>
        <w:rPr>
          <w:rFonts w:ascii="Times New Roman" w:hAnsi="Times New Roman"/>
          <w:sz w:val="18"/>
        </w:rPr>
        <w:t>证券虚假陈述民事赔偿因果关系论</w:t>
      </w:r>
      <w:r>
        <w:rPr>
          <w:rFonts w:ascii="Times New Roman" w:hAnsi="Times New Roman"/>
          <w:sz w:val="18"/>
        </w:rPr>
        <w:fldChar w:fldCharType="end"/>
      </w:r>
      <w:r>
        <w:rPr>
          <w:rFonts w:ascii="Times New Roman" w:hAnsi="Times New Roman"/>
          <w:sz w:val="18"/>
        </w:rPr>
        <w:t>》，</w:t>
      </w:r>
      <w:r>
        <w:rPr>
          <w:rFonts w:hint="eastAsia" w:ascii="Times New Roman" w:hAnsi="Times New Roman"/>
          <w:sz w:val="18"/>
          <w:lang w:val="en-US" w:eastAsia="zh-CN"/>
        </w:rPr>
        <w:t>载</w:t>
      </w:r>
      <w:r>
        <w:rPr>
          <w:rFonts w:ascii="Times New Roman" w:hAnsi="Times New Roman"/>
          <w:sz w:val="18"/>
        </w:rPr>
        <w:t>《法学》2003年第6期</w:t>
      </w:r>
      <w:r>
        <w:rPr>
          <w:rFonts w:hint="eastAsia" w:ascii="Times New Roman" w:hAnsi="Times New Roman"/>
          <w:sz w:val="18"/>
          <w:lang w:eastAsia="zh-CN"/>
        </w:rPr>
        <w:t>。</w:t>
      </w:r>
    </w:p>
  </w:footnote>
  <w:footnote w:id="49">
    <w:p w14:paraId="2E4ACC28">
      <w:pPr>
        <w:pStyle w:val="12"/>
        <w:snapToGrid w:val="0"/>
        <w:rPr>
          <w:rFonts w:hint="eastAsia" w:ascii="Times New Roman" w:hAnsi="Times New Roman" w:eastAsia="宋体"/>
          <w:sz w:val="18"/>
          <w:lang w:eastAsia="zh-CN"/>
        </w:rPr>
      </w:pPr>
      <w:r>
        <w:rPr>
          <w:rFonts w:hint="default" w:ascii="Times New Roman" w:hAnsi="Times New Roman" w:cs="Times New Roman"/>
          <w:sz w:val="18"/>
        </w:rPr>
        <w:footnoteRef/>
      </w:r>
      <w:r>
        <w:rPr>
          <w:rFonts w:hint="eastAsia" w:ascii="Times New Roman" w:hAnsi="Times New Roman"/>
          <w:sz w:val="18"/>
        </w:rPr>
        <w:t xml:space="preserve"> 胡某</w:t>
      </w:r>
      <w:r>
        <w:rPr>
          <w:rFonts w:hint="eastAsia" w:ascii="Times New Roman" w:hAnsi="Times New Roman"/>
          <w:sz w:val="18"/>
          <w:lang w:val="en-US" w:eastAsia="zh-CN"/>
        </w:rPr>
        <w:t>诉</w:t>
      </w:r>
      <w:r>
        <w:rPr>
          <w:rFonts w:hint="eastAsia" w:ascii="Times New Roman" w:hAnsi="Times New Roman"/>
          <w:sz w:val="18"/>
        </w:rPr>
        <w:t>某某事务所等证券虚假陈述责任纠纷</w:t>
      </w:r>
      <w:r>
        <w:rPr>
          <w:rFonts w:hint="eastAsia" w:ascii="Times New Roman" w:hAnsi="Times New Roman"/>
          <w:sz w:val="18"/>
          <w:lang w:val="en-US" w:eastAsia="zh-CN"/>
        </w:rPr>
        <w:t>案，江苏省高级人民法院</w:t>
      </w:r>
      <w:r>
        <w:rPr>
          <w:rFonts w:hint="eastAsia" w:ascii="Times New Roman" w:hAnsi="Times New Roman"/>
          <w:sz w:val="18"/>
        </w:rPr>
        <w:t>（2023）苏民终6号民事判决书</w:t>
      </w:r>
      <w:r>
        <w:rPr>
          <w:rFonts w:hint="eastAsia" w:ascii="Times New Roman" w:hAnsi="Times New Roman"/>
          <w:sz w:val="18"/>
          <w:lang w:eastAsia="zh-CN"/>
        </w:rPr>
        <w:t>。</w:t>
      </w:r>
    </w:p>
  </w:footnote>
  <w:footnote w:id="50">
    <w:p w14:paraId="4EC7FDB1">
      <w:pPr>
        <w:pStyle w:val="12"/>
        <w:snapToGrid w:val="0"/>
        <w:rPr>
          <w:rFonts w:hint="eastAsia" w:ascii="Times New Roman" w:hAnsi="Times New Roman" w:eastAsia="宋体"/>
          <w:sz w:val="18"/>
          <w:lang w:eastAsia="zh-CN"/>
        </w:rPr>
      </w:pPr>
      <w:r>
        <w:rPr>
          <w:rFonts w:hint="eastAsia" w:ascii="Times New Roman" w:hAnsi="Times New Roman"/>
          <w:sz w:val="18"/>
        </w:rPr>
        <w:footnoteRef/>
      </w:r>
      <w:r>
        <w:rPr>
          <w:rFonts w:hint="eastAsia" w:ascii="Times New Roman" w:hAnsi="Times New Roman"/>
          <w:sz w:val="18"/>
        </w:rPr>
        <w:t xml:space="preserve"> 邓某某</w:t>
      </w:r>
      <w:r>
        <w:rPr>
          <w:rFonts w:hint="eastAsia" w:ascii="Times New Roman" w:hAnsi="Times New Roman"/>
          <w:sz w:val="18"/>
          <w:lang w:val="en-US" w:eastAsia="zh-CN"/>
        </w:rPr>
        <w:t>诉</w:t>
      </w:r>
      <w:r>
        <w:rPr>
          <w:rFonts w:hint="eastAsia" w:ascii="Times New Roman" w:hAnsi="Times New Roman"/>
          <w:sz w:val="18"/>
        </w:rPr>
        <w:t>某某事务所等证券虚假陈述责任纠纷</w:t>
      </w:r>
      <w:r>
        <w:rPr>
          <w:rFonts w:hint="eastAsia" w:ascii="Times New Roman" w:hAnsi="Times New Roman"/>
          <w:sz w:val="18"/>
          <w:lang w:val="en-US" w:eastAsia="zh-CN"/>
        </w:rPr>
        <w:t>案，江苏省高级人民法院</w:t>
      </w:r>
      <w:r>
        <w:rPr>
          <w:rFonts w:hint="eastAsia" w:ascii="Times New Roman" w:hAnsi="Times New Roman"/>
          <w:sz w:val="18"/>
        </w:rPr>
        <w:t>（2023）苏民终1号民事判决书</w:t>
      </w:r>
      <w:r>
        <w:rPr>
          <w:rFonts w:hint="eastAsia" w:ascii="Times New Roman" w:hAnsi="Times New Roman"/>
          <w:sz w:val="18"/>
          <w:lang w:eastAsia="zh-CN"/>
        </w:rPr>
        <w:t>。</w:t>
      </w:r>
    </w:p>
  </w:footnote>
  <w:footnote w:id="51">
    <w:p w14:paraId="3DB59FDC">
      <w:pPr>
        <w:pStyle w:val="12"/>
        <w:snapToGrid w:val="0"/>
        <w:rPr>
          <w:rFonts w:ascii="Times New Roman" w:hAnsi="Times New Roman"/>
          <w:sz w:val="18"/>
        </w:rPr>
      </w:pPr>
      <w:r>
        <w:rPr>
          <w:rStyle w:val="22"/>
          <w:rFonts w:ascii="Times New Roman" w:hAnsi="Times New Roman"/>
          <w:sz w:val="18"/>
        </w:rPr>
        <w:footnoteRef/>
      </w:r>
      <w:r>
        <w:rPr>
          <w:rFonts w:ascii="Times New Roman" w:hAnsi="Times New Roman"/>
          <w:sz w:val="18"/>
        </w:rPr>
        <w:t xml:space="preserve"> 广东省高级人民法院：《广东法院证券虚假陈述侵权案件审判白皮书（2022</w:t>
      </w:r>
      <w:r>
        <w:rPr>
          <w:rFonts w:hint="eastAsia" w:ascii="Times New Roman" w:hAnsi="Times New Roman"/>
          <w:sz w:val="18"/>
          <w:lang w:val="en-US" w:eastAsia="zh-CN"/>
        </w:rPr>
        <w:t>-</w:t>
      </w:r>
      <w:r>
        <w:rPr>
          <w:rFonts w:ascii="Times New Roman" w:hAnsi="Times New Roman"/>
          <w:sz w:val="18"/>
        </w:rPr>
        <w:t>2024）》，2024年7月发布，第</w:t>
      </w:r>
      <w:r>
        <w:rPr>
          <w:rFonts w:hint="eastAsia" w:ascii="Times New Roman" w:hAnsi="Times New Roman"/>
          <w:sz w:val="18"/>
          <w:lang w:val="en-US" w:eastAsia="zh-CN"/>
        </w:rPr>
        <w:t>39</w:t>
      </w:r>
      <w:r>
        <w:rPr>
          <w:rFonts w:ascii="Times New Roman" w:hAnsi="Times New Roman"/>
          <w:sz w:val="18"/>
        </w:rPr>
        <w:t>页。</w:t>
      </w:r>
    </w:p>
  </w:footnote>
  <w:footnote w:id="52">
    <w:p w14:paraId="362C93A7">
      <w:pPr>
        <w:pStyle w:val="12"/>
        <w:snapToGrid w:val="0"/>
        <w:rPr>
          <w:rFonts w:ascii="Times New Roman" w:hAnsi="Times New Roman"/>
          <w:sz w:val="18"/>
        </w:rPr>
      </w:pPr>
      <w:r>
        <w:rPr>
          <w:rFonts w:hint="eastAsia" w:ascii="Times New Roman" w:hAnsi="Times New Roman"/>
          <w:sz w:val="18"/>
          <w:vertAlign w:val="baseline"/>
          <w:lang w:val="en-US" w:eastAsia="zh-CN"/>
        </w:rPr>
        <w:footnoteRef/>
      </w:r>
      <w:r>
        <w:rPr>
          <w:rFonts w:ascii="Times New Roman" w:hAnsi="Times New Roman"/>
          <w:sz w:val="18"/>
        </w:rPr>
        <w:t xml:space="preserve"> </w:t>
      </w:r>
      <w:r>
        <w:rPr>
          <w:rFonts w:ascii="Times New Roman" w:hAnsi="Times New Roman"/>
          <w:sz w:val="18"/>
          <w:vertAlign w:val="baseline"/>
        </w:rPr>
        <w:fldChar w:fldCharType="begin"/>
      </w:r>
      <w:r>
        <w:rPr>
          <w:rFonts w:ascii="Times New Roman" w:hAnsi="Times New Roman"/>
          <w:sz w:val="18"/>
          <w:vertAlign w:val="baseline"/>
        </w:rPr>
        <w:instrText xml:space="preserve"> HYPERLINK "https://www.pkulaw.com/journal/findarticle?SearchKeywordType=Author&amp;Keywords=%e9%82%a2%e4%bc%9a%e5%bc%ba" \t "_blank" </w:instrText>
      </w:r>
      <w:r>
        <w:rPr>
          <w:rFonts w:ascii="Times New Roman" w:hAnsi="Times New Roman"/>
          <w:sz w:val="18"/>
          <w:vertAlign w:val="baseline"/>
        </w:rPr>
        <w:fldChar w:fldCharType="separate"/>
      </w:r>
      <w:r>
        <w:rPr>
          <w:rFonts w:ascii="Times New Roman" w:hAnsi="Times New Roman"/>
          <w:sz w:val="18"/>
          <w:vertAlign w:val="baseline"/>
        </w:rPr>
        <w:t>邢会强</w:t>
      </w:r>
      <w:r>
        <w:rPr>
          <w:rFonts w:ascii="Times New Roman" w:hAnsi="Times New Roman"/>
          <w:sz w:val="18"/>
          <w:vertAlign w:val="baseline"/>
        </w:rPr>
        <w:fldChar w:fldCharType="end"/>
      </w:r>
      <w:r>
        <w:rPr>
          <w:rFonts w:hint="eastAsia" w:ascii="Times New Roman" w:hAnsi="Times New Roman"/>
          <w:sz w:val="18"/>
          <w:vertAlign w:val="baseline"/>
          <w:lang w:eastAsia="zh-CN"/>
        </w:rPr>
        <w:t>：《</w:t>
      </w:r>
      <w:r>
        <w:rPr>
          <w:rFonts w:hint="eastAsia" w:ascii="Times New Roman" w:hAnsi="Times New Roman"/>
          <w:sz w:val="18"/>
          <w:vertAlign w:val="baseline"/>
          <w:lang w:val="en-US" w:eastAsia="zh-CN"/>
        </w:rPr>
        <w:t>我国证券虚假陈述侵权责任归返模式之重构</w:t>
      </w:r>
      <w:r>
        <w:rPr>
          <w:rFonts w:hint="eastAsia" w:ascii="Times New Roman" w:hAnsi="Times New Roman"/>
          <w:sz w:val="18"/>
          <w:vertAlign w:val="baseline"/>
          <w:lang w:eastAsia="zh-CN"/>
        </w:rPr>
        <w:t>》，</w:t>
      </w:r>
      <w:r>
        <w:rPr>
          <w:rFonts w:hint="eastAsia" w:ascii="Times New Roman" w:hAnsi="Times New Roman"/>
          <w:sz w:val="18"/>
          <w:vertAlign w:val="baseline"/>
          <w:lang w:val="en-US" w:eastAsia="zh-CN"/>
        </w:rPr>
        <w:t>载《法学研究》2025年第1期。</w:t>
      </w:r>
    </w:p>
  </w:footnote>
  <w:footnote w:id="53">
    <w:p w14:paraId="20C0C40A">
      <w:pPr>
        <w:pStyle w:val="12"/>
        <w:snapToGrid w:val="0"/>
        <w:rPr>
          <w:rFonts w:ascii="Times New Roman" w:hAnsi="Times New Roman"/>
          <w:sz w:val="18"/>
        </w:rPr>
      </w:pPr>
      <w:r>
        <w:rPr>
          <w:rFonts w:hint="eastAsia" w:ascii="Times New Roman" w:hAnsi="Times New Roman"/>
          <w:sz w:val="18"/>
        </w:rPr>
        <w:footnoteRef/>
      </w:r>
      <w:r>
        <w:rPr>
          <w:rFonts w:hint="eastAsia" w:ascii="Times New Roman" w:hAnsi="Times New Roman"/>
          <w:sz w:val="18"/>
        </w:rPr>
        <w:t xml:space="preserve"> </w:t>
      </w:r>
      <w:r>
        <w:rPr>
          <w:rFonts w:hint="eastAsia" w:ascii="Times New Roman" w:hAnsi="Times New Roman"/>
          <w:sz w:val="18"/>
        </w:rPr>
        <w:fldChar w:fldCharType="begin"/>
      </w:r>
      <w:r>
        <w:rPr>
          <w:rFonts w:hint="eastAsia" w:ascii="Times New Roman" w:hAnsi="Times New Roman"/>
          <w:sz w:val="18"/>
        </w:rPr>
        <w:instrText xml:space="preserve"> HYPERLINK "https://www.pkulaw.com/journal/findarticle?SearchKeywordType=Author&amp;Keywords=%e8%99%9e%e6%9d%8e%e8%be%89" \t "_blank" </w:instrText>
      </w:r>
      <w:r>
        <w:rPr>
          <w:rFonts w:hint="eastAsia" w:ascii="Times New Roman" w:hAnsi="Times New Roman"/>
          <w:sz w:val="18"/>
        </w:rPr>
        <w:fldChar w:fldCharType="separate"/>
      </w:r>
      <w:r>
        <w:rPr>
          <w:rFonts w:hint="eastAsia" w:ascii="Times New Roman" w:hAnsi="Times New Roman"/>
          <w:sz w:val="18"/>
        </w:rPr>
        <w:t>虞李辉</w:t>
      </w:r>
      <w:r>
        <w:rPr>
          <w:rFonts w:hint="eastAsia" w:ascii="Times New Roman" w:hAnsi="Times New Roman"/>
          <w:sz w:val="18"/>
        </w:rPr>
        <w:fldChar w:fldCharType="end"/>
      </w:r>
      <w:r>
        <w:rPr>
          <w:rFonts w:hint="eastAsia" w:ascii="Times New Roman" w:hAnsi="Times New Roman"/>
          <w:sz w:val="18"/>
          <w:vertAlign w:val="baseline"/>
          <w:lang w:eastAsia="zh-CN"/>
        </w:rPr>
        <w:t>：《</w:t>
      </w:r>
      <w:r>
        <w:rPr>
          <w:rFonts w:ascii="Times New Roman" w:hAnsi="Times New Roman"/>
          <w:sz w:val="18"/>
          <w:vertAlign w:val="baseline"/>
        </w:rPr>
        <w:t>证券虚假陈述案中中介机构责后追偿问题研究</w:t>
      </w:r>
      <w:r>
        <w:rPr>
          <w:rFonts w:hint="eastAsia" w:ascii="Times New Roman" w:hAnsi="Times New Roman"/>
          <w:sz w:val="18"/>
          <w:vertAlign w:val="baseline"/>
          <w:lang w:eastAsia="zh-CN"/>
        </w:rPr>
        <w:t>》，</w:t>
      </w:r>
      <w:r>
        <w:rPr>
          <w:rFonts w:hint="eastAsia" w:ascii="Times New Roman" w:hAnsi="Times New Roman"/>
          <w:sz w:val="18"/>
          <w:vertAlign w:val="baseline"/>
          <w:lang w:val="en-US" w:eastAsia="zh-CN"/>
        </w:rPr>
        <w:t>载《法学》2024年第9期。</w:t>
      </w:r>
    </w:p>
  </w:footnote>
  <w:footnote w:id="54">
    <w:p w14:paraId="1596CBB7">
      <w:pPr>
        <w:pStyle w:val="12"/>
        <w:snapToGrid w:val="0"/>
        <w:rPr>
          <w:rFonts w:ascii="Times New Roman" w:hAnsi="Times New Roman"/>
          <w:sz w:val="18"/>
        </w:rPr>
      </w:pPr>
      <w:r>
        <w:rPr>
          <w:rFonts w:hint="eastAsia" w:ascii="Times New Roman" w:hAnsi="Times New Roman"/>
          <w:sz w:val="18"/>
          <w:lang w:val="en-US" w:eastAsia="zh-CN"/>
        </w:rPr>
        <w:footnoteRef/>
      </w:r>
      <w:r>
        <w:rPr>
          <w:rFonts w:hint="eastAsia" w:ascii="Times New Roman" w:hAnsi="Times New Roman"/>
          <w:sz w:val="18"/>
          <w:lang w:val="en-US" w:eastAsia="zh-CN"/>
        </w:rPr>
        <w:t xml:space="preserve"> 陈</w:t>
      </w:r>
      <w:r>
        <w:rPr>
          <w:rFonts w:ascii="Times New Roman" w:hAnsi="Times New Roman"/>
          <w:sz w:val="18"/>
        </w:rPr>
        <w:t>广辉</w:t>
      </w:r>
      <w:r>
        <w:rPr>
          <w:rFonts w:hint="eastAsia" w:ascii="Times New Roman" w:hAnsi="Times New Roman"/>
          <w:sz w:val="18"/>
          <w:lang w:eastAsia="zh-CN"/>
        </w:rPr>
        <w:t>：</w:t>
      </w:r>
      <w:r>
        <w:rPr>
          <w:rFonts w:ascii="Times New Roman" w:hAnsi="Times New Roman"/>
          <w:sz w:val="18"/>
        </w:rPr>
        <w:t>《证券虚假陈述侵权损失核定的路径选择》</w:t>
      </w:r>
      <w:r>
        <w:rPr>
          <w:rFonts w:hint="eastAsia" w:ascii="Times New Roman" w:hAnsi="Times New Roman"/>
          <w:sz w:val="18"/>
          <w:lang w:eastAsia="zh-CN"/>
        </w:rPr>
        <w:t>，</w:t>
      </w:r>
      <w:r>
        <w:rPr>
          <w:rFonts w:hint="eastAsia" w:ascii="Times New Roman" w:hAnsi="Times New Roman"/>
          <w:sz w:val="18"/>
          <w:lang w:val="en-US" w:eastAsia="zh-CN"/>
        </w:rPr>
        <w:t>载《政法论坛》2023年第6期。</w:t>
      </w:r>
    </w:p>
  </w:footnote>
  <w:footnote w:id="55">
    <w:p w14:paraId="5B6AEFE8">
      <w:pPr>
        <w:pStyle w:val="12"/>
        <w:snapToGrid w:val="0"/>
        <w:rPr>
          <w:rFonts w:ascii="Times New Roman" w:hAnsi="Times New Roman"/>
          <w:sz w:val="18"/>
        </w:rPr>
      </w:pPr>
      <w:r>
        <w:rPr>
          <w:rFonts w:hint="eastAsia" w:ascii="Times New Roman" w:hAnsi="Times New Roman"/>
          <w:sz w:val="18"/>
          <w:lang w:eastAsia="zh-CN"/>
        </w:rPr>
        <w:footnoteRef/>
      </w:r>
      <w:r>
        <w:rPr>
          <w:rFonts w:hint="eastAsia" w:ascii="Times New Roman" w:hAnsi="Times New Roman"/>
          <w:sz w:val="18"/>
          <w:lang w:eastAsia="zh-CN"/>
        </w:rPr>
        <w:t xml:space="preserve"> </w:t>
      </w:r>
      <w:r>
        <w:rPr>
          <w:rFonts w:ascii="Times New Roman" w:hAnsi="Times New Roman"/>
          <w:sz w:val="18"/>
        </w:rPr>
        <w:fldChar w:fldCharType="begin"/>
      </w:r>
      <w:r>
        <w:rPr>
          <w:rFonts w:ascii="Times New Roman" w:hAnsi="Times New Roman"/>
          <w:sz w:val="18"/>
        </w:rPr>
        <w:instrText xml:space="preserve"> HYPERLINK "https://www.pkulaw.com/journal/findarticle?SearchKeywordType=Author&amp;Keywords=%e5%bd%ad%e5%86%b0" \t "_blank" </w:instrText>
      </w:r>
      <w:r>
        <w:rPr>
          <w:rFonts w:ascii="Times New Roman" w:hAnsi="Times New Roman"/>
          <w:sz w:val="18"/>
        </w:rPr>
        <w:fldChar w:fldCharType="separate"/>
      </w:r>
      <w:r>
        <w:rPr>
          <w:rFonts w:ascii="Times New Roman" w:hAnsi="Times New Roman"/>
          <w:sz w:val="18"/>
        </w:rPr>
        <w:t>彭冰</w:t>
      </w:r>
      <w:r>
        <w:rPr>
          <w:rFonts w:ascii="Times New Roman" w:hAnsi="Times New Roman"/>
          <w:sz w:val="18"/>
        </w:rPr>
        <w:fldChar w:fldCharType="end"/>
      </w:r>
      <w:r>
        <w:rPr>
          <w:rFonts w:hint="eastAsia" w:ascii="Times New Roman" w:hAnsi="Times New Roman"/>
          <w:sz w:val="18"/>
          <w:lang w:eastAsia="zh-CN"/>
        </w:rPr>
        <w:t>：《证券虚假陈述民事赔偿中的因果关系——司法解释的新发展评析》，</w:t>
      </w:r>
      <w:r>
        <w:rPr>
          <w:rFonts w:hint="eastAsia" w:ascii="Times New Roman" w:hAnsi="Times New Roman"/>
          <w:sz w:val="18"/>
          <w:lang w:val="en-US" w:eastAsia="zh-CN"/>
        </w:rPr>
        <w:t>载《法律适用》2022年第5期。</w:t>
      </w:r>
    </w:p>
  </w:footnote>
  <w:footnote w:id="56">
    <w:p w14:paraId="7C7CE378">
      <w:pPr>
        <w:pStyle w:val="12"/>
        <w:snapToGrid w:val="0"/>
        <w:rPr>
          <w:rFonts w:ascii="Times New Roman" w:hAnsi="Times New Roman"/>
          <w:sz w:val="18"/>
        </w:rPr>
      </w:pPr>
      <w:r>
        <w:rPr>
          <w:rStyle w:val="22"/>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陈广辉：《证券虚假陈述侵权损失核定的路径选择》，载《政法论坛》2023年第6期。</w:t>
      </w:r>
    </w:p>
  </w:footnote>
  <w:footnote w:id="57">
    <w:p w14:paraId="2DC99B9A">
      <w:pPr>
        <w:pStyle w:val="12"/>
        <w:snapToGrid w:val="0"/>
        <w:rPr>
          <w:rFonts w:ascii="Times New Roman" w:hAnsi="Times New Roman"/>
          <w:sz w:val="18"/>
        </w:rPr>
      </w:pPr>
      <w:r>
        <w:rPr>
          <w:rStyle w:val="22"/>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侯东德、张丽萍：《证券虚假陈述侵权损害赔偿中损失因果关系的认定》，载《湖北社会科学》2024年第11期。</w:t>
      </w:r>
    </w:p>
  </w:footnote>
  <w:footnote w:id="58">
    <w:p w14:paraId="0244E3D1">
      <w:pPr>
        <w:pStyle w:val="12"/>
        <w:snapToGrid w:val="0"/>
        <w:rPr>
          <w:rFonts w:ascii="Times New Roman" w:hAnsi="Times New Roman"/>
          <w:sz w:val="18"/>
        </w:rPr>
      </w:pPr>
      <w:r>
        <w:rPr>
          <w:rStyle w:val="22"/>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某产业投资股份有限公司、唐某等证券虚假陈述责任纠纷案，广西壮族自治区高级人民法院（2025）桂民终17号民事判决书。</w:t>
      </w:r>
    </w:p>
  </w:footnote>
  <w:footnote w:id="59">
    <w:p w14:paraId="797CA587">
      <w:pPr>
        <w:pStyle w:val="12"/>
        <w:snapToGrid w:val="0"/>
        <w:rPr>
          <w:rFonts w:ascii="Times New Roman" w:hAnsi="Times New Roman"/>
          <w:sz w:val="18"/>
        </w:rPr>
      </w:pPr>
      <w:r>
        <w:rPr>
          <w:rFonts w:hint="eastAsia" w:ascii="Times New Roman" w:hAnsi="Times New Roman"/>
          <w:sz w:val="18"/>
          <w:vertAlign w:val="baseline"/>
          <w:lang w:val="en-US" w:eastAsia="zh-CN"/>
        </w:rPr>
        <w:footnoteRef/>
      </w:r>
      <w:r>
        <w:rPr>
          <w:rFonts w:ascii="Times New Roman" w:hAnsi="Times New Roman"/>
          <w:sz w:val="18"/>
        </w:rPr>
        <w:t xml:space="preserve"> </w:t>
      </w:r>
      <w:r>
        <w:rPr>
          <w:rFonts w:ascii="Times New Roman" w:hAnsi="Times New Roman"/>
          <w:sz w:val="18"/>
          <w:vertAlign w:val="baseline"/>
        </w:rPr>
        <w:fldChar w:fldCharType="begin"/>
      </w:r>
      <w:r>
        <w:rPr>
          <w:rFonts w:ascii="Times New Roman" w:hAnsi="Times New Roman"/>
          <w:sz w:val="18"/>
          <w:vertAlign w:val="baseline"/>
        </w:rPr>
        <w:instrText xml:space="preserve"> HYPERLINK "https://www.pkulaw.com/journal/findarticle?SearchKeywordType=Author&amp;Keywords=%e9%82%a2%e4%bc%9a%e5%bc%ba" \t "_blank" </w:instrText>
      </w:r>
      <w:r>
        <w:rPr>
          <w:rFonts w:ascii="Times New Roman" w:hAnsi="Times New Roman"/>
          <w:sz w:val="18"/>
          <w:vertAlign w:val="baseline"/>
        </w:rPr>
        <w:fldChar w:fldCharType="separate"/>
      </w:r>
      <w:r>
        <w:rPr>
          <w:rFonts w:ascii="Times New Roman" w:hAnsi="Times New Roman"/>
          <w:sz w:val="18"/>
          <w:vertAlign w:val="baseline"/>
        </w:rPr>
        <w:t>邢会强</w:t>
      </w:r>
      <w:r>
        <w:rPr>
          <w:rFonts w:ascii="Times New Roman" w:hAnsi="Times New Roman"/>
          <w:sz w:val="18"/>
          <w:vertAlign w:val="baseline"/>
        </w:rPr>
        <w:fldChar w:fldCharType="end"/>
      </w:r>
      <w:r>
        <w:rPr>
          <w:rFonts w:hint="eastAsia" w:ascii="Times New Roman" w:hAnsi="Times New Roman"/>
          <w:sz w:val="18"/>
          <w:vertAlign w:val="baseline"/>
          <w:lang w:eastAsia="zh-CN"/>
        </w:rPr>
        <w:t>：《</w:t>
      </w:r>
      <w:r>
        <w:rPr>
          <w:rFonts w:hint="eastAsia" w:ascii="Times New Roman" w:hAnsi="Times New Roman"/>
          <w:sz w:val="18"/>
          <w:vertAlign w:val="baseline"/>
          <w:lang w:val="en-US" w:eastAsia="zh-CN"/>
        </w:rPr>
        <w:t>我国证券虚假陈述侵权责任归返模式之重构</w:t>
      </w:r>
      <w:r>
        <w:rPr>
          <w:rFonts w:hint="eastAsia" w:ascii="Times New Roman" w:hAnsi="Times New Roman"/>
          <w:sz w:val="18"/>
          <w:vertAlign w:val="baseline"/>
          <w:lang w:eastAsia="zh-CN"/>
        </w:rPr>
        <w:t>》，</w:t>
      </w:r>
      <w:r>
        <w:rPr>
          <w:rFonts w:hint="eastAsia" w:ascii="Times New Roman" w:hAnsi="Times New Roman"/>
          <w:sz w:val="18"/>
          <w:vertAlign w:val="baseline"/>
          <w:lang w:val="en-US" w:eastAsia="zh-CN"/>
        </w:rPr>
        <w:t>载《法学研究》2025年第1期。</w:t>
      </w:r>
    </w:p>
  </w:footnote>
  <w:footnote w:id="60">
    <w:p w14:paraId="5DA3B700">
      <w:pPr>
        <w:pStyle w:val="12"/>
        <w:snapToGrid w:val="0"/>
        <w:rPr>
          <w:rFonts w:hint="eastAsia" w:ascii="Times New Roman" w:hAnsi="Times New Roman" w:eastAsia="宋体"/>
          <w:sz w:val="18"/>
          <w:lang w:eastAsia="zh-CN"/>
        </w:rPr>
      </w:pPr>
      <w:r>
        <w:rPr>
          <w:rFonts w:ascii="Times New Roman" w:hAnsi="Times New Roman"/>
          <w:sz w:val="18"/>
        </w:rPr>
        <w:footnoteRef/>
      </w:r>
      <w:r>
        <w:rPr>
          <w:rFonts w:ascii="Times New Roman" w:hAnsi="Times New Roman"/>
          <w:sz w:val="18"/>
        </w:rPr>
        <w:t xml:space="preserve"> 汤欣、张鑫渝：《股票非公开发行虚假陈述中的交易因果关系认定》，载《证券法苑》2024年第1期</w:t>
      </w:r>
      <w:r>
        <w:rPr>
          <w:rFonts w:hint="eastAsia" w:ascii="Times New Roman" w:hAnsi="Times New Roman"/>
          <w:sz w:val="18"/>
          <w:lang w:eastAsia="zh-CN"/>
        </w:rPr>
        <w:t>。</w:t>
      </w:r>
    </w:p>
  </w:footnote>
  <w:footnote w:id="61">
    <w:p w14:paraId="0F13CDCC">
      <w:pPr>
        <w:pStyle w:val="12"/>
        <w:snapToGrid w:val="0"/>
        <w:rPr>
          <w:rFonts w:hint="eastAsia" w:ascii="Times New Roman" w:hAnsi="Times New Roman"/>
          <w:sz w:val="18"/>
        </w:rPr>
      </w:pPr>
      <w:r>
        <w:rPr>
          <w:rFonts w:hint="eastAsia" w:ascii="Times New Roman" w:hAnsi="Times New Roman"/>
          <w:sz w:val="18"/>
        </w:rPr>
        <w:footnoteRef/>
      </w:r>
      <w:r>
        <w:rPr>
          <w:rFonts w:hint="eastAsia" w:ascii="Times New Roman" w:hAnsi="Times New Roman"/>
          <w:sz w:val="18"/>
        </w:rPr>
        <w:t xml:space="preserve"> 樊健</w:t>
      </w:r>
      <w:r>
        <w:rPr>
          <w:rFonts w:hint="eastAsia" w:ascii="Times New Roman" w:hAnsi="Times New Roman"/>
          <w:sz w:val="18"/>
          <w:lang w:eastAsia="zh-CN"/>
        </w:rPr>
        <w:t>：《</w:t>
      </w:r>
      <w:r>
        <w:rPr>
          <w:rFonts w:hint="eastAsia" w:ascii="Times New Roman" w:hAnsi="Times New Roman"/>
          <w:sz w:val="18"/>
        </w:rPr>
        <w:t>我国证券市场虚假陈述交易上因果关系的新问题</w:t>
      </w:r>
      <w:r>
        <w:rPr>
          <w:rFonts w:hint="eastAsia" w:ascii="Times New Roman" w:hAnsi="Times New Roman"/>
          <w:sz w:val="18"/>
          <w:lang w:eastAsia="zh-CN"/>
        </w:rPr>
        <w:t>》，</w:t>
      </w:r>
      <w:r>
        <w:rPr>
          <w:rFonts w:hint="eastAsia" w:ascii="Times New Roman" w:hAnsi="Times New Roman"/>
          <w:sz w:val="18"/>
          <w:lang w:val="en-US" w:eastAsia="zh-CN"/>
        </w:rPr>
        <w:t>载</w:t>
      </w:r>
      <w:r>
        <w:rPr>
          <w:rFonts w:hint="eastAsia" w:ascii="Times New Roman" w:hAnsi="Times New Roman"/>
          <w:sz w:val="18"/>
          <w:lang w:eastAsia="zh-CN"/>
        </w:rPr>
        <w:t>《中外法学》2016年第6期。</w:t>
      </w:r>
    </w:p>
  </w:footnote>
  <w:footnote w:id="62">
    <w:p w14:paraId="5D4C3B6D">
      <w:pPr>
        <w:pStyle w:val="12"/>
        <w:snapToGrid w:val="0"/>
        <w:rPr>
          <w:rFonts w:hint="default" w:ascii="Times New Roman" w:hAnsi="Times New Roman"/>
          <w:sz w:val="18"/>
          <w:lang w:val="en-US" w:eastAsia="zh-CN"/>
        </w:rPr>
      </w:pPr>
      <w:r>
        <w:rPr>
          <w:rFonts w:hint="eastAsia" w:ascii="Times New Roman" w:hAnsi="Times New Roman"/>
          <w:sz w:val="18"/>
        </w:rPr>
        <w:footnoteRef/>
      </w:r>
      <w:r>
        <w:rPr>
          <w:rFonts w:hint="eastAsia" w:ascii="Times New Roman" w:hAnsi="Times New Roman"/>
          <w:sz w:val="18"/>
        </w:rPr>
        <w:t xml:space="preserve"> 李某某诉某信息科技公司证券虚假陈述责任纠纷</w:t>
      </w:r>
      <w:r>
        <w:rPr>
          <w:rFonts w:hint="eastAsia" w:ascii="Times New Roman" w:hAnsi="Times New Roman"/>
          <w:sz w:val="18"/>
          <w:lang w:val="en-US" w:eastAsia="zh-CN"/>
        </w:rPr>
        <w:t>案，上海市高级人民法院</w:t>
      </w:r>
      <w:r>
        <w:rPr>
          <w:rFonts w:hint="eastAsia" w:ascii="Times New Roman" w:hAnsi="Times New Roman"/>
          <w:sz w:val="18"/>
        </w:rPr>
        <w:t>（2023）沪民终699号</w:t>
      </w:r>
      <w:r>
        <w:rPr>
          <w:rFonts w:hint="eastAsia" w:ascii="Times New Roman" w:hAnsi="Times New Roman"/>
          <w:sz w:val="18"/>
          <w:lang w:val="en-US" w:eastAsia="zh-CN"/>
        </w:rPr>
        <w:t>民事判决书。</w:t>
      </w:r>
    </w:p>
  </w:footnote>
  <w:footnote w:id="63">
    <w:p w14:paraId="5AF1608E">
      <w:pPr>
        <w:pStyle w:val="12"/>
        <w:snapToGrid w:val="0"/>
        <w:rPr>
          <w:rFonts w:ascii="Times New Roman" w:hAnsi="Times New Roman"/>
          <w:sz w:val="18"/>
        </w:rPr>
      </w:pPr>
      <w:r>
        <w:rPr>
          <w:rFonts w:hint="eastAsia" w:ascii="Times New Roman" w:hAnsi="Times New Roman"/>
          <w:sz w:val="18"/>
        </w:rPr>
        <w:footnoteRef/>
      </w:r>
      <w:r>
        <w:rPr>
          <w:rFonts w:hint="eastAsia" w:ascii="Times New Roman" w:hAnsi="Times New Roman"/>
          <w:sz w:val="18"/>
        </w:rPr>
        <w:t xml:space="preserve"> 胡某</w:t>
      </w:r>
      <w:r>
        <w:rPr>
          <w:rFonts w:hint="eastAsia" w:ascii="Times New Roman" w:hAnsi="Times New Roman"/>
          <w:sz w:val="18"/>
          <w:lang w:val="en-US" w:eastAsia="zh-CN"/>
        </w:rPr>
        <w:t>诉</w:t>
      </w:r>
      <w:r>
        <w:rPr>
          <w:rFonts w:hint="eastAsia" w:ascii="Times New Roman" w:hAnsi="Times New Roman"/>
          <w:sz w:val="18"/>
        </w:rPr>
        <w:t>某某事务所等证券虚假陈述责任纠纷</w:t>
      </w:r>
      <w:r>
        <w:rPr>
          <w:rFonts w:hint="eastAsia" w:ascii="Times New Roman" w:hAnsi="Times New Roman"/>
          <w:sz w:val="18"/>
          <w:lang w:val="en-US" w:eastAsia="zh-CN"/>
        </w:rPr>
        <w:t>案，江苏省高级人民法院</w:t>
      </w:r>
      <w:r>
        <w:rPr>
          <w:rFonts w:hint="eastAsia" w:ascii="Times New Roman" w:hAnsi="Times New Roman"/>
          <w:sz w:val="18"/>
        </w:rPr>
        <w:t>（2023）苏民终6号民事判决书</w:t>
      </w:r>
      <w:r>
        <w:rPr>
          <w:rFonts w:hint="eastAsia" w:ascii="Times New Roman" w:hAnsi="Times New Roman"/>
          <w:sz w:val="18"/>
          <w:lang w:eastAsia="zh-CN"/>
        </w:rPr>
        <w:t>。</w:t>
      </w:r>
    </w:p>
  </w:footnote>
  <w:footnote w:id="64">
    <w:p w14:paraId="4C801B4D">
      <w:pPr>
        <w:pStyle w:val="12"/>
        <w:snapToGrid w:val="0"/>
        <w:rPr>
          <w:rFonts w:ascii="Times New Roman" w:hAnsi="Times New Roman"/>
          <w:sz w:val="18"/>
        </w:rPr>
      </w:pPr>
      <w:r>
        <w:rPr>
          <w:rFonts w:hint="default" w:ascii="Times New Roman" w:hAnsi="Times New Roman"/>
          <w:sz w:val="18"/>
          <w:vertAlign w:val="baseline"/>
          <w:lang w:val="en-US" w:eastAsia="zh-CN"/>
        </w:rPr>
        <w:footnoteRef/>
      </w:r>
      <w:r>
        <w:rPr>
          <w:rFonts w:hint="default" w:ascii="Times New Roman" w:hAnsi="Times New Roman"/>
          <w:sz w:val="18"/>
          <w:lang w:val="en-US" w:eastAsia="zh-CN"/>
        </w:rPr>
        <w:t xml:space="preserve"> 彭冰：《重构虚假陈述民事赔偿的发行人责任》，载《中国社会科学院大学学报》2023年第10期</w:t>
      </w:r>
      <w:r>
        <w:rPr>
          <w:rFonts w:hint="eastAsia" w:ascii="Times New Roman" w:hAnsi="Times New Roman"/>
          <w:sz w:val="18"/>
          <w:lang w:val="en-US" w:eastAsia="zh-CN"/>
        </w:rPr>
        <w:t>。</w:t>
      </w:r>
    </w:p>
  </w:footnote>
  <w:footnote w:id="65">
    <w:p w14:paraId="5F1D49F2">
      <w:pPr>
        <w:pStyle w:val="12"/>
        <w:snapToGrid w:val="0"/>
        <w:rPr>
          <w:rFonts w:hint="eastAsia" w:ascii="Times New Roman" w:hAnsi="Times New Roman" w:eastAsia="宋体"/>
          <w:sz w:val="18"/>
          <w:lang w:eastAsia="zh-CN"/>
        </w:rPr>
      </w:pPr>
      <w:r>
        <w:rPr>
          <w:rStyle w:val="22"/>
          <w:rFonts w:ascii="Times New Roman" w:hAnsi="Times New Roman"/>
          <w:sz w:val="18"/>
        </w:rPr>
        <w:footnoteRef/>
      </w:r>
      <w:r>
        <w:rPr>
          <w:rFonts w:ascii="Times New Roman" w:hAnsi="Times New Roman"/>
          <w:sz w:val="18"/>
        </w:rPr>
        <w:t xml:space="preserve"> 陈广辉：《证券虚假陈述侵权损失核定的路径选择》，载《政法论坛》2023年第6期</w:t>
      </w:r>
      <w:r>
        <w:rPr>
          <w:rFonts w:hint="eastAsia" w:ascii="Times New Roman" w:hAnsi="Times New Roman"/>
          <w:sz w:val="18"/>
          <w:lang w:eastAsia="zh-CN"/>
        </w:rPr>
        <w:t>。</w:t>
      </w:r>
    </w:p>
  </w:footnote>
  <w:footnote w:id="66">
    <w:p w14:paraId="64A3AA44">
      <w:pPr>
        <w:pStyle w:val="12"/>
        <w:snapToGrid w:val="0"/>
        <w:rPr>
          <w:rFonts w:ascii="Times New Roman" w:hAnsi="Times New Roman"/>
          <w:sz w:val="18"/>
        </w:rPr>
      </w:pPr>
      <w:r>
        <w:rPr>
          <w:rStyle w:val="22"/>
          <w:rFonts w:ascii="Times New Roman" w:hAnsi="Times New Roman"/>
          <w:sz w:val="18"/>
        </w:rPr>
        <w:footnoteRef/>
      </w:r>
      <w:r>
        <w:rPr>
          <w:rFonts w:ascii="Times New Roman" w:hAnsi="Times New Roman"/>
          <w:sz w:val="18"/>
        </w:rPr>
        <w:t xml:space="preserve"> </w:t>
      </w:r>
      <w:r>
        <w:rPr>
          <w:rFonts w:hint="default" w:ascii="Times New Roman" w:hAnsi="Times New Roman"/>
          <w:sz w:val="18"/>
          <w:lang w:val="en-US" w:eastAsia="zh-CN"/>
        </w:rPr>
        <w:t>侯东德、张丽萍：《证券虚假陈述侵权损害赔偿中损失因果关系的认定》，载《湖北社会科学》2024年第11期</w:t>
      </w:r>
      <w:r>
        <w:rPr>
          <w:rFonts w:hint="eastAsia" w:ascii="Times New Roman" w:hAnsi="Times New Roman"/>
          <w:sz w:val="18"/>
          <w:lang w:val="en-US" w:eastAsia="zh-C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9782B">
    <w:pPr>
      <w:pStyle w:val="10"/>
      <w:rPr>
        <w:rFonts w:hint="default" w:eastAsia="宋体"/>
        <w:sz w:val="21"/>
        <w:szCs w:val="21"/>
        <w:lang w:val="en-US" w:eastAsia="zh-CN"/>
      </w:rPr>
    </w:pPr>
    <w:r>
      <w:rPr>
        <w:rFonts w:hint="eastAsia"/>
        <w:sz w:val="21"/>
        <w:szCs w:val="21"/>
        <w:lang w:val="en-US" w:eastAsia="zh-CN"/>
      </w:rPr>
      <w:t>湘潭大学毕业论文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EC6155"/>
    <w:multiLevelType w:val="singleLevel"/>
    <w:tmpl w:val="1DEC6155"/>
    <w:lvl w:ilvl="0" w:tentative="0">
      <w:start w:val="1"/>
      <w:numFmt w:val="decimal"/>
      <w:suff w:val="space"/>
      <w:lvlText w:val="[%1]"/>
      <w:lvlJc w:val="left"/>
    </w:lvl>
  </w:abstractNum>
  <w:abstractNum w:abstractNumId="1">
    <w:nsid w:val="71FAFFDA"/>
    <w:multiLevelType w:val="singleLevel"/>
    <w:tmpl w:val="71FAFFDA"/>
    <w:lvl w:ilvl="0" w:tentative="0">
      <w:start w:val="4"/>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34"/>
    <w:footnote w:id="135"/>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118A6"/>
    <w:rsid w:val="00201B6D"/>
    <w:rsid w:val="00225A44"/>
    <w:rsid w:val="00557AC1"/>
    <w:rsid w:val="00673E1A"/>
    <w:rsid w:val="00831031"/>
    <w:rsid w:val="00941FF7"/>
    <w:rsid w:val="00AE2729"/>
    <w:rsid w:val="00B16BA8"/>
    <w:rsid w:val="00B86D47"/>
    <w:rsid w:val="00CF06E0"/>
    <w:rsid w:val="00D26A09"/>
    <w:rsid w:val="00FF73CE"/>
    <w:rsid w:val="01011DAD"/>
    <w:rsid w:val="010A076F"/>
    <w:rsid w:val="01166742"/>
    <w:rsid w:val="011A4D50"/>
    <w:rsid w:val="011E3D92"/>
    <w:rsid w:val="01345E86"/>
    <w:rsid w:val="013D6839"/>
    <w:rsid w:val="01521B58"/>
    <w:rsid w:val="01571BF8"/>
    <w:rsid w:val="0160612F"/>
    <w:rsid w:val="016F6FBD"/>
    <w:rsid w:val="01B10FA2"/>
    <w:rsid w:val="01E41483"/>
    <w:rsid w:val="02094A42"/>
    <w:rsid w:val="023616A3"/>
    <w:rsid w:val="024A4302"/>
    <w:rsid w:val="0262293F"/>
    <w:rsid w:val="02B01454"/>
    <w:rsid w:val="02B12A2B"/>
    <w:rsid w:val="02B86320"/>
    <w:rsid w:val="02BE750F"/>
    <w:rsid w:val="02C10E79"/>
    <w:rsid w:val="02C94E52"/>
    <w:rsid w:val="02CB5932"/>
    <w:rsid w:val="02DE090B"/>
    <w:rsid w:val="02E444BF"/>
    <w:rsid w:val="031929D8"/>
    <w:rsid w:val="031D0873"/>
    <w:rsid w:val="031F339A"/>
    <w:rsid w:val="03425F66"/>
    <w:rsid w:val="035D245F"/>
    <w:rsid w:val="03636EF8"/>
    <w:rsid w:val="03743154"/>
    <w:rsid w:val="037E487C"/>
    <w:rsid w:val="03AB4F0A"/>
    <w:rsid w:val="03AF1F1E"/>
    <w:rsid w:val="03B30477"/>
    <w:rsid w:val="03C35E5D"/>
    <w:rsid w:val="03CB2647"/>
    <w:rsid w:val="03F308F1"/>
    <w:rsid w:val="03F90AE6"/>
    <w:rsid w:val="03F961BE"/>
    <w:rsid w:val="0402496D"/>
    <w:rsid w:val="04157776"/>
    <w:rsid w:val="041A11DA"/>
    <w:rsid w:val="04211D95"/>
    <w:rsid w:val="043619FF"/>
    <w:rsid w:val="043B1A01"/>
    <w:rsid w:val="04524526"/>
    <w:rsid w:val="046027B8"/>
    <w:rsid w:val="0497430A"/>
    <w:rsid w:val="049973F4"/>
    <w:rsid w:val="04EC21EF"/>
    <w:rsid w:val="051820B7"/>
    <w:rsid w:val="05340028"/>
    <w:rsid w:val="053E2FB8"/>
    <w:rsid w:val="054C2DCF"/>
    <w:rsid w:val="058075DA"/>
    <w:rsid w:val="05B13057"/>
    <w:rsid w:val="05B562F8"/>
    <w:rsid w:val="05BB035D"/>
    <w:rsid w:val="05D524EF"/>
    <w:rsid w:val="05D97C3E"/>
    <w:rsid w:val="05FA2885"/>
    <w:rsid w:val="061C7E27"/>
    <w:rsid w:val="061F2192"/>
    <w:rsid w:val="064D190C"/>
    <w:rsid w:val="064D26E6"/>
    <w:rsid w:val="06661F8B"/>
    <w:rsid w:val="066E2C1A"/>
    <w:rsid w:val="068D7050"/>
    <w:rsid w:val="06BC0203"/>
    <w:rsid w:val="06CC2408"/>
    <w:rsid w:val="06D867B3"/>
    <w:rsid w:val="06EC2F6E"/>
    <w:rsid w:val="06F05449"/>
    <w:rsid w:val="06FC480D"/>
    <w:rsid w:val="071F64EE"/>
    <w:rsid w:val="07232263"/>
    <w:rsid w:val="073E780E"/>
    <w:rsid w:val="07A17D7E"/>
    <w:rsid w:val="07C27AF6"/>
    <w:rsid w:val="07DD533C"/>
    <w:rsid w:val="07FF34EF"/>
    <w:rsid w:val="082417A9"/>
    <w:rsid w:val="082866F7"/>
    <w:rsid w:val="082C2FA8"/>
    <w:rsid w:val="08631DD0"/>
    <w:rsid w:val="087811A2"/>
    <w:rsid w:val="087D22FB"/>
    <w:rsid w:val="08A564ED"/>
    <w:rsid w:val="08AB6107"/>
    <w:rsid w:val="08DF04DA"/>
    <w:rsid w:val="08EE76BA"/>
    <w:rsid w:val="08EF1748"/>
    <w:rsid w:val="08F749AC"/>
    <w:rsid w:val="0911062F"/>
    <w:rsid w:val="091238F1"/>
    <w:rsid w:val="0931751B"/>
    <w:rsid w:val="095369B5"/>
    <w:rsid w:val="097B41CD"/>
    <w:rsid w:val="09AE656F"/>
    <w:rsid w:val="09B13537"/>
    <w:rsid w:val="09C41112"/>
    <w:rsid w:val="09E339E9"/>
    <w:rsid w:val="09FB666F"/>
    <w:rsid w:val="0A1301F7"/>
    <w:rsid w:val="0A3B1E0E"/>
    <w:rsid w:val="0A4800D1"/>
    <w:rsid w:val="0A63101A"/>
    <w:rsid w:val="0A6C70CE"/>
    <w:rsid w:val="0A896B46"/>
    <w:rsid w:val="0A8F762F"/>
    <w:rsid w:val="0A9460CC"/>
    <w:rsid w:val="0AA53080"/>
    <w:rsid w:val="0AA942F4"/>
    <w:rsid w:val="0AAD6BF0"/>
    <w:rsid w:val="0AAF1847"/>
    <w:rsid w:val="0ADE3EF0"/>
    <w:rsid w:val="0AEB1502"/>
    <w:rsid w:val="0AFE4C26"/>
    <w:rsid w:val="0B067827"/>
    <w:rsid w:val="0B0D0F3D"/>
    <w:rsid w:val="0B0D1575"/>
    <w:rsid w:val="0B1F3EA8"/>
    <w:rsid w:val="0B374A54"/>
    <w:rsid w:val="0B815AA4"/>
    <w:rsid w:val="0B8D5506"/>
    <w:rsid w:val="0BB2614A"/>
    <w:rsid w:val="0BD136AA"/>
    <w:rsid w:val="0BD70BA9"/>
    <w:rsid w:val="0BDB50EF"/>
    <w:rsid w:val="0BE6493B"/>
    <w:rsid w:val="0BE669AA"/>
    <w:rsid w:val="0BF140B0"/>
    <w:rsid w:val="0C030BCD"/>
    <w:rsid w:val="0C0D643B"/>
    <w:rsid w:val="0C26247C"/>
    <w:rsid w:val="0C265077"/>
    <w:rsid w:val="0C356FE4"/>
    <w:rsid w:val="0C3E2E27"/>
    <w:rsid w:val="0C441A2C"/>
    <w:rsid w:val="0C5C37B8"/>
    <w:rsid w:val="0C5F0781"/>
    <w:rsid w:val="0C73446D"/>
    <w:rsid w:val="0CBB6F72"/>
    <w:rsid w:val="0CBE5160"/>
    <w:rsid w:val="0CC47EE3"/>
    <w:rsid w:val="0CD34E7E"/>
    <w:rsid w:val="0CDB0CA5"/>
    <w:rsid w:val="0CF6637D"/>
    <w:rsid w:val="0D1426A5"/>
    <w:rsid w:val="0D1506B6"/>
    <w:rsid w:val="0D1E3412"/>
    <w:rsid w:val="0D2B64A6"/>
    <w:rsid w:val="0D4E2564"/>
    <w:rsid w:val="0D531BB3"/>
    <w:rsid w:val="0D604782"/>
    <w:rsid w:val="0D6C0594"/>
    <w:rsid w:val="0D7B2DAD"/>
    <w:rsid w:val="0DA408D3"/>
    <w:rsid w:val="0DBE23C2"/>
    <w:rsid w:val="0DCA5C5A"/>
    <w:rsid w:val="0DDC5A6E"/>
    <w:rsid w:val="0DE809E8"/>
    <w:rsid w:val="0DFC01D5"/>
    <w:rsid w:val="0E166B75"/>
    <w:rsid w:val="0E170D5D"/>
    <w:rsid w:val="0E491BF7"/>
    <w:rsid w:val="0E49319C"/>
    <w:rsid w:val="0E566CBC"/>
    <w:rsid w:val="0E5B241B"/>
    <w:rsid w:val="0E6F05A5"/>
    <w:rsid w:val="0E7923AD"/>
    <w:rsid w:val="0E7E4579"/>
    <w:rsid w:val="0EA663D0"/>
    <w:rsid w:val="0EAC525A"/>
    <w:rsid w:val="0ECC7523"/>
    <w:rsid w:val="0ED1350D"/>
    <w:rsid w:val="0EEA1757"/>
    <w:rsid w:val="0EF701F4"/>
    <w:rsid w:val="0EF8359E"/>
    <w:rsid w:val="0F130BC3"/>
    <w:rsid w:val="0F236F3C"/>
    <w:rsid w:val="0F414F9C"/>
    <w:rsid w:val="0F5E2F90"/>
    <w:rsid w:val="0F6E54C1"/>
    <w:rsid w:val="0F752B68"/>
    <w:rsid w:val="0FA00376"/>
    <w:rsid w:val="0FBC24D0"/>
    <w:rsid w:val="0FC2223F"/>
    <w:rsid w:val="0FD940A2"/>
    <w:rsid w:val="0FE47AB9"/>
    <w:rsid w:val="0FED5943"/>
    <w:rsid w:val="0FF5107A"/>
    <w:rsid w:val="0FFA3C1C"/>
    <w:rsid w:val="0FFE504A"/>
    <w:rsid w:val="100A0195"/>
    <w:rsid w:val="10136976"/>
    <w:rsid w:val="10470A45"/>
    <w:rsid w:val="104A118F"/>
    <w:rsid w:val="10845622"/>
    <w:rsid w:val="1087540B"/>
    <w:rsid w:val="10953945"/>
    <w:rsid w:val="10BB14A4"/>
    <w:rsid w:val="10D615F6"/>
    <w:rsid w:val="10DC1574"/>
    <w:rsid w:val="115F7210"/>
    <w:rsid w:val="11652140"/>
    <w:rsid w:val="117D49B2"/>
    <w:rsid w:val="118C5756"/>
    <w:rsid w:val="119F4029"/>
    <w:rsid w:val="11B6371D"/>
    <w:rsid w:val="11C81CD3"/>
    <w:rsid w:val="11CA0D5E"/>
    <w:rsid w:val="11DE7937"/>
    <w:rsid w:val="12080923"/>
    <w:rsid w:val="121C4AE1"/>
    <w:rsid w:val="12375BEF"/>
    <w:rsid w:val="1289790B"/>
    <w:rsid w:val="128A7BF7"/>
    <w:rsid w:val="12CB76BD"/>
    <w:rsid w:val="12E77597"/>
    <w:rsid w:val="12FB3434"/>
    <w:rsid w:val="130324BB"/>
    <w:rsid w:val="133E099F"/>
    <w:rsid w:val="139D3AA0"/>
    <w:rsid w:val="139E75AB"/>
    <w:rsid w:val="13A16E84"/>
    <w:rsid w:val="13A636F5"/>
    <w:rsid w:val="13AE5449"/>
    <w:rsid w:val="13BB4AE9"/>
    <w:rsid w:val="13C10C86"/>
    <w:rsid w:val="13CA3264"/>
    <w:rsid w:val="13D9136E"/>
    <w:rsid w:val="140A0E1B"/>
    <w:rsid w:val="140E20B3"/>
    <w:rsid w:val="14247998"/>
    <w:rsid w:val="1427091D"/>
    <w:rsid w:val="142A5125"/>
    <w:rsid w:val="14332316"/>
    <w:rsid w:val="14472BD8"/>
    <w:rsid w:val="144E6CA6"/>
    <w:rsid w:val="14504752"/>
    <w:rsid w:val="145C2552"/>
    <w:rsid w:val="147140DC"/>
    <w:rsid w:val="14844AB3"/>
    <w:rsid w:val="14BC76AF"/>
    <w:rsid w:val="14BF6BDA"/>
    <w:rsid w:val="14C14C47"/>
    <w:rsid w:val="14E977C8"/>
    <w:rsid w:val="14F2335E"/>
    <w:rsid w:val="1502766D"/>
    <w:rsid w:val="151420E3"/>
    <w:rsid w:val="151C4634"/>
    <w:rsid w:val="152F3589"/>
    <w:rsid w:val="154827B9"/>
    <w:rsid w:val="1549446F"/>
    <w:rsid w:val="15536D6E"/>
    <w:rsid w:val="1562668F"/>
    <w:rsid w:val="156B3533"/>
    <w:rsid w:val="157D4CBD"/>
    <w:rsid w:val="15813A3E"/>
    <w:rsid w:val="15A43603"/>
    <w:rsid w:val="15D476DF"/>
    <w:rsid w:val="160D2D3C"/>
    <w:rsid w:val="163F0C39"/>
    <w:rsid w:val="164B7C93"/>
    <w:rsid w:val="164D5B06"/>
    <w:rsid w:val="16AC459E"/>
    <w:rsid w:val="16B12DE4"/>
    <w:rsid w:val="16D11459"/>
    <w:rsid w:val="16E44C4A"/>
    <w:rsid w:val="16F37C8D"/>
    <w:rsid w:val="17081C6A"/>
    <w:rsid w:val="1733769A"/>
    <w:rsid w:val="175722D8"/>
    <w:rsid w:val="17781F8E"/>
    <w:rsid w:val="177D5F83"/>
    <w:rsid w:val="17A20A2C"/>
    <w:rsid w:val="17B2437D"/>
    <w:rsid w:val="17D11723"/>
    <w:rsid w:val="17D46E24"/>
    <w:rsid w:val="17DE7281"/>
    <w:rsid w:val="17E44BFC"/>
    <w:rsid w:val="18005C8D"/>
    <w:rsid w:val="180D2A56"/>
    <w:rsid w:val="18143491"/>
    <w:rsid w:val="1832110C"/>
    <w:rsid w:val="183801A8"/>
    <w:rsid w:val="188E608F"/>
    <w:rsid w:val="189574CF"/>
    <w:rsid w:val="18A12CF5"/>
    <w:rsid w:val="18AC26D5"/>
    <w:rsid w:val="18BB10A8"/>
    <w:rsid w:val="18BF4FC5"/>
    <w:rsid w:val="18D5449F"/>
    <w:rsid w:val="18DE459C"/>
    <w:rsid w:val="18EA783A"/>
    <w:rsid w:val="190A4EF2"/>
    <w:rsid w:val="190A6EA1"/>
    <w:rsid w:val="19264A03"/>
    <w:rsid w:val="198B3726"/>
    <w:rsid w:val="19B0284A"/>
    <w:rsid w:val="19BB0E06"/>
    <w:rsid w:val="19D04F4B"/>
    <w:rsid w:val="19D463C6"/>
    <w:rsid w:val="19F0043A"/>
    <w:rsid w:val="1A1951D3"/>
    <w:rsid w:val="1A1F7416"/>
    <w:rsid w:val="1A2C6C3F"/>
    <w:rsid w:val="1A3E61FC"/>
    <w:rsid w:val="1A723BEC"/>
    <w:rsid w:val="1A754024"/>
    <w:rsid w:val="1A876E34"/>
    <w:rsid w:val="1A892E2D"/>
    <w:rsid w:val="1A9165C6"/>
    <w:rsid w:val="1A9F4E71"/>
    <w:rsid w:val="1AC67291"/>
    <w:rsid w:val="1AE4238D"/>
    <w:rsid w:val="1AFE1D64"/>
    <w:rsid w:val="1B037F1D"/>
    <w:rsid w:val="1B09405E"/>
    <w:rsid w:val="1B2F3AD9"/>
    <w:rsid w:val="1B381578"/>
    <w:rsid w:val="1B4D6FA0"/>
    <w:rsid w:val="1B5B6771"/>
    <w:rsid w:val="1B5E677D"/>
    <w:rsid w:val="1B64352B"/>
    <w:rsid w:val="1B6C7065"/>
    <w:rsid w:val="1B786815"/>
    <w:rsid w:val="1B797F1F"/>
    <w:rsid w:val="1B9D1AF2"/>
    <w:rsid w:val="1BBA4D38"/>
    <w:rsid w:val="1BC35F76"/>
    <w:rsid w:val="1BF32215"/>
    <w:rsid w:val="1C1C2FAC"/>
    <w:rsid w:val="1C2237D4"/>
    <w:rsid w:val="1C27133D"/>
    <w:rsid w:val="1C2F702E"/>
    <w:rsid w:val="1C310943"/>
    <w:rsid w:val="1C354332"/>
    <w:rsid w:val="1C54023B"/>
    <w:rsid w:val="1C5E65C3"/>
    <w:rsid w:val="1C661252"/>
    <w:rsid w:val="1C6824A2"/>
    <w:rsid w:val="1C744D1F"/>
    <w:rsid w:val="1C8E2381"/>
    <w:rsid w:val="1C8F7492"/>
    <w:rsid w:val="1C9D59D3"/>
    <w:rsid w:val="1CCE05D7"/>
    <w:rsid w:val="1CE07FE1"/>
    <w:rsid w:val="1CE5110B"/>
    <w:rsid w:val="1CF57DE0"/>
    <w:rsid w:val="1CFE62D6"/>
    <w:rsid w:val="1D22789B"/>
    <w:rsid w:val="1D383FD6"/>
    <w:rsid w:val="1D39247F"/>
    <w:rsid w:val="1D5901A2"/>
    <w:rsid w:val="1D78777C"/>
    <w:rsid w:val="1DBD4C56"/>
    <w:rsid w:val="1DD21378"/>
    <w:rsid w:val="1E053BAE"/>
    <w:rsid w:val="1E1F33B7"/>
    <w:rsid w:val="1E43495F"/>
    <w:rsid w:val="1E4C01D3"/>
    <w:rsid w:val="1E6B7566"/>
    <w:rsid w:val="1E6C4DFA"/>
    <w:rsid w:val="1E703800"/>
    <w:rsid w:val="1E7B3D02"/>
    <w:rsid w:val="1EB12B65"/>
    <w:rsid w:val="1EC20399"/>
    <w:rsid w:val="1EE01536"/>
    <w:rsid w:val="1EE03162"/>
    <w:rsid w:val="1EE2283A"/>
    <w:rsid w:val="1EFE69AB"/>
    <w:rsid w:val="1F0B1F7D"/>
    <w:rsid w:val="1F2332A4"/>
    <w:rsid w:val="1F2D3BB3"/>
    <w:rsid w:val="1F395447"/>
    <w:rsid w:val="1F50506D"/>
    <w:rsid w:val="1F9C3A4B"/>
    <w:rsid w:val="1FA2090B"/>
    <w:rsid w:val="1FA8121E"/>
    <w:rsid w:val="1FA834FD"/>
    <w:rsid w:val="1FAE12B8"/>
    <w:rsid w:val="1FBB0EF7"/>
    <w:rsid w:val="1FDC03E9"/>
    <w:rsid w:val="1FE62FE2"/>
    <w:rsid w:val="1FEE0102"/>
    <w:rsid w:val="20576123"/>
    <w:rsid w:val="20726449"/>
    <w:rsid w:val="20755A2E"/>
    <w:rsid w:val="207B4905"/>
    <w:rsid w:val="208539D4"/>
    <w:rsid w:val="209165D3"/>
    <w:rsid w:val="209A4F9A"/>
    <w:rsid w:val="20A20EA6"/>
    <w:rsid w:val="20C518B6"/>
    <w:rsid w:val="20EB4E0E"/>
    <w:rsid w:val="210700D1"/>
    <w:rsid w:val="210D14B3"/>
    <w:rsid w:val="21725E41"/>
    <w:rsid w:val="217D162B"/>
    <w:rsid w:val="21800B85"/>
    <w:rsid w:val="219A21A5"/>
    <w:rsid w:val="21AA2676"/>
    <w:rsid w:val="221200F3"/>
    <w:rsid w:val="222455A2"/>
    <w:rsid w:val="2228720A"/>
    <w:rsid w:val="223171B2"/>
    <w:rsid w:val="226469B1"/>
    <w:rsid w:val="22843B99"/>
    <w:rsid w:val="22A14B92"/>
    <w:rsid w:val="22A929B7"/>
    <w:rsid w:val="22B221FB"/>
    <w:rsid w:val="22F66B1C"/>
    <w:rsid w:val="22F73BE9"/>
    <w:rsid w:val="22FE0FF6"/>
    <w:rsid w:val="22FF585A"/>
    <w:rsid w:val="23723533"/>
    <w:rsid w:val="23A37585"/>
    <w:rsid w:val="23B458BA"/>
    <w:rsid w:val="23D03906"/>
    <w:rsid w:val="23E57E73"/>
    <w:rsid w:val="23ED1282"/>
    <w:rsid w:val="23F61D9E"/>
    <w:rsid w:val="23FB46C8"/>
    <w:rsid w:val="24066F7E"/>
    <w:rsid w:val="240A30BF"/>
    <w:rsid w:val="240D3AC6"/>
    <w:rsid w:val="240E24B8"/>
    <w:rsid w:val="24323596"/>
    <w:rsid w:val="24371603"/>
    <w:rsid w:val="24534304"/>
    <w:rsid w:val="245361F3"/>
    <w:rsid w:val="2459453D"/>
    <w:rsid w:val="247C7268"/>
    <w:rsid w:val="24815A86"/>
    <w:rsid w:val="248B6682"/>
    <w:rsid w:val="24B403E6"/>
    <w:rsid w:val="24C03257"/>
    <w:rsid w:val="24C11E6A"/>
    <w:rsid w:val="24C61655"/>
    <w:rsid w:val="24E25D13"/>
    <w:rsid w:val="24FD708B"/>
    <w:rsid w:val="250A6002"/>
    <w:rsid w:val="254776DE"/>
    <w:rsid w:val="25535E50"/>
    <w:rsid w:val="255839B8"/>
    <w:rsid w:val="255B68D6"/>
    <w:rsid w:val="256453AD"/>
    <w:rsid w:val="25791EE2"/>
    <w:rsid w:val="258E7571"/>
    <w:rsid w:val="25904C0B"/>
    <w:rsid w:val="25A173CD"/>
    <w:rsid w:val="25A36474"/>
    <w:rsid w:val="25E04A8B"/>
    <w:rsid w:val="25F0259F"/>
    <w:rsid w:val="25F53236"/>
    <w:rsid w:val="260F767F"/>
    <w:rsid w:val="261F1F69"/>
    <w:rsid w:val="26415830"/>
    <w:rsid w:val="26451F6C"/>
    <w:rsid w:val="2653639E"/>
    <w:rsid w:val="26675054"/>
    <w:rsid w:val="26946721"/>
    <w:rsid w:val="26C71A8A"/>
    <w:rsid w:val="26E52AD8"/>
    <w:rsid w:val="26F3599D"/>
    <w:rsid w:val="26FC3E04"/>
    <w:rsid w:val="270C081B"/>
    <w:rsid w:val="27243C5C"/>
    <w:rsid w:val="27485EDE"/>
    <w:rsid w:val="274B67BD"/>
    <w:rsid w:val="275E4DA2"/>
    <w:rsid w:val="27700540"/>
    <w:rsid w:val="279240CE"/>
    <w:rsid w:val="27B23A46"/>
    <w:rsid w:val="27BF7133"/>
    <w:rsid w:val="280520B8"/>
    <w:rsid w:val="28066922"/>
    <w:rsid w:val="28575241"/>
    <w:rsid w:val="286F5821"/>
    <w:rsid w:val="28742D0F"/>
    <w:rsid w:val="287A00D4"/>
    <w:rsid w:val="289F0FA2"/>
    <w:rsid w:val="28E474AB"/>
    <w:rsid w:val="28ED036A"/>
    <w:rsid w:val="28FA7057"/>
    <w:rsid w:val="28FB09AD"/>
    <w:rsid w:val="291A071D"/>
    <w:rsid w:val="29266E45"/>
    <w:rsid w:val="292673D8"/>
    <w:rsid w:val="294C583E"/>
    <w:rsid w:val="29505DAB"/>
    <w:rsid w:val="297C69C6"/>
    <w:rsid w:val="297D6708"/>
    <w:rsid w:val="298B7936"/>
    <w:rsid w:val="299E672C"/>
    <w:rsid w:val="29A546A0"/>
    <w:rsid w:val="29C0458C"/>
    <w:rsid w:val="29CA1AE9"/>
    <w:rsid w:val="29D80BC7"/>
    <w:rsid w:val="29D92D1D"/>
    <w:rsid w:val="29E67F0F"/>
    <w:rsid w:val="29FF6BE5"/>
    <w:rsid w:val="2A2474D0"/>
    <w:rsid w:val="2A783D3B"/>
    <w:rsid w:val="2A78590C"/>
    <w:rsid w:val="2A7A65BD"/>
    <w:rsid w:val="2A841DAD"/>
    <w:rsid w:val="2A9C1139"/>
    <w:rsid w:val="2AA2269E"/>
    <w:rsid w:val="2AB3069D"/>
    <w:rsid w:val="2AB845D9"/>
    <w:rsid w:val="2ACD0453"/>
    <w:rsid w:val="2AD77E15"/>
    <w:rsid w:val="2AF223BC"/>
    <w:rsid w:val="2AF82872"/>
    <w:rsid w:val="2B131BC2"/>
    <w:rsid w:val="2B1C5659"/>
    <w:rsid w:val="2B1D3714"/>
    <w:rsid w:val="2B2F4C6A"/>
    <w:rsid w:val="2B3302E4"/>
    <w:rsid w:val="2B4A3852"/>
    <w:rsid w:val="2B5358AB"/>
    <w:rsid w:val="2B560404"/>
    <w:rsid w:val="2B772D87"/>
    <w:rsid w:val="2BB20729"/>
    <w:rsid w:val="2BD31A99"/>
    <w:rsid w:val="2BD73DA9"/>
    <w:rsid w:val="2BD85F92"/>
    <w:rsid w:val="2BE17E8A"/>
    <w:rsid w:val="2BFE73BA"/>
    <w:rsid w:val="2C2417F5"/>
    <w:rsid w:val="2C3F6185"/>
    <w:rsid w:val="2C447B2E"/>
    <w:rsid w:val="2C532470"/>
    <w:rsid w:val="2C554E16"/>
    <w:rsid w:val="2C5C48F7"/>
    <w:rsid w:val="2C656218"/>
    <w:rsid w:val="2C6A4CBD"/>
    <w:rsid w:val="2C781ABD"/>
    <w:rsid w:val="2C82239D"/>
    <w:rsid w:val="2C8E6CA9"/>
    <w:rsid w:val="2CB872AC"/>
    <w:rsid w:val="2CD16B09"/>
    <w:rsid w:val="2CE426E2"/>
    <w:rsid w:val="2CE722CA"/>
    <w:rsid w:val="2CFD6F78"/>
    <w:rsid w:val="2D005C49"/>
    <w:rsid w:val="2D402C29"/>
    <w:rsid w:val="2D4542D1"/>
    <w:rsid w:val="2D740220"/>
    <w:rsid w:val="2D7E66F1"/>
    <w:rsid w:val="2DAC37B8"/>
    <w:rsid w:val="2DAD35B4"/>
    <w:rsid w:val="2DC81EA9"/>
    <w:rsid w:val="2DFB7CAD"/>
    <w:rsid w:val="2E0A4E97"/>
    <w:rsid w:val="2E0E5410"/>
    <w:rsid w:val="2E107C6F"/>
    <w:rsid w:val="2E121023"/>
    <w:rsid w:val="2E240DAD"/>
    <w:rsid w:val="2E291E44"/>
    <w:rsid w:val="2E4A256C"/>
    <w:rsid w:val="2E523C4B"/>
    <w:rsid w:val="2E57378F"/>
    <w:rsid w:val="2E627EA9"/>
    <w:rsid w:val="2EA01444"/>
    <w:rsid w:val="2EB37826"/>
    <w:rsid w:val="2EC2184D"/>
    <w:rsid w:val="2EC333C5"/>
    <w:rsid w:val="2EE537B6"/>
    <w:rsid w:val="2EE54FFA"/>
    <w:rsid w:val="2EE62680"/>
    <w:rsid w:val="2F0B6A77"/>
    <w:rsid w:val="2F1E4913"/>
    <w:rsid w:val="2F21001D"/>
    <w:rsid w:val="2F3A3B86"/>
    <w:rsid w:val="2F45269A"/>
    <w:rsid w:val="2F6E07F0"/>
    <w:rsid w:val="2F934038"/>
    <w:rsid w:val="2FA1300A"/>
    <w:rsid w:val="2FA931B0"/>
    <w:rsid w:val="2FCA1DB3"/>
    <w:rsid w:val="2FE15D9B"/>
    <w:rsid w:val="2FEC6053"/>
    <w:rsid w:val="2FF16036"/>
    <w:rsid w:val="30112B90"/>
    <w:rsid w:val="30313B13"/>
    <w:rsid w:val="303C485F"/>
    <w:rsid w:val="30422304"/>
    <w:rsid w:val="304614C2"/>
    <w:rsid w:val="305E0BE8"/>
    <w:rsid w:val="30621B7E"/>
    <w:rsid w:val="306772F9"/>
    <w:rsid w:val="307440EA"/>
    <w:rsid w:val="307E27C6"/>
    <w:rsid w:val="309838E6"/>
    <w:rsid w:val="3099481D"/>
    <w:rsid w:val="309F7453"/>
    <w:rsid w:val="30A45D65"/>
    <w:rsid w:val="30BD0106"/>
    <w:rsid w:val="30EB1633"/>
    <w:rsid w:val="30EC3CCF"/>
    <w:rsid w:val="30ED1462"/>
    <w:rsid w:val="311C22A0"/>
    <w:rsid w:val="31264045"/>
    <w:rsid w:val="31480788"/>
    <w:rsid w:val="316519E7"/>
    <w:rsid w:val="319A250D"/>
    <w:rsid w:val="31B71E96"/>
    <w:rsid w:val="31C56629"/>
    <w:rsid w:val="31D74FCB"/>
    <w:rsid w:val="31D938A9"/>
    <w:rsid w:val="321F01B9"/>
    <w:rsid w:val="32695AE9"/>
    <w:rsid w:val="32717916"/>
    <w:rsid w:val="32843DF1"/>
    <w:rsid w:val="328A4026"/>
    <w:rsid w:val="32B02340"/>
    <w:rsid w:val="32B26CE6"/>
    <w:rsid w:val="33317287"/>
    <w:rsid w:val="333F491C"/>
    <w:rsid w:val="334D0949"/>
    <w:rsid w:val="335B05D1"/>
    <w:rsid w:val="33704529"/>
    <w:rsid w:val="337B32E7"/>
    <w:rsid w:val="337E1BAD"/>
    <w:rsid w:val="33833DA5"/>
    <w:rsid w:val="3388644C"/>
    <w:rsid w:val="33896EB9"/>
    <w:rsid w:val="33A659E4"/>
    <w:rsid w:val="33AB6595"/>
    <w:rsid w:val="33CA638A"/>
    <w:rsid w:val="33D224A9"/>
    <w:rsid w:val="33FB289C"/>
    <w:rsid w:val="33FB5112"/>
    <w:rsid w:val="3435231F"/>
    <w:rsid w:val="344021C2"/>
    <w:rsid w:val="345A7293"/>
    <w:rsid w:val="347B4473"/>
    <w:rsid w:val="34845AB5"/>
    <w:rsid w:val="349A203C"/>
    <w:rsid w:val="34C3689E"/>
    <w:rsid w:val="34D27562"/>
    <w:rsid w:val="35082F60"/>
    <w:rsid w:val="35315E8C"/>
    <w:rsid w:val="3541200D"/>
    <w:rsid w:val="35415CC5"/>
    <w:rsid w:val="357B2A8C"/>
    <w:rsid w:val="359027A9"/>
    <w:rsid w:val="35CB384D"/>
    <w:rsid w:val="35DC7A08"/>
    <w:rsid w:val="360439AB"/>
    <w:rsid w:val="360B2A4C"/>
    <w:rsid w:val="363C42F6"/>
    <w:rsid w:val="36767924"/>
    <w:rsid w:val="367817D8"/>
    <w:rsid w:val="368B2046"/>
    <w:rsid w:val="3692636B"/>
    <w:rsid w:val="36A864C7"/>
    <w:rsid w:val="36A929A6"/>
    <w:rsid w:val="36C27720"/>
    <w:rsid w:val="36D451CC"/>
    <w:rsid w:val="36DA3A0A"/>
    <w:rsid w:val="36DB5CA6"/>
    <w:rsid w:val="36DF253D"/>
    <w:rsid w:val="36F52036"/>
    <w:rsid w:val="370810D8"/>
    <w:rsid w:val="37117919"/>
    <w:rsid w:val="37471E40"/>
    <w:rsid w:val="37487677"/>
    <w:rsid w:val="375311E6"/>
    <w:rsid w:val="377D6D5D"/>
    <w:rsid w:val="37D62E91"/>
    <w:rsid w:val="37D73D5E"/>
    <w:rsid w:val="37DD4292"/>
    <w:rsid w:val="37FB3399"/>
    <w:rsid w:val="380174EA"/>
    <w:rsid w:val="38165614"/>
    <w:rsid w:val="381A1818"/>
    <w:rsid w:val="384929D5"/>
    <w:rsid w:val="385717F3"/>
    <w:rsid w:val="38615E10"/>
    <w:rsid w:val="38693201"/>
    <w:rsid w:val="38741A6E"/>
    <w:rsid w:val="388B33D1"/>
    <w:rsid w:val="388D0B31"/>
    <w:rsid w:val="38AD2F94"/>
    <w:rsid w:val="38DA0CC0"/>
    <w:rsid w:val="38DC52ED"/>
    <w:rsid w:val="38E173A8"/>
    <w:rsid w:val="38ED7221"/>
    <w:rsid w:val="38F55A97"/>
    <w:rsid w:val="38FC2AA8"/>
    <w:rsid w:val="390E5EBF"/>
    <w:rsid w:val="391368BD"/>
    <w:rsid w:val="391A70B0"/>
    <w:rsid w:val="393C1E27"/>
    <w:rsid w:val="394C4699"/>
    <w:rsid w:val="39570EA0"/>
    <w:rsid w:val="3961360B"/>
    <w:rsid w:val="39667717"/>
    <w:rsid w:val="397504F9"/>
    <w:rsid w:val="397B72CC"/>
    <w:rsid w:val="39893797"/>
    <w:rsid w:val="39934002"/>
    <w:rsid w:val="39BD1693"/>
    <w:rsid w:val="39BF5D4C"/>
    <w:rsid w:val="39CC45BA"/>
    <w:rsid w:val="39D57A35"/>
    <w:rsid w:val="39D624C4"/>
    <w:rsid w:val="39E032BD"/>
    <w:rsid w:val="39EE2B9C"/>
    <w:rsid w:val="39F509D2"/>
    <w:rsid w:val="3A0E4BE3"/>
    <w:rsid w:val="3A320853"/>
    <w:rsid w:val="3A371577"/>
    <w:rsid w:val="3A4B44E8"/>
    <w:rsid w:val="3A575ECA"/>
    <w:rsid w:val="3A68499F"/>
    <w:rsid w:val="3A6F5F83"/>
    <w:rsid w:val="3A831862"/>
    <w:rsid w:val="3A856A0F"/>
    <w:rsid w:val="3A944439"/>
    <w:rsid w:val="3AA31E79"/>
    <w:rsid w:val="3AB10B58"/>
    <w:rsid w:val="3AC03628"/>
    <w:rsid w:val="3ADA56C8"/>
    <w:rsid w:val="3AE22F58"/>
    <w:rsid w:val="3B08414F"/>
    <w:rsid w:val="3B0A285E"/>
    <w:rsid w:val="3B231256"/>
    <w:rsid w:val="3B246A26"/>
    <w:rsid w:val="3B3223AB"/>
    <w:rsid w:val="3B384ABA"/>
    <w:rsid w:val="3B5C3DAB"/>
    <w:rsid w:val="3B767E82"/>
    <w:rsid w:val="3B7906D0"/>
    <w:rsid w:val="3B7A5A8D"/>
    <w:rsid w:val="3B8C3E53"/>
    <w:rsid w:val="3BA35245"/>
    <w:rsid w:val="3BAC28BB"/>
    <w:rsid w:val="3BB409EA"/>
    <w:rsid w:val="3BCC79B0"/>
    <w:rsid w:val="3BF67DB3"/>
    <w:rsid w:val="3BFA4E20"/>
    <w:rsid w:val="3C333252"/>
    <w:rsid w:val="3C5D3843"/>
    <w:rsid w:val="3C6D5BEC"/>
    <w:rsid w:val="3C6E4331"/>
    <w:rsid w:val="3C903E94"/>
    <w:rsid w:val="3CA11805"/>
    <w:rsid w:val="3CD034EF"/>
    <w:rsid w:val="3CE10B19"/>
    <w:rsid w:val="3D162188"/>
    <w:rsid w:val="3D1D40E1"/>
    <w:rsid w:val="3D3A0BAE"/>
    <w:rsid w:val="3D421EE7"/>
    <w:rsid w:val="3D4506CC"/>
    <w:rsid w:val="3D526599"/>
    <w:rsid w:val="3D84161D"/>
    <w:rsid w:val="3D85737C"/>
    <w:rsid w:val="3D896A6F"/>
    <w:rsid w:val="3D8A0273"/>
    <w:rsid w:val="3D91318F"/>
    <w:rsid w:val="3D977A95"/>
    <w:rsid w:val="3D9A3A9E"/>
    <w:rsid w:val="3DAA4232"/>
    <w:rsid w:val="3DAF2B6F"/>
    <w:rsid w:val="3DEE3528"/>
    <w:rsid w:val="3E1804F3"/>
    <w:rsid w:val="3E2E038D"/>
    <w:rsid w:val="3E2E484E"/>
    <w:rsid w:val="3E33621B"/>
    <w:rsid w:val="3E3C1B9A"/>
    <w:rsid w:val="3E613867"/>
    <w:rsid w:val="3E6644F2"/>
    <w:rsid w:val="3E6C767A"/>
    <w:rsid w:val="3E8250A1"/>
    <w:rsid w:val="3E827D80"/>
    <w:rsid w:val="3EA00DCD"/>
    <w:rsid w:val="3EA11583"/>
    <w:rsid w:val="3EB26AE9"/>
    <w:rsid w:val="3EB47A6E"/>
    <w:rsid w:val="3EB7027A"/>
    <w:rsid w:val="3ED77135"/>
    <w:rsid w:val="3EFE77B4"/>
    <w:rsid w:val="3F085BDF"/>
    <w:rsid w:val="3F4B7F0F"/>
    <w:rsid w:val="3F5E56C6"/>
    <w:rsid w:val="3F723D69"/>
    <w:rsid w:val="3F7A2278"/>
    <w:rsid w:val="3F7C649C"/>
    <w:rsid w:val="3F841DFC"/>
    <w:rsid w:val="3F9359A3"/>
    <w:rsid w:val="3F9F4D2E"/>
    <w:rsid w:val="3FA73DCB"/>
    <w:rsid w:val="3FF65710"/>
    <w:rsid w:val="3FF86E00"/>
    <w:rsid w:val="40021507"/>
    <w:rsid w:val="400A2D0C"/>
    <w:rsid w:val="400D00D4"/>
    <w:rsid w:val="40170381"/>
    <w:rsid w:val="401C3CED"/>
    <w:rsid w:val="40402EC7"/>
    <w:rsid w:val="40454AA0"/>
    <w:rsid w:val="407B1E65"/>
    <w:rsid w:val="40C8422E"/>
    <w:rsid w:val="40E47808"/>
    <w:rsid w:val="40F72D63"/>
    <w:rsid w:val="410D73A4"/>
    <w:rsid w:val="411B215D"/>
    <w:rsid w:val="412B3FC2"/>
    <w:rsid w:val="412B5099"/>
    <w:rsid w:val="413043FB"/>
    <w:rsid w:val="413609ED"/>
    <w:rsid w:val="416F36A2"/>
    <w:rsid w:val="41793A79"/>
    <w:rsid w:val="417B6C29"/>
    <w:rsid w:val="418B31BF"/>
    <w:rsid w:val="418F482F"/>
    <w:rsid w:val="41C13E9F"/>
    <w:rsid w:val="41CB1820"/>
    <w:rsid w:val="420204DA"/>
    <w:rsid w:val="423D2E16"/>
    <w:rsid w:val="424720EA"/>
    <w:rsid w:val="42643755"/>
    <w:rsid w:val="4299325D"/>
    <w:rsid w:val="42A76C14"/>
    <w:rsid w:val="42B92756"/>
    <w:rsid w:val="42BF630F"/>
    <w:rsid w:val="42C74BAD"/>
    <w:rsid w:val="42F5057E"/>
    <w:rsid w:val="43026800"/>
    <w:rsid w:val="431E5F88"/>
    <w:rsid w:val="43274CF9"/>
    <w:rsid w:val="433724B6"/>
    <w:rsid w:val="437F478A"/>
    <w:rsid w:val="438E6FA7"/>
    <w:rsid w:val="43B6072B"/>
    <w:rsid w:val="43CD51C7"/>
    <w:rsid w:val="43D234BE"/>
    <w:rsid w:val="43D245CE"/>
    <w:rsid w:val="43E32BEE"/>
    <w:rsid w:val="43E63159"/>
    <w:rsid w:val="44371848"/>
    <w:rsid w:val="4443147C"/>
    <w:rsid w:val="44434227"/>
    <w:rsid w:val="4449791F"/>
    <w:rsid w:val="444A2735"/>
    <w:rsid w:val="445D28B8"/>
    <w:rsid w:val="44641089"/>
    <w:rsid w:val="447A26FA"/>
    <w:rsid w:val="448F1959"/>
    <w:rsid w:val="4496320C"/>
    <w:rsid w:val="449C06BC"/>
    <w:rsid w:val="44CC4C13"/>
    <w:rsid w:val="44D97984"/>
    <w:rsid w:val="44F705F2"/>
    <w:rsid w:val="451C0B6B"/>
    <w:rsid w:val="45364B2B"/>
    <w:rsid w:val="453920BE"/>
    <w:rsid w:val="45453A9E"/>
    <w:rsid w:val="45672721"/>
    <w:rsid w:val="45737205"/>
    <w:rsid w:val="45785CFD"/>
    <w:rsid w:val="457C6BDD"/>
    <w:rsid w:val="45814DF6"/>
    <w:rsid w:val="458722C3"/>
    <w:rsid w:val="45A046E2"/>
    <w:rsid w:val="45BA0898"/>
    <w:rsid w:val="45D26DC0"/>
    <w:rsid w:val="45E34F6F"/>
    <w:rsid w:val="463B75B2"/>
    <w:rsid w:val="464745EB"/>
    <w:rsid w:val="464B6860"/>
    <w:rsid w:val="4664520C"/>
    <w:rsid w:val="46AF0597"/>
    <w:rsid w:val="46B11CD5"/>
    <w:rsid w:val="46B20380"/>
    <w:rsid w:val="46C33801"/>
    <w:rsid w:val="46C36B4D"/>
    <w:rsid w:val="46C620B0"/>
    <w:rsid w:val="46CA7739"/>
    <w:rsid w:val="46F4079E"/>
    <w:rsid w:val="46F70F1E"/>
    <w:rsid w:val="46FE0E59"/>
    <w:rsid w:val="471707BB"/>
    <w:rsid w:val="47257848"/>
    <w:rsid w:val="472745EF"/>
    <w:rsid w:val="472D6F7F"/>
    <w:rsid w:val="47306D82"/>
    <w:rsid w:val="475A0C1C"/>
    <w:rsid w:val="476240E0"/>
    <w:rsid w:val="47876268"/>
    <w:rsid w:val="47B36B2F"/>
    <w:rsid w:val="47CE56FF"/>
    <w:rsid w:val="47ED3A0E"/>
    <w:rsid w:val="47ED502D"/>
    <w:rsid w:val="47F9422B"/>
    <w:rsid w:val="48044091"/>
    <w:rsid w:val="48227754"/>
    <w:rsid w:val="48416DB6"/>
    <w:rsid w:val="486358E8"/>
    <w:rsid w:val="486D233D"/>
    <w:rsid w:val="486F7876"/>
    <w:rsid w:val="4871215B"/>
    <w:rsid w:val="48726528"/>
    <w:rsid w:val="48734738"/>
    <w:rsid w:val="489314A0"/>
    <w:rsid w:val="489E4E35"/>
    <w:rsid w:val="48BD0863"/>
    <w:rsid w:val="48D01E81"/>
    <w:rsid w:val="48D37024"/>
    <w:rsid w:val="48DE09F9"/>
    <w:rsid w:val="48F26F5B"/>
    <w:rsid w:val="48F645F2"/>
    <w:rsid w:val="493A29D0"/>
    <w:rsid w:val="495A4B31"/>
    <w:rsid w:val="495D296B"/>
    <w:rsid w:val="496B20FF"/>
    <w:rsid w:val="497C0C22"/>
    <w:rsid w:val="49877D6A"/>
    <w:rsid w:val="498B45AA"/>
    <w:rsid w:val="499840C2"/>
    <w:rsid w:val="49994D4E"/>
    <w:rsid w:val="49AD4CB7"/>
    <w:rsid w:val="49DE0D94"/>
    <w:rsid w:val="49EE7CDB"/>
    <w:rsid w:val="4A0D1D94"/>
    <w:rsid w:val="4A23362D"/>
    <w:rsid w:val="4A5262CB"/>
    <w:rsid w:val="4A6A1823"/>
    <w:rsid w:val="4A922C18"/>
    <w:rsid w:val="4ABD227E"/>
    <w:rsid w:val="4ADE4C56"/>
    <w:rsid w:val="4AEF1A7C"/>
    <w:rsid w:val="4AF02D81"/>
    <w:rsid w:val="4AFD5D93"/>
    <w:rsid w:val="4B162FC1"/>
    <w:rsid w:val="4B2F43CB"/>
    <w:rsid w:val="4B3C363F"/>
    <w:rsid w:val="4B4D53AC"/>
    <w:rsid w:val="4B5A712B"/>
    <w:rsid w:val="4B61224C"/>
    <w:rsid w:val="4B656941"/>
    <w:rsid w:val="4B6A20D4"/>
    <w:rsid w:val="4B7C375B"/>
    <w:rsid w:val="4B7D3C6A"/>
    <w:rsid w:val="4B8576B5"/>
    <w:rsid w:val="4B8770D4"/>
    <w:rsid w:val="4B9A6432"/>
    <w:rsid w:val="4BDA56C8"/>
    <w:rsid w:val="4BE96D5A"/>
    <w:rsid w:val="4C0A1B10"/>
    <w:rsid w:val="4C0C47D3"/>
    <w:rsid w:val="4C1A4519"/>
    <w:rsid w:val="4C2E020A"/>
    <w:rsid w:val="4C3C1F70"/>
    <w:rsid w:val="4C4C3BA6"/>
    <w:rsid w:val="4C535E40"/>
    <w:rsid w:val="4C63256E"/>
    <w:rsid w:val="4C656AC2"/>
    <w:rsid w:val="4C6C7D20"/>
    <w:rsid w:val="4C737EDD"/>
    <w:rsid w:val="4C8C26A7"/>
    <w:rsid w:val="4C901EBE"/>
    <w:rsid w:val="4C914D7F"/>
    <w:rsid w:val="4C93212D"/>
    <w:rsid w:val="4C9B7F61"/>
    <w:rsid w:val="4CAE62E5"/>
    <w:rsid w:val="4CBB174B"/>
    <w:rsid w:val="4CC46F73"/>
    <w:rsid w:val="4CD50EA5"/>
    <w:rsid w:val="4CEA2B3C"/>
    <w:rsid w:val="4CEF29AA"/>
    <w:rsid w:val="4D1E3A2B"/>
    <w:rsid w:val="4D26014A"/>
    <w:rsid w:val="4D663F3C"/>
    <w:rsid w:val="4DA976BE"/>
    <w:rsid w:val="4DB53FFE"/>
    <w:rsid w:val="4DC308ED"/>
    <w:rsid w:val="4DF31B7A"/>
    <w:rsid w:val="4E0D622E"/>
    <w:rsid w:val="4E265601"/>
    <w:rsid w:val="4E332554"/>
    <w:rsid w:val="4E3F08E0"/>
    <w:rsid w:val="4E4733E9"/>
    <w:rsid w:val="4E594017"/>
    <w:rsid w:val="4E6560DF"/>
    <w:rsid w:val="4E661EA1"/>
    <w:rsid w:val="4E716872"/>
    <w:rsid w:val="4E86277D"/>
    <w:rsid w:val="4E8B4A8A"/>
    <w:rsid w:val="4EA21CBF"/>
    <w:rsid w:val="4EB3122E"/>
    <w:rsid w:val="4EB93915"/>
    <w:rsid w:val="4EBB4D98"/>
    <w:rsid w:val="4ECE4772"/>
    <w:rsid w:val="4EF1548F"/>
    <w:rsid w:val="4EF77399"/>
    <w:rsid w:val="4F1809DD"/>
    <w:rsid w:val="4F1A1ED7"/>
    <w:rsid w:val="4F2E2B78"/>
    <w:rsid w:val="4F504AFD"/>
    <w:rsid w:val="4F5618E0"/>
    <w:rsid w:val="4F604F02"/>
    <w:rsid w:val="4F662830"/>
    <w:rsid w:val="4F7534EA"/>
    <w:rsid w:val="4F8310B3"/>
    <w:rsid w:val="4FAF3BB5"/>
    <w:rsid w:val="4FB34975"/>
    <w:rsid w:val="4FC92959"/>
    <w:rsid w:val="4FDB66F5"/>
    <w:rsid w:val="4FE1061B"/>
    <w:rsid w:val="4FE445E2"/>
    <w:rsid w:val="4FF54646"/>
    <w:rsid w:val="501677F0"/>
    <w:rsid w:val="5036220A"/>
    <w:rsid w:val="50827F74"/>
    <w:rsid w:val="508D1E65"/>
    <w:rsid w:val="509B2399"/>
    <w:rsid w:val="50B057F0"/>
    <w:rsid w:val="51294297"/>
    <w:rsid w:val="512E1B79"/>
    <w:rsid w:val="51325901"/>
    <w:rsid w:val="51374D4B"/>
    <w:rsid w:val="514D7CE7"/>
    <w:rsid w:val="51801F17"/>
    <w:rsid w:val="51C4585C"/>
    <w:rsid w:val="52100B78"/>
    <w:rsid w:val="521E6FE4"/>
    <w:rsid w:val="5220793A"/>
    <w:rsid w:val="523F5DA8"/>
    <w:rsid w:val="52490E1E"/>
    <w:rsid w:val="526A0F92"/>
    <w:rsid w:val="526F66CB"/>
    <w:rsid w:val="52713BCF"/>
    <w:rsid w:val="52962A2D"/>
    <w:rsid w:val="52C13B25"/>
    <w:rsid w:val="52EF15DD"/>
    <w:rsid w:val="52F504A4"/>
    <w:rsid w:val="52F96973"/>
    <w:rsid w:val="530C2C6D"/>
    <w:rsid w:val="53113CD6"/>
    <w:rsid w:val="5316015D"/>
    <w:rsid w:val="531F25F1"/>
    <w:rsid w:val="532B7CFC"/>
    <w:rsid w:val="53316789"/>
    <w:rsid w:val="53430CF6"/>
    <w:rsid w:val="534D64E5"/>
    <w:rsid w:val="53776EFD"/>
    <w:rsid w:val="53867518"/>
    <w:rsid w:val="5393482C"/>
    <w:rsid w:val="539B23CA"/>
    <w:rsid w:val="53B33DB4"/>
    <w:rsid w:val="53E94E5C"/>
    <w:rsid w:val="53EF65AB"/>
    <w:rsid w:val="53F31A97"/>
    <w:rsid w:val="53FC54FE"/>
    <w:rsid w:val="541124AB"/>
    <w:rsid w:val="54594E83"/>
    <w:rsid w:val="54722618"/>
    <w:rsid w:val="54B72FAA"/>
    <w:rsid w:val="54B80B8E"/>
    <w:rsid w:val="54CE480A"/>
    <w:rsid w:val="54DD70B9"/>
    <w:rsid w:val="54E23F51"/>
    <w:rsid w:val="54ED44E0"/>
    <w:rsid w:val="54ED4648"/>
    <w:rsid w:val="552416EB"/>
    <w:rsid w:val="5540005A"/>
    <w:rsid w:val="55496DF8"/>
    <w:rsid w:val="554A4791"/>
    <w:rsid w:val="55810352"/>
    <w:rsid w:val="558D237A"/>
    <w:rsid w:val="55A31FD5"/>
    <w:rsid w:val="55BD3B21"/>
    <w:rsid w:val="55C449FA"/>
    <w:rsid w:val="55D55D03"/>
    <w:rsid w:val="55DC250E"/>
    <w:rsid w:val="56051FA0"/>
    <w:rsid w:val="560529D6"/>
    <w:rsid w:val="560A02FD"/>
    <w:rsid w:val="56141D44"/>
    <w:rsid w:val="563A7A06"/>
    <w:rsid w:val="563E5BAE"/>
    <w:rsid w:val="564A5AA2"/>
    <w:rsid w:val="568C2581"/>
    <w:rsid w:val="569C67A5"/>
    <w:rsid w:val="56BD5CC2"/>
    <w:rsid w:val="56F312AE"/>
    <w:rsid w:val="56F87FA5"/>
    <w:rsid w:val="57117A69"/>
    <w:rsid w:val="57662666"/>
    <w:rsid w:val="57664CA5"/>
    <w:rsid w:val="57D3029C"/>
    <w:rsid w:val="58000AF6"/>
    <w:rsid w:val="581D341E"/>
    <w:rsid w:val="583D1771"/>
    <w:rsid w:val="583E74B2"/>
    <w:rsid w:val="5852365C"/>
    <w:rsid w:val="586F79A5"/>
    <w:rsid w:val="58730291"/>
    <w:rsid w:val="58782F40"/>
    <w:rsid w:val="58A208CC"/>
    <w:rsid w:val="58C51484"/>
    <w:rsid w:val="58E36EC9"/>
    <w:rsid w:val="58E46ADA"/>
    <w:rsid w:val="58E85AC9"/>
    <w:rsid w:val="58ED2352"/>
    <w:rsid w:val="590C0B28"/>
    <w:rsid w:val="591732CA"/>
    <w:rsid w:val="591A203C"/>
    <w:rsid w:val="59385AB9"/>
    <w:rsid w:val="59615722"/>
    <w:rsid w:val="596A1975"/>
    <w:rsid w:val="596F757E"/>
    <w:rsid w:val="59900C4D"/>
    <w:rsid w:val="59B25867"/>
    <w:rsid w:val="59BE0216"/>
    <w:rsid w:val="59C13ACF"/>
    <w:rsid w:val="59EF2121"/>
    <w:rsid w:val="59F45004"/>
    <w:rsid w:val="59FF13B5"/>
    <w:rsid w:val="5A1A79E1"/>
    <w:rsid w:val="5A31164D"/>
    <w:rsid w:val="5A5055F2"/>
    <w:rsid w:val="5A7F145F"/>
    <w:rsid w:val="5A8B15AF"/>
    <w:rsid w:val="5A9B1052"/>
    <w:rsid w:val="5AA275F8"/>
    <w:rsid w:val="5AB126F6"/>
    <w:rsid w:val="5AB35C8E"/>
    <w:rsid w:val="5AC10E9A"/>
    <w:rsid w:val="5AD355CA"/>
    <w:rsid w:val="5AE54EFF"/>
    <w:rsid w:val="5B2B3037"/>
    <w:rsid w:val="5B3F04EE"/>
    <w:rsid w:val="5B43438F"/>
    <w:rsid w:val="5B484446"/>
    <w:rsid w:val="5B513324"/>
    <w:rsid w:val="5B796148"/>
    <w:rsid w:val="5B9A3355"/>
    <w:rsid w:val="5BA87A3F"/>
    <w:rsid w:val="5C2F382A"/>
    <w:rsid w:val="5C423F83"/>
    <w:rsid w:val="5C440BAE"/>
    <w:rsid w:val="5C4D06F9"/>
    <w:rsid w:val="5C744F65"/>
    <w:rsid w:val="5C78798A"/>
    <w:rsid w:val="5C7C71CB"/>
    <w:rsid w:val="5C845150"/>
    <w:rsid w:val="5CBF7D59"/>
    <w:rsid w:val="5CD97256"/>
    <w:rsid w:val="5CE7597F"/>
    <w:rsid w:val="5CF03BE9"/>
    <w:rsid w:val="5D0E25D8"/>
    <w:rsid w:val="5D1457C4"/>
    <w:rsid w:val="5D2E6FEF"/>
    <w:rsid w:val="5D3C0746"/>
    <w:rsid w:val="5D4123C4"/>
    <w:rsid w:val="5D7E31D2"/>
    <w:rsid w:val="5D814384"/>
    <w:rsid w:val="5D9C0459"/>
    <w:rsid w:val="5DB76355"/>
    <w:rsid w:val="5DB81151"/>
    <w:rsid w:val="5DC21AC7"/>
    <w:rsid w:val="5DC60358"/>
    <w:rsid w:val="5DD01DBF"/>
    <w:rsid w:val="5DDA62A3"/>
    <w:rsid w:val="5DDB01B6"/>
    <w:rsid w:val="5E065190"/>
    <w:rsid w:val="5E200792"/>
    <w:rsid w:val="5E2977F0"/>
    <w:rsid w:val="5E321B48"/>
    <w:rsid w:val="5E370649"/>
    <w:rsid w:val="5E5A675C"/>
    <w:rsid w:val="5E7B54F5"/>
    <w:rsid w:val="5E804650"/>
    <w:rsid w:val="5EC37ED9"/>
    <w:rsid w:val="5ECC54B0"/>
    <w:rsid w:val="5EE52C75"/>
    <w:rsid w:val="5F271312"/>
    <w:rsid w:val="5F453528"/>
    <w:rsid w:val="5F69724F"/>
    <w:rsid w:val="5F6E316F"/>
    <w:rsid w:val="5F7C5AF1"/>
    <w:rsid w:val="5F97010C"/>
    <w:rsid w:val="5FA10C71"/>
    <w:rsid w:val="5FA24FB6"/>
    <w:rsid w:val="5FAA38DA"/>
    <w:rsid w:val="5FDC48B5"/>
    <w:rsid w:val="5FEF0D71"/>
    <w:rsid w:val="5FF168FC"/>
    <w:rsid w:val="600C6122"/>
    <w:rsid w:val="60430294"/>
    <w:rsid w:val="6072134A"/>
    <w:rsid w:val="607D515C"/>
    <w:rsid w:val="60832C2C"/>
    <w:rsid w:val="608549E8"/>
    <w:rsid w:val="608576E9"/>
    <w:rsid w:val="608814C0"/>
    <w:rsid w:val="60CF759C"/>
    <w:rsid w:val="60D07165"/>
    <w:rsid w:val="60E4448C"/>
    <w:rsid w:val="60EE6715"/>
    <w:rsid w:val="6123116D"/>
    <w:rsid w:val="6135428F"/>
    <w:rsid w:val="61753AD2"/>
    <w:rsid w:val="61796912"/>
    <w:rsid w:val="619F2CB5"/>
    <w:rsid w:val="61B06987"/>
    <w:rsid w:val="61BB14B7"/>
    <w:rsid w:val="61E3373C"/>
    <w:rsid w:val="620D2E7B"/>
    <w:rsid w:val="621023CE"/>
    <w:rsid w:val="621A21C4"/>
    <w:rsid w:val="6245254A"/>
    <w:rsid w:val="625E5C5F"/>
    <w:rsid w:val="6260733C"/>
    <w:rsid w:val="626559E9"/>
    <w:rsid w:val="626A1EF3"/>
    <w:rsid w:val="629E05AD"/>
    <w:rsid w:val="62B04E62"/>
    <w:rsid w:val="62B5242B"/>
    <w:rsid w:val="62D1322E"/>
    <w:rsid w:val="631B4575"/>
    <w:rsid w:val="631F07E7"/>
    <w:rsid w:val="633555F4"/>
    <w:rsid w:val="63465D82"/>
    <w:rsid w:val="63473EC6"/>
    <w:rsid w:val="634A2CF1"/>
    <w:rsid w:val="63517324"/>
    <w:rsid w:val="63521D29"/>
    <w:rsid w:val="635A2722"/>
    <w:rsid w:val="636F2D77"/>
    <w:rsid w:val="638F30AD"/>
    <w:rsid w:val="63C9315F"/>
    <w:rsid w:val="63D27752"/>
    <w:rsid w:val="64313070"/>
    <w:rsid w:val="643D497C"/>
    <w:rsid w:val="643E0C82"/>
    <w:rsid w:val="64442C0B"/>
    <w:rsid w:val="6458100E"/>
    <w:rsid w:val="64773833"/>
    <w:rsid w:val="647A754F"/>
    <w:rsid w:val="64976601"/>
    <w:rsid w:val="64BD6D2C"/>
    <w:rsid w:val="64E06963"/>
    <w:rsid w:val="652D30E0"/>
    <w:rsid w:val="65665615"/>
    <w:rsid w:val="659415F5"/>
    <w:rsid w:val="659B45DB"/>
    <w:rsid w:val="65BF56F0"/>
    <w:rsid w:val="65C10571"/>
    <w:rsid w:val="65C56FC6"/>
    <w:rsid w:val="65D307DC"/>
    <w:rsid w:val="65FA5E5E"/>
    <w:rsid w:val="660300DE"/>
    <w:rsid w:val="66054F35"/>
    <w:rsid w:val="660D6AFB"/>
    <w:rsid w:val="66142983"/>
    <w:rsid w:val="662014F4"/>
    <w:rsid w:val="663526E8"/>
    <w:rsid w:val="666A7EA4"/>
    <w:rsid w:val="667025E0"/>
    <w:rsid w:val="669C5B77"/>
    <w:rsid w:val="66A12093"/>
    <w:rsid w:val="66AD4A33"/>
    <w:rsid w:val="66B2560C"/>
    <w:rsid w:val="66BF109E"/>
    <w:rsid w:val="67065096"/>
    <w:rsid w:val="670F05EC"/>
    <w:rsid w:val="67130066"/>
    <w:rsid w:val="671C3F6D"/>
    <w:rsid w:val="672E19F4"/>
    <w:rsid w:val="67410FCC"/>
    <w:rsid w:val="67420199"/>
    <w:rsid w:val="679124B9"/>
    <w:rsid w:val="67EB4DFC"/>
    <w:rsid w:val="680958D3"/>
    <w:rsid w:val="680E4244"/>
    <w:rsid w:val="68106833"/>
    <w:rsid w:val="681F67D0"/>
    <w:rsid w:val="68410604"/>
    <w:rsid w:val="685C6D38"/>
    <w:rsid w:val="686D187D"/>
    <w:rsid w:val="688C30EC"/>
    <w:rsid w:val="68A25606"/>
    <w:rsid w:val="68D370A0"/>
    <w:rsid w:val="68F17A02"/>
    <w:rsid w:val="690C66E5"/>
    <w:rsid w:val="690F01B7"/>
    <w:rsid w:val="69136471"/>
    <w:rsid w:val="6914776F"/>
    <w:rsid w:val="694234C3"/>
    <w:rsid w:val="694868CC"/>
    <w:rsid w:val="69684A2F"/>
    <w:rsid w:val="696B2168"/>
    <w:rsid w:val="69801C11"/>
    <w:rsid w:val="699042AF"/>
    <w:rsid w:val="69CB581E"/>
    <w:rsid w:val="69CE7895"/>
    <w:rsid w:val="69F7611F"/>
    <w:rsid w:val="6A4960ED"/>
    <w:rsid w:val="6A7236E2"/>
    <w:rsid w:val="6A842A4E"/>
    <w:rsid w:val="6AAE2CEA"/>
    <w:rsid w:val="6AFC11E3"/>
    <w:rsid w:val="6B123B25"/>
    <w:rsid w:val="6B19335D"/>
    <w:rsid w:val="6B1F4E4B"/>
    <w:rsid w:val="6B695F28"/>
    <w:rsid w:val="6B7E3F6B"/>
    <w:rsid w:val="6BA83C2F"/>
    <w:rsid w:val="6BEA38E0"/>
    <w:rsid w:val="6BF1173F"/>
    <w:rsid w:val="6BFB2727"/>
    <w:rsid w:val="6C06422E"/>
    <w:rsid w:val="6C08348F"/>
    <w:rsid w:val="6C09636A"/>
    <w:rsid w:val="6C1653E3"/>
    <w:rsid w:val="6C2909A5"/>
    <w:rsid w:val="6C3F1475"/>
    <w:rsid w:val="6C4E0DC0"/>
    <w:rsid w:val="6C56268E"/>
    <w:rsid w:val="6C5A1350"/>
    <w:rsid w:val="6C606ADC"/>
    <w:rsid w:val="6C6756D8"/>
    <w:rsid w:val="6C6D2921"/>
    <w:rsid w:val="6C9C4526"/>
    <w:rsid w:val="6CDC408F"/>
    <w:rsid w:val="6CDE15A9"/>
    <w:rsid w:val="6CE7223B"/>
    <w:rsid w:val="6D2B092E"/>
    <w:rsid w:val="6D301782"/>
    <w:rsid w:val="6D3C71D0"/>
    <w:rsid w:val="6D4270CF"/>
    <w:rsid w:val="6D5D7F8F"/>
    <w:rsid w:val="6D654602"/>
    <w:rsid w:val="6D700CD0"/>
    <w:rsid w:val="6D822F3E"/>
    <w:rsid w:val="6D9F7468"/>
    <w:rsid w:val="6DB2639D"/>
    <w:rsid w:val="6DC42971"/>
    <w:rsid w:val="6DDA0547"/>
    <w:rsid w:val="6DEC629C"/>
    <w:rsid w:val="6DF713E1"/>
    <w:rsid w:val="6DFD7CD4"/>
    <w:rsid w:val="6E035A11"/>
    <w:rsid w:val="6E164908"/>
    <w:rsid w:val="6E1766CB"/>
    <w:rsid w:val="6E2502A7"/>
    <w:rsid w:val="6E3766E2"/>
    <w:rsid w:val="6E3D33F0"/>
    <w:rsid w:val="6E6757C5"/>
    <w:rsid w:val="6E6C7AB6"/>
    <w:rsid w:val="6E7B1396"/>
    <w:rsid w:val="6E8E2A4E"/>
    <w:rsid w:val="6EA51DB9"/>
    <w:rsid w:val="6EBA6D9D"/>
    <w:rsid w:val="6EC00F8F"/>
    <w:rsid w:val="6EC43863"/>
    <w:rsid w:val="6ED1025D"/>
    <w:rsid w:val="6F022029"/>
    <w:rsid w:val="6F0270B0"/>
    <w:rsid w:val="6F152DFC"/>
    <w:rsid w:val="6F1E2474"/>
    <w:rsid w:val="6F2A4AF9"/>
    <w:rsid w:val="6F2F27C8"/>
    <w:rsid w:val="6F437B19"/>
    <w:rsid w:val="6F551DCA"/>
    <w:rsid w:val="6F663551"/>
    <w:rsid w:val="6F884C51"/>
    <w:rsid w:val="6F8B4E7A"/>
    <w:rsid w:val="6F8D7F76"/>
    <w:rsid w:val="6FA355B4"/>
    <w:rsid w:val="6FD76A20"/>
    <w:rsid w:val="6FDF32EF"/>
    <w:rsid w:val="6FF500A1"/>
    <w:rsid w:val="70150127"/>
    <w:rsid w:val="70334C37"/>
    <w:rsid w:val="706B4BC5"/>
    <w:rsid w:val="70757E8B"/>
    <w:rsid w:val="708832EA"/>
    <w:rsid w:val="709B394E"/>
    <w:rsid w:val="70C04A87"/>
    <w:rsid w:val="70C25B12"/>
    <w:rsid w:val="70DB471C"/>
    <w:rsid w:val="70DD12E4"/>
    <w:rsid w:val="70DD7781"/>
    <w:rsid w:val="70E76F51"/>
    <w:rsid w:val="71132881"/>
    <w:rsid w:val="7116152B"/>
    <w:rsid w:val="71211F2C"/>
    <w:rsid w:val="71300F9A"/>
    <w:rsid w:val="71476A8B"/>
    <w:rsid w:val="7149549B"/>
    <w:rsid w:val="714979B6"/>
    <w:rsid w:val="715611C2"/>
    <w:rsid w:val="71624406"/>
    <w:rsid w:val="71675242"/>
    <w:rsid w:val="71733631"/>
    <w:rsid w:val="7177483F"/>
    <w:rsid w:val="719D6DB9"/>
    <w:rsid w:val="71C03DC9"/>
    <w:rsid w:val="71CD2DE4"/>
    <w:rsid w:val="71DA2030"/>
    <w:rsid w:val="71EA67C2"/>
    <w:rsid w:val="71FB1783"/>
    <w:rsid w:val="72133F6A"/>
    <w:rsid w:val="72170CD9"/>
    <w:rsid w:val="72325B55"/>
    <w:rsid w:val="724310E1"/>
    <w:rsid w:val="72617A50"/>
    <w:rsid w:val="72A9383C"/>
    <w:rsid w:val="72AB7677"/>
    <w:rsid w:val="72B77140"/>
    <w:rsid w:val="72BC5E7B"/>
    <w:rsid w:val="72C10729"/>
    <w:rsid w:val="72DA3253"/>
    <w:rsid w:val="72DB18FF"/>
    <w:rsid w:val="72FB4C14"/>
    <w:rsid w:val="73054101"/>
    <w:rsid w:val="7307719C"/>
    <w:rsid w:val="73210D6E"/>
    <w:rsid w:val="735E2156"/>
    <w:rsid w:val="73925BAA"/>
    <w:rsid w:val="73B61051"/>
    <w:rsid w:val="73BE2642"/>
    <w:rsid w:val="73CB7009"/>
    <w:rsid w:val="73D95029"/>
    <w:rsid w:val="73E97578"/>
    <w:rsid w:val="73EC37FA"/>
    <w:rsid w:val="73F5204B"/>
    <w:rsid w:val="74070429"/>
    <w:rsid w:val="740F09F7"/>
    <w:rsid w:val="74156F01"/>
    <w:rsid w:val="741B7D3F"/>
    <w:rsid w:val="742D726C"/>
    <w:rsid w:val="742F2BB2"/>
    <w:rsid w:val="743041B3"/>
    <w:rsid w:val="74347F34"/>
    <w:rsid w:val="74383DB9"/>
    <w:rsid w:val="743A2D70"/>
    <w:rsid w:val="745F3497"/>
    <w:rsid w:val="74AA5A49"/>
    <w:rsid w:val="74B90757"/>
    <w:rsid w:val="74C23D1D"/>
    <w:rsid w:val="74D20734"/>
    <w:rsid w:val="74DB35C2"/>
    <w:rsid w:val="75084155"/>
    <w:rsid w:val="750F36F1"/>
    <w:rsid w:val="75433BCF"/>
    <w:rsid w:val="7547468B"/>
    <w:rsid w:val="756C769F"/>
    <w:rsid w:val="75702BBC"/>
    <w:rsid w:val="75763252"/>
    <w:rsid w:val="757C69CF"/>
    <w:rsid w:val="758A321B"/>
    <w:rsid w:val="758E56B6"/>
    <w:rsid w:val="75B9382D"/>
    <w:rsid w:val="75BB607F"/>
    <w:rsid w:val="75DE3327"/>
    <w:rsid w:val="75DE6A85"/>
    <w:rsid w:val="75E13FE7"/>
    <w:rsid w:val="760B4F58"/>
    <w:rsid w:val="762D08A0"/>
    <w:rsid w:val="765B1E90"/>
    <w:rsid w:val="76772AF9"/>
    <w:rsid w:val="76856D1C"/>
    <w:rsid w:val="768B2707"/>
    <w:rsid w:val="76C84501"/>
    <w:rsid w:val="76D82CB1"/>
    <w:rsid w:val="76EB4627"/>
    <w:rsid w:val="76F4315A"/>
    <w:rsid w:val="770104CF"/>
    <w:rsid w:val="7707575C"/>
    <w:rsid w:val="770D0D33"/>
    <w:rsid w:val="772A4C0A"/>
    <w:rsid w:val="77433A7A"/>
    <w:rsid w:val="775F3697"/>
    <w:rsid w:val="77814A03"/>
    <w:rsid w:val="778A3C79"/>
    <w:rsid w:val="77933F9D"/>
    <w:rsid w:val="779667DF"/>
    <w:rsid w:val="77FC1EE6"/>
    <w:rsid w:val="78012BEE"/>
    <w:rsid w:val="78071701"/>
    <w:rsid w:val="782B4CE1"/>
    <w:rsid w:val="782F4488"/>
    <w:rsid w:val="78326BCF"/>
    <w:rsid w:val="7834400B"/>
    <w:rsid w:val="78503DA5"/>
    <w:rsid w:val="78545B4C"/>
    <w:rsid w:val="78646FCD"/>
    <w:rsid w:val="78717876"/>
    <w:rsid w:val="78866515"/>
    <w:rsid w:val="78A41665"/>
    <w:rsid w:val="78A463F8"/>
    <w:rsid w:val="78AE61BD"/>
    <w:rsid w:val="78B22610"/>
    <w:rsid w:val="78B82F7C"/>
    <w:rsid w:val="78CB6779"/>
    <w:rsid w:val="78E212EF"/>
    <w:rsid w:val="78F61BEE"/>
    <w:rsid w:val="79596197"/>
    <w:rsid w:val="7967694A"/>
    <w:rsid w:val="79797DFE"/>
    <w:rsid w:val="798464EA"/>
    <w:rsid w:val="79891677"/>
    <w:rsid w:val="79921C19"/>
    <w:rsid w:val="79A656C4"/>
    <w:rsid w:val="79C03F87"/>
    <w:rsid w:val="79C34796"/>
    <w:rsid w:val="79D4756E"/>
    <w:rsid w:val="79E65AC0"/>
    <w:rsid w:val="79F87438"/>
    <w:rsid w:val="7A175DC5"/>
    <w:rsid w:val="7A2902FC"/>
    <w:rsid w:val="7A3E3B4E"/>
    <w:rsid w:val="7A4D2581"/>
    <w:rsid w:val="7A4F0F30"/>
    <w:rsid w:val="7A6510DB"/>
    <w:rsid w:val="7A68455E"/>
    <w:rsid w:val="7A9121A0"/>
    <w:rsid w:val="7AC94EC1"/>
    <w:rsid w:val="7B0236E3"/>
    <w:rsid w:val="7B2833AB"/>
    <w:rsid w:val="7B366742"/>
    <w:rsid w:val="7B3D051E"/>
    <w:rsid w:val="7B3F5288"/>
    <w:rsid w:val="7B615D46"/>
    <w:rsid w:val="7B6E3C48"/>
    <w:rsid w:val="7B772542"/>
    <w:rsid w:val="7B7D2454"/>
    <w:rsid w:val="7B862FB3"/>
    <w:rsid w:val="7B8A017D"/>
    <w:rsid w:val="7B922AD7"/>
    <w:rsid w:val="7BBD0AA3"/>
    <w:rsid w:val="7BC97F5D"/>
    <w:rsid w:val="7BD36D61"/>
    <w:rsid w:val="7BDA0B84"/>
    <w:rsid w:val="7BFC2E45"/>
    <w:rsid w:val="7C2428D0"/>
    <w:rsid w:val="7C244942"/>
    <w:rsid w:val="7C3640B7"/>
    <w:rsid w:val="7C417667"/>
    <w:rsid w:val="7C64375C"/>
    <w:rsid w:val="7C7D2131"/>
    <w:rsid w:val="7CA24F5E"/>
    <w:rsid w:val="7CAE75DD"/>
    <w:rsid w:val="7CBA048E"/>
    <w:rsid w:val="7CBF2104"/>
    <w:rsid w:val="7CC532B1"/>
    <w:rsid w:val="7D1F7C61"/>
    <w:rsid w:val="7D34683D"/>
    <w:rsid w:val="7D5207A9"/>
    <w:rsid w:val="7D6F5177"/>
    <w:rsid w:val="7D8E3FFB"/>
    <w:rsid w:val="7DC70768"/>
    <w:rsid w:val="7DCC7E3B"/>
    <w:rsid w:val="7DD60F18"/>
    <w:rsid w:val="7E046E5D"/>
    <w:rsid w:val="7E0C1365"/>
    <w:rsid w:val="7E1922B6"/>
    <w:rsid w:val="7E29420F"/>
    <w:rsid w:val="7E412630"/>
    <w:rsid w:val="7E5A0FDB"/>
    <w:rsid w:val="7E5E7FB7"/>
    <w:rsid w:val="7E742A76"/>
    <w:rsid w:val="7E773E66"/>
    <w:rsid w:val="7E8C7066"/>
    <w:rsid w:val="7ECA10F4"/>
    <w:rsid w:val="7EE01968"/>
    <w:rsid w:val="7EE7797D"/>
    <w:rsid w:val="7EF51EFD"/>
    <w:rsid w:val="7EF63CB1"/>
    <w:rsid w:val="7EFB610F"/>
    <w:rsid w:val="7F2D3B57"/>
    <w:rsid w:val="7F5D7008"/>
    <w:rsid w:val="7F5F28B6"/>
    <w:rsid w:val="7F7A3485"/>
    <w:rsid w:val="7F91483E"/>
    <w:rsid w:val="7FBF664D"/>
    <w:rsid w:val="7FD7406F"/>
    <w:rsid w:val="7FE55604"/>
    <w:rsid w:val="7FEE4239"/>
    <w:rsid w:val="7FFB6D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643"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spacing w:before="480" w:beforeLines="0" w:beforeAutospacing="0" w:after="360" w:afterLines="0" w:afterAutospacing="0" w:line="400" w:lineRule="exact"/>
      <w:ind w:firstLine="643" w:firstLineChars="200"/>
      <w:outlineLvl w:val="0"/>
    </w:pPr>
    <w:rPr>
      <w:b/>
      <w:kern w:val="44"/>
      <w:sz w:val="32"/>
    </w:rPr>
  </w:style>
  <w:style w:type="paragraph" w:styleId="3">
    <w:name w:val="heading 2"/>
    <w:basedOn w:val="1"/>
    <w:next w:val="1"/>
    <w:link w:val="30"/>
    <w:unhideWhenUsed/>
    <w:qFormat/>
    <w:uiPriority w:val="0"/>
    <w:pPr>
      <w:keepNext/>
      <w:keepLines/>
      <w:spacing w:before="480" w:beforeLines="0" w:beforeAutospacing="0" w:after="120" w:afterLines="0" w:afterAutospacing="0" w:line="400" w:lineRule="exact"/>
      <w:ind w:left="0" w:leftChars="0" w:firstLine="643" w:firstLineChars="200"/>
      <w:outlineLvl w:val="1"/>
    </w:pPr>
    <w:rPr>
      <w:rFonts w:ascii="Arial" w:hAnsi="Arial"/>
      <w:b/>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unhideWhenUsed/>
    <w:qFormat/>
    <w:uiPriority w:val="0"/>
    <w:pPr>
      <w:spacing w:before="120" w:beforeAutospacing="0" w:after="120" w:afterAutospacing="0"/>
      <w:jc w:val="both"/>
      <w:outlineLvl w:val="3"/>
    </w:pPr>
    <w:rPr>
      <w:rFonts w:hint="eastAsia" w:ascii="Times New Roman" w:hAnsi="Times New Roman" w:cs="宋体"/>
      <w:b/>
      <w:bCs/>
      <w:kern w:val="0"/>
      <w:lang w:bidi="ar"/>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rPr>
      <w:rFonts w:ascii="Times New Roman" w:hAnsi="Times New Roman"/>
    </w:rPr>
  </w:style>
  <w:style w:type="paragraph" w:styleId="7">
    <w:name w:val="toc 3"/>
    <w:basedOn w:val="1"/>
    <w:next w:val="1"/>
    <w:qFormat/>
    <w:uiPriority w:val="0"/>
    <w:pPr>
      <w:spacing w:line="360" w:lineRule="auto"/>
      <w:ind w:left="840" w:leftChars="400" w:firstLine="0" w:firstLineChars="0"/>
    </w:pPr>
  </w:style>
  <w:style w:type="paragraph" w:styleId="8">
    <w:name w:val="endnote text"/>
    <w:basedOn w:val="1"/>
    <w:qFormat/>
    <w:uiPriority w:val="0"/>
    <w:pPr>
      <w:snapToGrid w:val="0"/>
      <w:jc w:val="left"/>
    </w:p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0"/>
    <w:pPr>
      <w:spacing w:line="360" w:lineRule="auto"/>
      <w:ind w:firstLine="0" w:firstLineChars="0"/>
    </w:pPr>
    <w:rPr>
      <w:sz w:val="28"/>
    </w:rPr>
  </w:style>
  <w:style w:type="paragraph" w:styleId="12">
    <w:name w:val="footnote text"/>
    <w:basedOn w:val="1"/>
    <w:qFormat/>
    <w:uiPriority w:val="0"/>
    <w:pPr>
      <w:snapToGrid w:val="0"/>
      <w:spacing w:line="240" w:lineRule="auto"/>
      <w:ind w:firstLine="0" w:firstLineChars="0"/>
      <w:jc w:val="left"/>
    </w:pPr>
    <w:rPr>
      <w:sz w:val="18"/>
    </w:rPr>
  </w:style>
  <w:style w:type="paragraph" w:styleId="13">
    <w:name w:val="toc 2"/>
    <w:basedOn w:val="1"/>
    <w:next w:val="1"/>
    <w:qFormat/>
    <w:uiPriority w:val="0"/>
    <w:pPr>
      <w:spacing w:line="360" w:lineRule="auto"/>
      <w:ind w:left="420" w:leftChars="200" w:firstLine="0" w:firstLineChars="0"/>
    </w:p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endnote reference"/>
    <w:basedOn w:val="17"/>
    <w:qFormat/>
    <w:uiPriority w:val="0"/>
    <w:rPr>
      <w:vertAlign w:val="superscript"/>
    </w:rPr>
  </w:style>
  <w:style w:type="character" w:styleId="20">
    <w:name w:val="Emphasis"/>
    <w:basedOn w:val="17"/>
    <w:qFormat/>
    <w:uiPriority w:val="0"/>
    <w:rPr>
      <w:i/>
    </w:rPr>
  </w:style>
  <w:style w:type="character" w:styleId="21">
    <w:name w:val="Hyperlink"/>
    <w:basedOn w:val="17"/>
    <w:qFormat/>
    <w:uiPriority w:val="0"/>
    <w:rPr>
      <w:color w:val="0000FF"/>
      <w:u w:val="single"/>
    </w:rPr>
  </w:style>
  <w:style w:type="character" w:styleId="22">
    <w:name w:val="footnote reference"/>
    <w:basedOn w:val="17"/>
    <w:qFormat/>
    <w:uiPriority w:val="0"/>
    <w:rPr>
      <w:vertAlign w:val="superscript"/>
    </w:rPr>
  </w:style>
  <w:style w:type="paragraph" w:customStyle="1" w:styleId="23">
    <w:name w:val="节"/>
    <w:basedOn w:val="1"/>
    <w:qFormat/>
    <w:uiPriority w:val="0"/>
    <w:pPr>
      <w:jc w:val="center"/>
    </w:pPr>
    <w:rPr>
      <w:rFonts w:hint="eastAsia" w:ascii="仿宋" w:hAnsi="仿宋" w:eastAsia="仿宋" w:cs="仿宋"/>
      <w:b/>
      <w:sz w:val="30"/>
    </w:rPr>
  </w:style>
  <w:style w:type="paragraph" w:customStyle="1" w:styleId="24">
    <w:name w:val="章"/>
    <w:basedOn w:val="1"/>
    <w:qFormat/>
    <w:uiPriority w:val="0"/>
    <w:pPr>
      <w:jc w:val="center"/>
    </w:pPr>
    <w:rPr>
      <w:rFonts w:hint="eastAsia" w:ascii="仿宋" w:hAnsi="仿宋" w:eastAsia="仿宋" w:cs="仿宋"/>
      <w:b/>
      <w:sz w:val="36"/>
    </w:rPr>
  </w:style>
  <w:style w:type="paragraph" w:customStyle="1" w:styleId="25">
    <w:name w:val="一、"/>
    <w:basedOn w:val="1"/>
    <w:qFormat/>
    <w:uiPriority w:val="0"/>
    <w:rPr>
      <w:rFonts w:hint="eastAsia" w:ascii="仿宋" w:hAnsi="仿宋" w:eastAsia="仿宋" w:cs="仿宋"/>
      <w:b/>
      <w:bCs/>
      <w:sz w:val="24"/>
    </w:rPr>
  </w:style>
  <w:style w:type="paragraph" w:customStyle="1" w:styleId="26">
    <w:name w:val="注释"/>
    <w:basedOn w:val="1"/>
    <w:qFormat/>
    <w:uiPriority w:val="0"/>
    <w:pPr>
      <w:spacing w:line="240" w:lineRule="auto"/>
      <w:ind w:firstLine="0" w:firstLineChars="0"/>
      <w:jc w:val="left"/>
    </w:pPr>
    <w:rPr>
      <w:rFonts w:hint="default"/>
      <w:sz w:val="18"/>
    </w:rPr>
  </w:style>
  <w:style w:type="paragraph" w:customStyle="1" w:styleId="27">
    <w:name w:val="表题"/>
    <w:basedOn w:val="1"/>
    <w:qFormat/>
    <w:uiPriority w:val="0"/>
    <w:pPr>
      <w:spacing w:before="240" w:after="120" w:line="240" w:lineRule="auto"/>
      <w:ind w:firstLine="0" w:firstLineChars="0"/>
      <w:jc w:val="center"/>
    </w:pPr>
    <w:rPr>
      <w:b/>
      <w:sz w:val="21"/>
    </w:rPr>
  </w:style>
  <w:style w:type="paragraph" w:customStyle="1" w:styleId="28">
    <w:name w:val="表注及数据说明"/>
    <w:basedOn w:val="1"/>
    <w:qFormat/>
    <w:uiPriority w:val="0"/>
    <w:rPr>
      <w:sz w:val="18"/>
    </w:rPr>
  </w:style>
  <w:style w:type="paragraph" w:customStyle="1" w:styleId="29">
    <w:name w:val="图题"/>
    <w:basedOn w:val="1"/>
    <w:qFormat/>
    <w:uiPriority w:val="0"/>
    <w:pPr>
      <w:snapToGrid w:val="0"/>
      <w:spacing w:before="120" w:after="240" w:line="240" w:lineRule="auto"/>
      <w:ind w:firstLine="0" w:firstLineChars="0"/>
      <w:jc w:val="center"/>
    </w:pPr>
    <w:rPr>
      <w:b/>
      <w:sz w:val="21"/>
    </w:rPr>
  </w:style>
  <w:style w:type="character" w:customStyle="1" w:styleId="30">
    <w:name w:val="标题 2 Char"/>
    <w:link w:val="3"/>
    <w:qFormat/>
    <w:uiPriority w:val="0"/>
    <w:rPr>
      <w:rFonts w:ascii="Arial" w:hAnsi="Arial" w:eastAsia="宋体"/>
      <w:b/>
      <w:sz w:val="28"/>
    </w:rPr>
  </w:style>
  <w:style w:type="character" w:customStyle="1" w:styleId="31">
    <w:name w:val="fulltext-wrap_fields_ul_li"/>
    <w:basedOn w:val="17"/>
    <w:qFormat/>
    <w:uiPriority w:val="0"/>
    <w:rPr>
      <w:color w:val="999999"/>
      <w:spacing w:val="0"/>
      <w:sz w:val="21"/>
      <w:szCs w:val="21"/>
    </w:rPr>
  </w:style>
  <w:style w:type="character" w:customStyle="1" w:styleId="32">
    <w:name w:val="fulltext-wrap_fields_ul_li_a"/>
    <w:basedOn w:val="17"/>
    <w:qFormat/>
    <w:uiPriority w:val="0"/>
    <w:rPr>
      <w:color w:val="218FC4"/>
    </w:rPr>
  </w:style>
  <w:style w:type="character" w:customStyle="1" w:styleId="33">
    <w:name w:val="fulltext-wrap_fields_ul_row"/>
    <w:basedOn w:val="17"/>
    <w:qFormat/>
    <w:uiPriority w:val="0"/>
  </w:style>
</w:styles>
</file>

<file path=word/_rels/document.xml.rels><?xml version="1.0" encoding="UTF-8" standalone="yes"?>
<Relationships xmlns="http://schemas.openxmlformats.org/package/2006/relationships"><Relationship Id="rId9" Type="http://schemas.openxmlformats.org/officeDocument/2006/relationships/chart" Target="charts/chart1.xml" /><Relationship Id="rId8" Type="http://schemas.openxmlformats.org/officeDocument/2006/relationships/theme" Target="theme/theme1.xml" /><Relationship Id="rId7" Type="http://schemas.openxmlformats.org/officeDocument/2006/relationships/footer" Target="footer2.xml" /><Relationship Id="rId6" Type="http://schemas.openxmlformats.org/officeDocument/2006/relationships/footer" Target="footer1.xml" /><Relationship Id="rId5" Type="http://schemas.openxmlformats.org/officeDocument/2006/relationships/header" Target="header1.xml" /><Relationship Id="rId4" Type="http://schemas.openxmlformats.org/officeDocument/2006/relationships/endnotes" Target="endnotes.xml" /><Relationship Id="rId3" Type="http://schemas.openxmlformats.org/officeDocument/2006/relationships/footnotes" Target="footnotes.xml" /><Relationship Id="rId2" Type="http://schemas.openxmlformats.org/officeDocument/2006/relationships/settings" Target="settings.xml" /><Relationship Id="rId19" Type="http://schemas.openxmlformats.org/officeDocument/2006/relationships/fontTable" Target="fontTable.xml" /><Relationship Id="rId18" Type="http://schemas.openxmlformats.org/officeDocument/2006/relationships/numbering" Target="numbering.xml" /><Relationship Id="rId17" Type="http://schemas.openxmlformats.org/officeDocument/2006/relationships/customXml" Target="../customXml/item1.xml" /><Relationship Id="rId16" Type="http://schemas.openxmlformats.org/officeDocument/2006/relationships/chart" Target="charts/chart8.xml" /><Relationship Id="rId15" Type="http://schemas.openxmlformats.org/officeDocument/2006/relationships/chart" Target="charts/chart7.xml" /><Relationship Id="rId14" Type="http://schemas.openxmlformats.org/officeDocument/2006/relationships/chart" Target="charts/chart6.xml" /><Relationship Id="rId13" Type="http://schemas.openxmlformats.org/officeDocument/2006/relationships/chart" Target="charts/chart5.xml" /><Relationship Id="rId12" Type="http://schemas.openxmlformats.org/officeDocument/2006/relationships/chart" Target="charts/chart4.xml" /><Relationship Id="rId11" Type="http://schemas.openxmlformats.org/officeDocument/2006/relationships/chart" Target="charts/chart3.xml" /><Relationship Id="rId10" Type="http://schemas.openxmlformats.org/officeDocument/2006/relationships/chart" Target="charts/chart2.xml" /><Relationship Id="rId1" Type="http://schemas.openxmlformats.org/officeDocument/2006/relationships/styles" Target="styles.xml" /><Relationship Id="rId20" Type="http://schemas.openxmlformats.org/officeDocument/2006/relationships/comments" Target="comments.xml" /><Relationship Id="rId21" Type="http://schemas.microsoft.com/office/2011/relationships/commentsExtended" Target="commentsExtended.xml" /><Relationship Id="rId22" Type="http://schemas.microsoft.com/office/2016/09/relationships/commentsIds" Target="commentsIds.xml" /></Relationships>
</file>

<file path=word/charts/_rels/chart1.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package" Target="../embeddings/Workbook4.xlsx"/></Relationships>
</file>

<file path=word/charts/_rels/chart2.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package" Target="../embeddings/Workbook8.xlsx"/></Relationships>
</file>

<file path=word/charts/_rels/chart3.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package" Target="../embeddings/Workbook5.xlsx"/></Relationships>
</file>

<file path=word/charts/_rels/chart4.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package" Target="../embeddings/Workbook6.xlsx"/></Relationships>
</file>

<file path=word/charts/_rels/chart5.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package" Target="../embeddings/Workbook7.xlsx"/></Relationships>
</file>

<file path=word/charts/_rels/chart6.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_rels/chart7.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2.xlsx"/></Relationships>
</file>

<file path=word/charts/_rels/chart8.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package" Target="../embeddings/Workbook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0.168373842592593"/>
          <c:y val="0.0461486638221424"/>
          <c:w val="0.801678240740741"/>
          <c:h val="0.576397933977094"/>
        </c:manualLayout>
      </c:layout>
      <c:barChart>
        <c:barDir val="col"/>
        <c:grouping val="stacked"/>
        <c:varyColors val="0"/>
        <c:ser>
          <c:idx val="0"/>
          <c:order val="0"/>
          <c:tx>
            <c:strRef>
              <c:f>Sheet1!$B$1</c:f>
              <c:strCache>
                <c:ptCount val="1"/>
                <c:pt idx="0">
                  <c:v>未上诉案件</c:v>
                </c:pt>
              </c:strCache>
            </c:strRef>
          </c:tx>
          <c:spPr>
            <a:solidFill>
              <a:schemeClr val="accent1">
                <a:shade val="65000"/>
              </a:schemeClr>
            </a:solidFill>
            <a:ln>
              <a:solidFill>
                <a:schemeClr val="bg1"/>
              </a:solidFill>
            </a:ln>
            <a:effectLst/>
          </c:spPr>
          <c:invertIfNegative val="0"/>
          <c:dLbls>
            <c:dLbl>
              <c:idx val="0"/>
              <c:layout>
                <c:manualLayout>
                  <c:x val="0.0740407673860911"/>
                  <c:y val="0.00290243357892387"/>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740407673860911"/>
                  <c:y val="-0.00893056485822728"/>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858812949640288"/>
                  <c:y val="-0.0417503907122125"/>
                </c:manualLayout>
              </c:layout>
              <c:dLblPos val="ctr"/>
              <c:showLegendKey val="0"/>
              <c:showVal val="1"/>
              <c:showCatName val="0"/>
              <c:showSerName val="0"/>
              <c:showPercent val="0"/>
              <c:showBubbleSize val="0"/>
              <c:extLst>
                <c:ext xmlns:c15="http://schemas.microsoft.com/office/drawing/2012/chart" uri="{CE6537A1-D6FC-4f65-9D91-7224C49458BB}">
                  <c15:layout>
                    <c:manualLayout>
                      <c:w val="0.0714928057553957"/>
                      <c:h val="0.0759098012949319"/>
                    </c:manualLayout>
                  </c15:layout>
                </c:ext>
              </c:extLst>
            </c:dLbl>
            <c:spPr>
              <a:noFill/>
              <a:ln>
                <a:noFill/>
              </a:ln>
              <a:effectLst/>
            </c:spPr>
            <c:txPr>
              <a:bodyPr rot="0" spcFirstLastPara="0" vertOverflow="ellipsis" vert="horz" wrap="square" lIns="38100" tIns="19050" rIns="38100" bIns="19050" anchor="ctr" anchorCtr="1"/>
              <a:lstStyle/>
              <a:p>
                <a:pPr>
                  <a:defRPr lang="zh-CN" sz="12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extLst>
                <c:ext xmlns:c15="http://schemas.microsoft.com/office/drawing/2012/chart" uri="{02D57815-91ED-43cb-92C2-25804820EDAC}">
                  <c15:fullRef>
                    <c15:sqref>Sheet1!$A$2:$A$4</c15:sqref>
                  </c15:fullRef>
                </c:ext>
              </c:extLst>
              <c:f>Sheet1!$A$2:$A$4</c:f>
              <c:strCache>
                <c:ptCount val="3"/>
                <c:pt idx="0">
                  <c:v>2023年</c:v>
                </c:pt>
                <c:pt idx="1">
                  <c:v>2024年</c:v>
                </c:pt>
                <c:pt idx="2">
                  <c:v>2025年</c:v>
                </c:pt>
              </c:strCache>
            </c:strRef>
          </c:cat>
          <c:val>
            <c:numRef>
              <c:extLst>
                <c:ext xmlns:c15="http://schemas.microsoft.com/office/drawing/2012/chart" uri="{02D57815-91ED-43cb-92C2-25804820EDAC}">
                  <c15:fullRef>
                    <c15:sqref>Sheet1!$B$2:$B$4</c15:sqref>
                  </c15:fullRef>
                </c:ext>
              </c:extLst>
              <c:f>Sheet1!$B$2:$B$4</c:f>
              <c:numCache>
                <c:formatCode>General</c:formatCode>
                <c:ptCount val="3"/>
                <c:pt idx="0">
                  <c:v>375</c:v>
                </c:pt>
                <c:pt idx="1">
                  <c:v>139</c:v>
                </c:pt>
                <c:pt idx="2">
                  <c:v>185</c:v>
                </c:pt>
              </c:numCache>
            </c:numRef>
          </c:val>
        </c:ser>
        <c:ser>
          <c:idx val="1"/>
          <c:order val="1"/>
          <c:tx>
            <c:strRef>
              <c:f>Sheet1!$C$1</c:f>
              <c:strCache>
                <c:ptCount val="1"/>
                <c:pt idx="0">
                  <c:v>上诉案件</c:v>
                </c:pt>
              </c:strCache>
            </c:strRef>
          </c:tx>
          <c:spPr>
            <a:solidFill>
              <a:schemeClr val="accent1"/>
            </a:solidFill>
            <a:ln>
              <a:solidFill>
                <a:schemeClr val="bg1"/>
              </a:solidFill>
            </a:ln>
            <a:effectLst/>
          </c:spPr>
          <c:invertIfNegative val="0"/>
          <c:dLbls>
            <c:dLbl>
              <c:idx val="0"/>
              <c:layout>
                <c:manualLayout>
                  <c:x val="0"/>
                  <c:y val="-0.0815277219617474"/>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
                  <c:y val="-0.0567090868497432"/>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
                  <c:y val="-0.0504576914489841"/>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2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extLst>
                <c:ext xmlns:c15="http://schemas.microsoft.com/office/drawing/2012/chart" uri="{02D57815-91ED-43cb-92C2-25804820EDAC}">
                  <c15:fullRef>
                    <c15:sqref>Sheet1!$A$2:$A$4</c15:sqref>
                  </c15:fullRef>
                </c:ext>
              </c:extLst>
              <c:f>Sheet1!$A$2:$A$4</c:f>
              <c:strCache>
                <c:ptCount val="3"/>
                <c:pt idx="0">
                  <c:v>2023年</c:v>
                </c:pt>
                <c:pt idx="1">
                  <c:v>2024年</c:v>
                </c:pt>
                <c:pt idx="2">
                  <c:v>2025年</c:v>
                </c:pt>
              </c:strCache>
            </c:strRef>
          </c:cat>
          <c:val>
            <c:numRef>
              <c:extLst>
                <c:ext xmlns:c15="http://schemas.microsoft.com/office/drawing/2012/chart" uri="{02D57815-91ED-43cb-92C2-25804820EDAC}">
                  <c15:fullRef>
                    <c15:sqref>Sheet1!$C$2:$C$4</c15:sqref>
                  </c15:fullRef>
                </c:ext>
              </c:extLst>
              <c:f>Sheet1!$C$2:$C$4</c:f>
              <c:numCache>
                <c:formatCode>General</c:formatCode>
                <c:ptCount val="3"/>
                <c:pt idx="0">
                  <c:v>49</c:v>
                </c:pt>
                <c:pt idx="1">
                  <c:v>26</c:v>
                </c:pt>
                <c:pt idx="2">
                  <c:v>11</c:v>
                </c:pt>
              </c:numCache>
            </c:numRef>
          </c:val>
        </c:ser>
        <c:dLbls>
          <c:showLegendKey val="0"/>
          <c:showVal val="1"/>
          <c:showCatName val="0"/>
          <c:showSerName val="0"/>
          <c:showPercent val="0"/>
          <c:showBubbleSize val="0"/>
        </c:dLbls>
        <c:gapWidth val="246"/>
        <c:overlap val="100"/>
        <c:axId val="668598930"/>
        <c:axId val="989352812"/>
        <c:extLst>
          <c:ext xmlns:c15="http://schemas.microsoft.com/office/drawing/2012/chart" uri="{02D57815-91ED-43cb-92C2-25804820EDAC}">
            <c15:filteredBarSeries>
              <c15:ser>
                <c:idx val="2"/>
                <c:order val="2"/>
                <c:tx>
                  <c:strRef>
                    <c:extLst>
                      <c:ext uri="{02D57815-91ED-43cb-92C2-25804820EDAC}">
                        <c15:formulaRef>
                          <c15:sqref>Sheet1!#REF!</c15:sqref>
                        </c15:formulaRef>
                      </c:ext>
                    </c:extLst>
                    <c:strCache>
                      <c:ptCount val="1"/>
                      <c:pt idx="0">
                        <c:v/>
                      </c:pt>
                    </c:strCache>
                  </c:strRef>
                </c:tx>
                <c:spPr>
                  <a:solidFill>
                    <a:schemeClr val="accent1">
                      <a:tint val="65000"/>
                    </a:schemeClr>
                  </a:solidFill>
                  <a:ln>
                    <a:solidFill>
                      <a:schemeClr val="bg1"/>
                    </a:solid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2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ullRef>
                          <c15:sqref>Sheet1!$A$2:$A$4</c15:sqref>
                        </c15:fullRef>
                        <c15:formulaRef>
                          <c15:sqref>Sheet1!$A$2:$A$4</c15:sqref>
                        </c15:formulaRef>
                      </c:ext>
                    </c:extLst>
                    <c:strCache>
                      <c:ptCount val="3"/>
                      <c:pt idx="0">
                        <c:v>2023年</c:v>
                      </c:pt>
                      <c:pt idx="1">
                        <c:v>2024年</c:v>
                      </c:pt>
                      <c:pt idx="2">
                        <c:v>2025年</c:v>
                      </c:pt>
                    </c:strCache>
                  </c:strRef>
                </c:cat>
              </c15:ser>
            </c15:filteredBarSeries>
          </c:ext>
        </c:extLst>
      </c:barChart>
      <c:catAx>
        <c:axId val="668598930"/>
        <c:scaling>
          <c:orientation val="minMax"/>
        </c:scaling>
        <c:delete val="0"/>
        <c:axPos val="b"/>
        <c:title>
          <c:tx>
            <c:rich>
              <a:bodyPr rot="0" spcFirstLastPara="0" vertOverflow="ellipsis" vert="horz" wrap="square" anchor="ctr" anchorCtr="1"/>
              <a:lstStyle/>
              <a:p>
                <a:pPr defTabSz="914400">
                  <a:defRPr lang="zh-CN" sz="1200" b="0" i="0" u="none" strike="noStrike" kern="1200" baseline="0">
                    <a:solidFill>
                      <a:schemeClr val="tx1">
                        <a:lumMod val="65000"/>
                        <a:lumOff val="35000"/>
                      </a:schemeClr>
                    </a:solidFill>
                    <a:latin typeface="+mn-lt"/>
                    <a:ea typeface="+mn-ea"/>
                    <a:cs typeface="+mn-cs"/>
                  </a:defRPr>
                </a:pPr>
                <a:r>
                  <a:rPr sz="1200"/>
                  <a:t>审结年份</a:t>
                </a:r>
                <a:endParaRPr sz="1200"/>
              </a:p>
            </c:rich>
          </c:tx>
          <c:layout>
            <c:manualLayout>
              <c:xMode val="edge"/>
              <c:yMode val="edge"/>
              <c:x val="0.794039351851852"/>
              <c:y val="0.743094543004716"/>
            </c:manualLayout>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200" b="0" i="0" u="none" strike="noStrike" kern="1200" baseline="0">
                <a:solidFill>
                  <a:schemeClr val="tx1">
                    <a:lumMod val="65000"/>
                    <a:lumOff val="35000"/>
                  </a:schemeClr>
                </a:solidFill>
                <a:latin typeface="+mn-lt"/>
                <a:ea typeface="+mn-ea"/>
                <a:cs typeface="+mn-cs"/>
              </a:defRPr>
            </a:pPr>
          </a:p>
        </c:txPr>
        <c:crossAx val="989352812"/>
        <c:crosses val="autoZero"/>
        <c:auto val="1"/>
        <c:lblAlgn val="ctr"/>
        <c:lblOffset val="100"/>
        <c:noMultiLvlLbl val="0"/>
      </c:catAx>
      <c:valAx>
        <c:axId val="989352812"/>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200" b="0" i="0" u="none" strike="noStrike" kern="1200" baseline="0">
                    <a:solidFill>
                      <a:schemeClr val="tx1">
                        <a:lumMod val="65000"/>
                        <a:lumOff val="35000"/>
                      </a:schemeClr>
                    </a:solidFill>
                    <a:latin typeface="+mn-lt"/>
                    <a:ea typeface="+mn-ea"/>
                    <a:cs typeface="+mn-cs"/>
                  </a:defRPr>
                </a:pPr>
                <a:r>
                  <a:rPr sz="1200"/>
                  <a:t>数量</a:t>
                </a:r>
                <a:endParaRPr sz="1200"/>
              </a:p>
            </c:rich>
          </c:tx>
          <c:layout>
            <c:manualLayout>
              <c:xMode val="edge"/>
              <c:yMode val="edge"/>
              <c:x val="0.0318287037037041"/>
              <c:y val="0.0237704918032787"/>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1200" b="0" i="0" u="none" strike="noStrike" kern="1200" baseline="0">
                <a:solidFill>
                  <a:schemeClr val="tx1">
                    <a:lumMod val="65000"/>
                    <a:lumOff val="35000"/>
                  </a:schemeClr>
                </a:solidFill>
                <a:latin typeface="+mn-lt"/>
                <a:ea typeface="+mn-ea"/>
                <a:cs typeface="+mn-cs"/>
              </a:defRPr>
            </a:pPr>
          </a:p>
        </c:txPr>
        <c:crossAx val="668598930"/>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ade5197-c546-43d4-8824-9bd99ed2264e}"/>
      </c:ext>
    </c:extLst>
  </c:chart>
  <c:spPr>
    <a:solidFill>
      <a:schemeClr val="bg1"/>
    </a:solidFill>
    <a:ln w="9525" cap="flat" cmpd="sng" algn="ctr">
      <a:noFill/>
      <a:round/>
    </a:ln>
    <a:effectLst/>
  </c:spPr>
  <c:txPr>
    <a:bodyPr/>
    <a:lstStyle/>
    <a:p>
      <a:pPr>
        <a:defRPr lang="zh-CN" sz="1200"/>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clustered"/>
        <c:varyColors val="0"/>
        <c:ser>
          <c:idx val="0"/>
          <c:order val="0"/>
          <c:tx>
            <c:strRef>
              <c:f>Sheet1!$B$1</c:f>
              <c:strCache>
                <c:ptCount val="1"/>
                <c:pt idx="0">
                  <c:v>系列 1</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因果关系</c:v>
                </c:pt>
                <c:pt idx="1">
                  <c:v>交易因果关系</c:v>
                </c:pt>
                <c:pt idx="2">
                  <c:v>揭露日</c:v>
                </c:pt>
                <c:pt idx="3">
                  <c:v>非系统性风险</c:v>
                </c:pt>
                <c:pt idx="4">
                  <c:v>损失数额</c:v>
                </c:pt>
              </c:strCache>
            </c:strRef>
          </c:cat>
          <c:val>
            <c:numRef>
              <c:f>Sheet1!$B$2:$B$6</c:f>
              <c:numCache>
                <c:formatCode>General</c:formatCode>
                <c:ptCount val="5"/>
                <c:pt idx="0">
                  <c:v>1</c:v>
                </c:pt>
                <c:pt idx="1">
                  <c:v>1</c:v>
                </c:pt>
                <c:pt idx="2">
                  <c:v>1</c:v>
                </c:pt>
                <c:pt idx="3">
                  <c:v>2</c:v>
                </c:pt>
                <c:pt idx="4">
                  <c:v>2</c:v>
                </c:pt>
              </c:numCache>
            </c:numRef>
          </c:val>
        </c:ser>
        <c:dLbls>
          <c:showLegendKey val="0"/>
          <c:showVal val="1"/>
          <c:showCatName val="0"/>
          <c:showSerName val="0"/>
          <c:showPercent val="0"/>
          <c:showBubbleSize val="0"/>
        </c:dLbls>
        <c:gapWidth val="246"/>
        <c:overlap val="-28"/>
        <c:axId val="871942750"/>
        <c:axId val="425720056"/>
      </c:barChart>
      <c:catAx>
        <c:axId val="871942750"/>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改判内容</a:t>
                </a:r>
              </a:p>
            </c:rich>
          </c:tx>
          <c:layout>
            <c:manualLayout>
              <c:xMode val="edge"/>
              <c:yMode val="edge"/>
              <c:x val="0.845443463755912"/>
              <c:y val="0.889416983523447"/>
            </c:manualLayout>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25720056"/>
        <c:crosses val="autoZero"/>
        <c:auto val="1"/>
        <c:lblAlgn val="ctr"/>
        <c:lblOffset val="100"/>
        <c:noMultiLvlLbl val="0"/>
      </c:catAx>
      <c:valAx>
        <c:axId val="425720056"/>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数量</a:t>
                </a:r>
              </a:p>
            </c:rich>
          </c:tx>
          <c:layout>
            <c:manualLayout>
              <c:xMode val="edge"/>
              <c:yMode val="edge"/>
              <c:x val="0.0215027784489007"/>
              <c:y val="0.0353166170845729"/>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71942750"/>
        <c:crosses val="autoZero"/>
        <c:crossBetween val="between"/>
      </c:valAx>
      <c:spPr>
        <a:noFill/>
        <a:ln>
          <a:noFill/>
        </a:ln>
        <a:effectLst/>
      </c:spPr>
    </c:plotArea>
    <c:plotVisOnly val="1"/>
    <c:dispBlanksAs val="gap"/>
    <c:showDLblsOverMax val="0"/>
    <c:extLst>
      <c:ext uri="{0b15fc19-7d7d-44ad-8c2d-2c3a37ce22c3}">
        <chartProps xmlns="https://web.wps.cn/et/2018/main" chartId="{2d8ab067-51ce-47a4-8fe0-c0a0d23c595a}"/>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0.0884755244755245"/>
          <c:y val="0.0807157057654076"/>
          <c:w val="0.837398601398601"/>
          <c:h val="0.641431411530815"/>
        </c:manualLayout>
      </c:layout>
      <c:barChart>
        <c:barDir val="col"/>
        <c:grouping val="clustered"/>
        <c:varyColors val="0"/>
        <c:ser>
          <c:idx val="0"/>
          <c:order val="0"/>
          <c:tx>
            <c:strRef>
              <c:f>Sheet1!$B$1</c:f>
              <c:strCache>
                <c:ptCount val="1"/>
                <c:pt idx="0">
                  <c:v>系列 1</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Sheet1!$A$2:$A$9</c:f>
              <c:strCache>
                <c:ptCount val="8"/>
                <c:pt idx="0">
                  <c:v>因果关系</c:v>
                </c:pt>
                <c:pt idx="1">
                  <c:v>日期认定</c:v>
                </c:pt>
                <c:pt idx="2">
                  <c:v>（非）系统性风险</c:v>
                </c:pt>
                <c:pt idx="3">
                  <c:v>损失数额</c:v>
                </c:pt>
                <c:pt idx="4">
                  <c:v>主体责任</c:v>
                </c:pt>
                <c:pt idx="5">
                  <c:v>重大性</c:v>
                </c:pt>
                <c:pt idx="6">
                  <c:v>虚假陈述</c:v>
                </c:pt>
                <c:pt idx="7">
                  <c:v>其他</c:v>
                </c:pt>
              </c:strCache>
            </c:strRef>
          </c:cat>
          <c:val>
            <c:numRef>
              <c:f>Sheet1!$B$2:$B$9</c:f>
              <c:numCache>
                <c:formatCode>General</c:formatCode>
                <c:ptCount val="8"/>
                <c:pt idx="0">
                  <c:v>35</c:v>
                </c:pt>
                <c:pt idx="1">
                  <c:v>19</c:v>
                </c:pt>
                <c:pt idx="2">
                  <c:v>17</c:v>
                </c:pt>
                <c:pt idx="3">
                  <c:v>34</c:v>
                </c:pt>
                <c:pt idx="4">
                  <c:v>20</c:v>
                </c:pt>
                <c:pt idx="5">
                  <c:v>16</c:v>
                </c:pt>
                <c:pt idx="6">
                  <c:v>7</c:v>
                </c:pt>
                <c:pt idx="7">
                  <c:v>10</c:v>
                </c:pt>
              </c:numCache>
            </c:numRef>
          </c:val>
        </c:ser>
        <c:dLbls>
          <c:showLegendKey val="0"/>
          <c:showVal val="1"/>
          <c:showCatName val="0"/>
          <c:showSerName val="0"/>
          <c:showPercent val="0"/>
          <c:showBubbleSize val="0"/>
        </c:dLbls>
        <c:gapWidth val="246"/>
        <c:overlap val="-28"/>
        <c:axId val="507692270"/>
        <c:axId val="918995294"/>
      </c:barChart>
      <c:catAx>
        <c:axId val="507692270"/>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争议焦点内容</a:t>
                </a:r>
              </a:p>
            </c:rich>
          </c:tx>
          <c:layout>
            <c:manualLayout>
              <c:xMode val="edge"/>
              <c:yMode val="edge"/>
              <c:x val="0.782425154617792"/>
              <c:y val="0.867985900739989"/>
            </c:manualLayout>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18995294"/>
        <c:crosses val="autoZero"/>
        <c:auto val="1"/>
        <c:lblAlgn val="ctr"/>
        <c:lblOffset val="100"/>
        <c:noMultiLvlLbl val="0"/>
      </c:catAx>
      <c:valAx>
        <c:axId val="918995294"/>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数量</a:t>
                </a:r>
              </a:p>
            </c:rich>
          </c:tx>
          <c:layout>
            <c:manualLayout>
              <c:xMode val="edge"/>
              <c:yMode val="edge"/>
              <c:x val="0.0041958041958042"/>
              <c:y val="0.0557413985596188"/>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07692270"/>
        <c:crosses val="autoZero"/>
        <c:crossBetween val="between"/>
      </c:valAx>
      <c:spPr>
        <a:noFill/>
        <a:ln>
          <a:noFill/>
        </a:ln>
        <a:effectLst/>
      </c:spPr>
    </c:plotArea>
    <c:plotVisOnly val="1"/>
    <c:dispBlanksAs val="gap"/>
    <c:showDLblsOverMax val="0"/>
    <c:extLst>
      <c:ext uri="{0b15fc19-7d7d-44ad-8c2d-2c3a37ce22c3}">
        <chartProps xmlns="https://web.wps.cn/et/2018/main" chartId="{47b14abc-6634-4ab5-b7d1-e1ce6ef84e90}"/>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0.207305936073059"/>
          <c:y val="0.0550908566483992"/>
          <c:w val="0.578995433789954"/>
          <c:h val="0.731468128064609"/>
        </c:manualLayout>
      </c:layout>
      <c:pieChart>
        <c:varyColors val="1"/>
        <c:ser>
          <c:idx val="0"/>
          <c:order val="0"/>
          <c:tx>
            <c:strRef>
              <c:f>Sheet1!$B$1</c:f>
              <c:strCache>
                <c:ptCount val="1"/>
                <c:pt idx="0">
                  <c:v>销售额</c:v>
                </c:pt>
              </c:strCache>
            </c:strRef>
          </c:tx>
          <c:spPr/>
          <c:explosion val="0"/>
          <c:dPt>
            <c:idx val="0"/>
            <c:bubble3D val="0"/>
            <c:spPr>
              <a:solidFill>
                <a:schemeClr val="accent1">
                  <a:shade val="76667"/>
                </a:schemeClr>
              </a:solidFill>
              <a:ln>
                <a:solidFill>
                  <a:schemeClr val="bg1"/>
                </a:solidFill>
              </a:ln>
              <a:effectLst/>
            </c:spPr>
          </c:dPt>
          <c:dPt>
            <c:idx val="1"/>
            <c:bubble3D val="0"/>
            <c:spPr>
              <a:solidFill>
                <a:schemeClr val="accent1">
                  <a:tint val="76667"/>
                </a:schemeClr>
              </a:solidFill>
              <a:ln>
                <a:solidFill>
                  <a:schemeClr val="bg1"/>
                </a:solidFill>
              </a:ln>
              <a:effectLst/>
            </c:spPr>
          </c:dPt>
          <c:dLbls>
            <c:dLbl>
              <c:idx val="0"/>
              <c:layout>
                <c:manualLayout>
                  <c:x val="-0.00146617422031867"/>
                  <c:y val="-0.0278459368936327"/>
                </c:manualLayout>
              </c:layout>
              <c:dLblPos val="bestFi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00316338378927761"/>
                  <c:y val="0.00636121699581269"/>
                </c:manualLayout>
              </c:layout>
              <c:dLblPos val="bestFit"/>
              <c:showLegendKey val="0"/>
              <c:showVal val="0"/>
              <c:showCatName val="0"/>
              <c:showSerName val="0"/>
              <c:showPercent val="1"/>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1"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与因果关系无关</c:v>
                </c:pt>
                <c:pt idx="1">
                  <c:v>与因果关系相关</c:v>
                </c:pt>
              </c:strCache>
            </c:strRef>
          </c:cat>
          <c:val>
            <c:numRef>
              <c:f>Sheet1!$B$2:$B$3</c:f>
              <c:numCache>
                <c:formatCode>General</c:formatCode>
                <c:ptCount val="2"/>
                <c:pt idx="0">
                  <c:v>87</c:v>
                </c:pt>
                <c:pt idx="1">
                  <c:v>71</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b"/>
      <c:legendEntry>
        <c:idx val="0"/>
        <c:txPr>
          <a:bodyPr rot="0" spcFirstLastPara="0"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0"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0"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b259009-c47a-4df6-b93d-7d0b495fc9e9}"/>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0.128950236106066"/>
          <c:y val="0.0618912337662338"/>
          <c:w val="0.743310328126892"/>
          <c:h val="0.645292207792208"/>
        </c:manualLayout>
      </c:layout>
      <c:barChart>
        <c:barDir val="col"/>
        <c:grouping val="stacked"/>
        <c:varyColors val="0"/>
        <c:ser>
          <c:idx val="0"/>
          <c:order val="0"/>
          <c:tx>
            <c:strRef>
              <c:f>Sheet1!$B$1</c:f>
              <c:strCache>
                <c:ptCount val="1"/>
                <c:pt idx="0">
                  <c:v>与因果关系有关案件</c:v>
                </c:pt>
              </c:strCache>
            </c:strRef>
          </c:tx>
          <c:spPr>
            <a:solidFill>
              <a:schemeClr val="accent1">
                <a:shade val="65000"/>
              </a:schemeClr>
            </a:solidFill>
            <a:ln>
              <a:noFill/>
            </a:ln>
            <a:effectLst/>
          </c:spPr>
          <c:invertIfNegative val="0"/>
          <c:dLbls>
            <c:dLbl>
              <c:idx val="0"/>
              <c:layout>
                <c:manualLayout>
                  <c:x val="-0.0641942771084337"/>
                  <c:y val="0.00912374073370082"/>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597703313253012"/>
                  <c:y val="0.00304124691123361"/>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523343373493976"/>
                  <c:y val="-0.00608249382246721"/>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2023年</c:v>
                </c:pt>
                <c:pt idx="1">
                  <c:v>2024年</c:v>
                </c:pt>
                <c:pt idx="2">
                  <c:v>2025年</c:v>
                </c:pt>
              </c:strCache>
            </c:strRef>
          </c:cat>
          <c:val>
            <c:numRef>
              <c:f>Sheet1!$B$2:$B$4</c:f>
              <c:numCache>
                <c:formatCode>General</c:formatCode>
                <c:ptCount val="3"/>
                <c:pt idx="0">
                  <c:v>30</c:v>
                </c:pt>
                <c:pt idx="1">
                  <c:v>19</c:v>
                </c:pt>
                <c:pt idx="2">
                  <c:v>9</c:v>
                </c:pt>
              </c:numCache>
            </c:numRef>
          </c:val>
        </c:ser>
        <c:ser>
          <c:idx val="1"/>
          <c:order val="1"/>
          <c:tx>
            <c:strRef>
              <c:f>Sheet1!$C$1</c:f>
              <c:strCache>
                <c:ptCount val="1"/>
                <c:pt idx="0">
                  <c:v>与因果关系无关案件</c:v>
                </c:pt>
              </c:strCache>
            </c:strRef>
          </c:tx>
          <c:spPr>
            <a:solidFill>
              <a:schemeClr val="accent1"/>
            </a:solidFill>
            <a:ln>
              <a:noFill/>
            </a:ln>
            <a:effectLst/>
          </c:spPr>
          <c:invertIfNegative val="0"/>
          <c:dLbls>
            <c:dLbl>
              <c:idx val="0"/>
              <c:layout>
                <c:manualLayout>
                  <c:x val="-0.0567582831325301"/>
                  <c:y val="0.00608249382246721"/>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567582831325301"/>
                  <c:y val="0"/>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50828313253012"/>
                  <c:y val="-0.0121649876449344"/>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2023年</c:v>
                </c:pt>
                <c:pt idx="1">
                  <c:v>2024年</c:v>
                </c:pt>
                <c:pt idx="2">
                  <c:v>2025年</c:v>
                </c:pt>
              </c:strCache>
            </c:strRef>
          </c:cat>
          <c:val>
            <c:numRef>
              <c:f>Sheet1!$C$2:$C$4</c:f>
              <c:numCache>
                <c:formatCode>General</c:formatCode>
                <c:ptCount val="3"/>
                <c:pt idx="0">
                  <c:v>19</c:v>
                </c:pt>
                <c:pt idx="1">
                  <c:v>7</c:v>
                </c:pt>
                <c:pt idx="2">
                  <c:v>2</c:v>
                </c:pt>
              </c:numCache>
            </c:numRef>
          </c:val>
        </c:ser>
        <c:dLbls>
          <c:showLegendKey val="0"/>
          <c:showVal val="1"/>
          <c:showCatName val="0"/>
          <c:showSerName val="0"/>
          <c:showPercent val="0"/>
          <c:showBubbleSize val="0"/>
        </c:dLbls>
        <c:gapWidth val="219"/>
        <c:overlap val="100"/>
        <c:axId val="436450809"/>
        <c:axId val="554869561"/>
      </c:barChart>
      <c:lineChart>
        <c:grouping val="standard"/>
        <c:varyColors val="0"/>
        <c:ser>
          <c:idx val="2"/>
          <c:order val="2"/>
          <c:tx>
            <c:strRef>
              <c:f>Sheet1!$D$1</c:f>
              <c:strCache>
                <c:ptCount val="1"/>
                <c:pt idx="0">
                  <c:v>因果关系相关案件占比</c:v>
                </c:pt>
              </c:strCache>
            </c:strRef>
          </c:tx>
          <c:spPr>
            <a:ln w="28575" cap="rnd">
              <a:solidFill>
                <a:schemeClr val="accent1">
                  <a:tint val="65000"/>
                </a:schemeClr>
              </a:solidFill>
              <a:round/>
            </a:ln>
            <a:effectLst/>
          </c:spPr>
          <c:marker>
            <c:symbol val="none"/>
          </c:marker>
          <c:dLbls>
            <c:dLbl>
              <c:idx val="0"/>
              <c:layout>
                <c:manualLayout>
                  <c:x val="-0.0373682228915663"/>
                  <c:y val="0.0391560539821327"/>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34600903614458"/>
                  <c:y val="0.0330735601596655"/>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2023年</c:v>
                </c:pt>
                <c:pt idx="1">
                  <c:v>2024年</c:v>
                </c:pt>
                <c:pt idx="2">
                  <c:v>2025年</c:v>
                </c:pt>
              </c:strCache>
            </c:strRef>
          </c:cat>
          <c:val>
            <c:numRef>
              <c:f>Sheet1!$D$2:$D$4</c:f>
              <c:numCache>
                <c:formatCode>0%</c:formatCode>
                <c:ptCount val="3"/>
                <c:pt idx="0">
                  <c:v>0.61</c:v>
                </c:pt>
                <c:pt idx="1">
                  <c:v>0.73</c:v>
                </c:pt>
                <c:pt idx="2">
                  <c:v>0.81</c:v>
                </c:pt>
              </c:numCache>
            </c:numRef>
          </c:val>
          <c:smooth val="0"/>
        </c:ser>
        <c:dLbls>
          <c:showLegendKey val="0"/>
          <c:showVal val="1"/>
          <c:showCatName val="0"/>
          <c:showSerName val="0"/>
          <c:showPercent val="0"/>
          <c:showBubbleSize val="0"/>
        </c:dLbls>
        <c:marker val="0"/>
        <c:smooth val="0"/>
        <c:axId val="168377021"/>
        <c:axId val="982970980"/>
      </c:lineChart>
      <c:catAx>
        <c:axId val="436450809"/>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年份</a:t>
                </a:r>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crossAx val="554869561"/>
        <c:crosses val="autoZero"/>
        <c:auto val="1"/>
        <c:lblAlgn val="ctr"/>
        <c:lblOffset val="100"/>
        <c:noMultiLvlLbl val="0"/>
      </c:catAx>
      <c:valAx>
        <c:axId val="554869561"/>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数量</a:t>
                </a: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crossAx val="436450809"/>
        <c:crosses val="autoZero"/>
        <c:crossBetween val="between"/>
      </c:valAx>
      <c:catAx>
        <c:axId val="168377021"/>
        <c:scaling>
          <c:orientation val="minMax"/>
        </c:scaling>
        <c:delete val="1"/>
        <c:axPos val="b"/>
        <c:majorTickMark val="out"/>
        <c:minorTickMark val="none"/>
        <c:tickLblPos val="nextTo"/>
        <c:txPr>
          <a:bodyPr rot="-60000000" spcFirstLastPara="0"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crossAx val="982970980"/>
        <c:crosses val="autoZero"/>
        <c:auto val="1"/>
        <c:lblAlgn val="ctr"/>
        <c:lblOffset val="100"/>
        <c:noMultiLvlLbl val="0"/>
      </c:catAx>
      <c:valAx>
        <c:axId val="982970980"/>
        <c:scaling>
          <c:orientation val="minMax"/>
        </c:scaling>
        <c:delete val="0"/>
        <c:axPos val="r"/>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所占比例</a:t>
                </a:r>
              </a:p>
            </c:rich>
          </c:tx>
          <c:layout/>
          <c:overlay val="0"/>
          <c:spPr>
            <a:noFill/>
            <a:ln>
              <a:noFill/>
            </a:ln>
            <a:effectLst/>
          </c:spPr>
        </c:title>
        <c:numFmt formatCode="0%" sourceLinked="1"/>
        <c:majorTickMark val="out"/>
        <c:minorTickMark val="none"/>
        <c:tickLblPos val="nextTo"/>
        <c:spPr>
          <a:noFill/>
          <a:ln>
            <a:noFill/>
          </a:ln>
          <a:effectLst/>
        </c:spPr>
        <c:txPr>
          <a:bodyPr rot="-60000000" spcFirstLastPara="0"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crossAx val="168377021"/>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0"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0"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741246234939759"/>
          <c:y val="0.847484543720505"/>
        </c:manualLayout>
      </c:layout>
      <c:overlay val="0"/>
      <c:spPr>
        <a:noFill/>
        <a:ln>
          <a:noFill/>
        </a:ln>
        <a:effectLst/>
      </c:spPr>
      <c:txPr>
        <a:bodyPr rot="0" spcFirstLastPara="0"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51611118-2f19-4864-826b-c856d600165c}"/>
      </c:ext>
    </c:extLst>
  </c:chart>
  <c:spPr>
    <a:solidFill>
      <a:schemeClr val="bg1"/>
    </a:solidFill>
    <a:ln w="9525" cap="flat" cmpd="sng" algn="ctr">
      <a:noFill/>
      <a:round/>
    </a:ln>
    <a:effectLst/>
  </c:spPr>
  <c:txPr>
    <a:bodyPr/>
    <a:lstStyle/>
    <a:p>
      <a:pPr>
        <a:defRPr lang="zh-CN" sz="1000"/>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tx>
            <c:strRef>
              <c:f>Sheet1!$B$1</c:f>
              <c:strCache>
                <c:ptCount val="1"/>
                <c:pt idx="0">
                  <c:v>系列 1</c:v>
                </c:pt>
              </c:strCache>
            </c:strRef>
          </c:tx>
          <c:spPr>
            <a:effectLst/>
          </c:spPr>
          <c:explosion val="0"/>
          <c:dPt>
            <c:idx val="0"/>
            <c:bubble3D val="0"/>
            <c:spPr>
              <a:solidFill>
                <a:schemeClr val="accent1">
                  <a:shade val="65000"/>
                </a:schemeClr>
              </a:solidFill>
              <a:ln>
                <a:noFill/>
              </a:ln>
              <a:effectLst/>
            </c:spPr>
          </c:dPt>
          <c:dPt>
            <c:idx val="1"/>
            <c:bubble3D val="0"/>
            <c:spPr>
              <a:solidFill>
                <a:schemeClr val="accent1"/>
              </a:solidFill>
              <a:ln>
                <a:noFill/>
              </a:ln>
              <a:effectLst/>
            </c:spPr>
          </c:dPt>
          <c:dPt>
            <c:idx val="2"/>
            <c:bubble3D val="0"/>
            <c:spPr>
              <a:solidFill>
                <a:schemeClr val="accent1">
                  <a:tint val="65000"/>
                </a:schemeClr>
              </a:solidFill>
              <a:ln>
                <a:noFill/>
              </a:ln>
              <a:effectLst/>
            </c:spPr>
          </c:dPt>
          <c:dLbls>
            <c:dLbl>
              <c:idx val="0"/>
              <c:layout>
                <c:manualLayout>
                  <c:x val="-0.00274558996447249"/>
                  <c:y val="-0.0305925981765783"/>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65175199806652"/>
                  <c:y val="-0.0102350696918101"/>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280561058472377"/>
                  <c:y val="0.043312166400275"/>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因果关系</c:v>
                </c:pt>
                <c:pt idx="1">
                  <c:v>交易因果关系</c:v>
                </c:pt>
                <c:pt idx="2">
                  <c:v>损失因果关系</c:v>
                </c:pt>
              </c:strCache>
            </c:strRef>
          </c:cat>
          <c:val>
            <c:numRef>
              <c:f>Sheet1!$B$2:$B$4</c:f>
              <c:numCache>
                <c:formatCode>General</c:formatCode>
                <c:ptCount val="3"/>
                <c:pt idx="0">
                  <c:v>16</c:v>
                </c:pt>
                <c:pt idx="1">
                  <c:v>16</c:v>
                </c:pt>
                <c:pt idx="2">
                  <c:v>3</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079aec1-f7f8-4c03-ab3d-c83682bd5de5}"/>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0.129444969140548"/>
          <c:y val="0.046748831279218"/>
          <c:w val="0.84397856311362"/>
          <c:h val="0.486060348491288"/>
        </c:manualLayout>
      </c:layout>
      <c:barChart>
        <c:barDir val="col"/>
        <c:grouping val="clustered"/>
        <c:varyColors val="0"/>
        <c:ser>
          <c:idx val="0"/>
          <c:order val="0"/>
          <c:tx>
            <c:strRef>
              <c:f>Sheet1!$B$1</c:f>
              <c:strCache>
                <c:ptCount val="1"/>
                <c:pt idx="0">
                  <c:v>2023</c:v>
                </c:pt>
              </c:strCache>
            </c:strRef>
          </c:tx>
          <c:spPr>
            <a:solidFill>
              <a:schemeClr val="accent1">
                <a:shade val="6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收益率曲线同步对比法</c:v>
                </c:pt>
                <c:pt idx="1">
                  <c:v>同步指数对比法</c:v>
                </c:pt>
                <c:pt idx="2">
                  <c:v>价格交易量变化分析法</c:v>
                </c:pt>
                <c:pt idx="3">
                  <c:v>对比分析法</c:v>
                </c:pt>
                <c:pt idx="4">
                  <c:v>法院酌情确定</c:v>
                </c:pt>
                <c:pt idx="5">
                  <c:v>其他</c:v>
                </c:pt>
              </c:strCache>
            </c:strRef>
          </c:cat>
          <c:val>
            <c:numRef>
              <c:f>Sheet1!$B$2:$B$7</c:f>
              <c:numCache>
                <c:formatCode>General</c:formatCode>
                <c:ptCount val="6"/>
                <c:pt idx="0">
                  <c:v>8</c:v>
                </c:pt>
                <c:pt idx="1">
                  <c:v>3</c:v>
                </c:pt>
                <c:pt idx="2">
                  <c:v>3</c:v>
                </c:pt>
                <c:pt idx="3">
                  <c:v>1</c:v>
                </c:pt>
                <c:pt idx="4">
                  <c:v>1</c:v>
                </c:pt>
                <c:pt idx="5">
                  <c:v>2</c:v>
                </c:pt>
              </c:numCache>
            </c:numRef>
          </c:val>
        </c:ser>
        <c:ser>
          <c:idx val="1"/>
          <c:order val="1"/>
          <c:tx>
            <c:strRef>
              <c:f>Sheet1!$C$1</c:f>
              <c:strCache>
                <c:ptCount val="1"/>
                <c:pt idx="0">
                  <c:v>2024</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收益率曲线同步对比法</c:v>
                </c:pt>
                <c:pt idx="1">
                  <c:v>同步指数对比法</c:v>
                </c:pt>
                <c:pt idx="2">
                  <c:v>价格交易量变化分析法</c:v>
                </c:pt>
                <c:pt idx="3">
                  <c:v>对比分析法</c:v>
                </c:pt>
                <c:pt idx="4">
                  <c:v>法院酌情确定</c:v>
                </c:pt>
                <c:pt idx="5">
                  <c:v>其他</c:v>
                </c:pt>
              </c:strCache>
            </c:strRef>
          </c:cat>
          <c:val>
            <c:numRef>
              <c:f>Sheet1!$C$2:$C$7</c:f>
              <c:numCache>
                <c:formatCode>General</c:formatCode>
                <c:ptCount val="6"/>
                <c:pt idx="0">
                  <c:v>15</c:v>
                </c:pt>
                <c:pt idx="1">
                  <c:v>7</c:v>
                </c:pt>
                <c:pt idx="2">
                  <c:v>0</c:v>
                </c:pt>
                <c:pt idx="3">
                  <c:v>2</c:v>
                </c:pt>
                <c:pt idx="4">
                  <c:v>7</c:v>
                </c:pt>
                <c:pt idx="5">
                  <c:v>4</c:v>
                </c:pt>
              </c:numCache>
            </c:numRef>
          </c:val>
        </c:ser>
        <c:ser>
          <c:idx val="2"/>
          <c:order val="2"/>
          <c:tx>
            <c:strRef>
              <c:f>Sheet1!$D$1</c:f>
              <c:strCache>
                <c:ptCount val="1"/>
                <c:pt idx="0">
                  <c:v>2025</c:v>
                </c:pt>
              </c:strCache>
            </c:strRef>
          </c:tx>
          <c:spPr>
            <a:solidFill>
              <a:schemeClr val="accent1">
                <a:tint val="6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收益率曲线同步对比法</c:v>
                </c:pt>
                <c:pt idx="1">
                  <c:v>同步指数对比法</c:v>
                </c:pt>
                <c:pt idx="2">
                  <c:v>价格交易量变化分析法</c:v>
                </c:pt>
                <c:pt idx="3">
                  <c:v>对比分析法</c:v>
                </c:pt>
                <c:pt idx="4">
                  <c:v>法院酌情确定</c:v>
                </c:pt>
                <c:pt idx="5">
                  <c:v>其他</c:v>
                </c:pt>
              </c:strCache>
            </c:strRef>
          </c:cat>
          <c:val>
            <c:numRef>
              <c:f>Sheet1!$D$2:$D$7</c:f>
              <c:numCache>
                <c:formatCode>General</c:formatCode>
                <c:ptCount val="6"/>
                <c:pt idx="0">
                  <c:v>3</c:v>
                </c:pt>
                <c:pt idx="1">
                  <c:v>1</c:v>
                </c:pt>
                <c:pt idx="2">
                  <c:v>1</c:v>
                </c:pt>
                <c:pt idx="3">
                  <c:v>2</c:v>
                </c:pt>
                <c:pt idx="4">
                  <c:v>2</c:v>
                </c:pt>
                <c:pt idx="5">
                  <c:v>2</c:v>
                </c:pt>
              </c:numCache>
            </c:numRef>
          </c:val>
        </c:ser>
        <c:dLbls>
          <c:showLegendKey val="0"/>
          <c:showVal val="1"/>
          <c:showCatName val="0"/>
          <c:showSerName val="0"/>
          <c:showPercent val="0"/>
          <c:showBubbleSize val="0"/>
        </c:dLbls>
        <c:gapWidth val="246"/>
        <c:overlap val="-28"/>
        <c:axId val="175334443"/>
        <c:axId val="433418921"/>
      </c:barChart>
      <c:catAx>
        <c:axId val="175334443"/>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认定方法</a:t>
                </a:r>
              </a:p>
            </c:rich>
          </c:tx>
          <c:layout>
            <c:manualLayout>
              <c:xMode val="edge"/>
              <c:yMode val="edge"/>
              <c:x val="0.886204397197391"/>
              <c:y val="0.672120696982575"/>
            </c:manualLayout>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33418921"/>
        <c:crosses val="autoZero"/>
        <c:auto val="1"/>
        <c:lblAlgn val="ctr"/>
        <c:lblOffset val="100"/>
        <c:noMultiLvlLbl val="0"/>
      </c:catAx>
      <c:valAx>
        <c:axId val="433418921"/>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数量</a:t>
                </a:r>
              </a:p>
            </c:rich>
          </c:tx>
          <c:layout>
            <c:manualLayout>
              <c:xMode val="edge"/>
              <c:yMode val="edge"/>
              <c:x val="0.0299589272771201"/>
              <c:y val="0.0698470038249043"/>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75334443"/>
        <c:crosses val="autoZero"/>
        <c:crossBetween val="between"/>
      </c:valAx>
      <c:spPr>
        <a:noFill/>
        <a:ln>
          <a:noFill/>
        </a:ln>
        <a:effectLst/>
      </c:spPr>
    </c:plotArea>
    <c:legend>
      <c:legendPos val="b"/>
      <c:layout>
        <c:manualLayout>
          <c:xMode val="edge"/>
          <c:yMode val="edge"/>
          <c:x val="0.384392365305629"/>
          <c:y val="0.82150446238844"/>
          <c:w val="0.266247885962793"/>
          <c:h val="0.120696982575436"/>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4182c62-932f-43d3-8db1-d4a182004b29}"/>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tx>
            <c:strRef>
              <c:f>Sheet1!$B$1</c:f>
              <c:strCache>
                <c:ptCount val="1"/>
                <c:pt idx="0">
                  <c:v>销售额</c:v>
                </c:pt>
              </c:strCache>
            </c:strRef>
          </c:tx>
          <c:spPr/>
          <c:explosion val="0"/>
          <c:dPt>
            <c:idx val="0"/>
            <c:bubble3D val="0"/>
            <c:spPr>
              <a:solidFill>
                <a:schemeClr val="accent1">
                  <a:shade val="76667"/>
                </a:schemeClr>
              </a:solidFill>
              <a:ln>
                <a:solidFill>
                  <a:schemeClr val="bg1"/>
                </a:solidFill>
              </a:ln>
              <a:effectLst/>
            </c:spPr>
          </c:dPt>
          <c:dPt>
            <c:idx val="1"/>
            <c:bubble3D val="0"/>
            <c:spPr>
              <a:solidFill>
                <a:schemeClr val="accent1">
                  <a:tint val="76667"/>
                </a:schemeClr>
              </a:solidFill>
              <a:ln>
                <a:solidFill>
                  <a:schemeClr val="bg1"/>
                </a:solidFill>
              </a:ln>
              <a:effectLst/>
            </c:spPr>
          </c:dPt>
          <c:dLbls>
            <c:dLbl>
              <c:idx val="0"/>
              <c:layout>
                <c:manualLayout>
                  <c:x val="0.131939356119295"/>
                  <c:y val="-0.129931082483904"/>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38396050696637"/>
                  <c:y val="0.0185200549015312"/>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200" b="0" i="0" u="none" strike="noStrike" kern="1200" baseline="0">
                    <a:solidFill>
                      <a:schemeClr val="tx1">
                        <a:lumMod val="75000"/>
                        <a:lumOff val="25000"/>
                      </a:schemeClr>
                    </a:solidFill>
                    <a:latin typeface="+mn-lt"/>
                    <a:ea typeface="+mn-ea"/>
                    <a:cs typeface="+mn-cs"/>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直接采信</c:v>
                </c:pt>
                <c:pt idx="1">
                  <c:v>采信后法院进一步审查并酌情扣减</c:v>
                </c:pt>
              </c:strCache>
            </c:strRef>
          </c:cat>
          <c:val>
            <c:numRef>
              <c:f>Sheet1!$B$2:$B$3</c:f>
              <c:numCache>
                <c:formatCode>0.00%</c:formatCode>
                <c:ptCount val="2"/>
                <c:pt idx="0">
                  <c:v>0.893</c:v>
                </c:pt>
                <c:pt idx="1">
                  <c:v>0.107</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t"/>
      <c:legendEntry>
        <c:idx val="0"/>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263e02c-afaf-4b60-938f-f1d25086ece7}"/>
      </c:ext>
    </c:extLst>
  </c:chart>
  <c:spPr>
    <a:solidFill>
      <a:schemeClr val="bg1"/>
    </a:solidFill>
    <a:ln w="9525" cap="flat" cmpd="sng" algn="ctr">
      <a:noFill/>
      <a:round/>
    </a:ln>
    <a:effectLst/>
  </c:spPr>
  <c:txPr>
    <a:bodyPr/>
    <a:lstStyle/>
    <a:p>
      <a:pPr>
        <a:defRPr lang="zh-CN" sz="1200"/>
      </a:pPr>
    </a:p>
  </c:txPr>
  <c:externalData r:id="rId1">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withinLinear" id="14">
  <a:schemeClr val="accent1"/>
</cs:colorStyle>
</file>

<file path=word/charts/colors3.xml><?xml version="1.0" encoding="utf-8"?>
<cs:colorStyle xmlns:cs="http://schemas.microsoft.com/office/drawing/2012/chartStyle" xmlns:a="http://schemas.openxmlformats.org/drawingml/2006/main" meth="withinLinear" id="14">
  <a:schemeClr val="accent1"/>
</cs:colorStyle>
</file>

<file path=word/charts/colors4.xml><?xml version="1.0" encoding="utf-8"?>
<cs:colorStyle xmlns:cs="http://schemas.microsoft.com/office/drawing/2012/chartStyle" xmlns:a="http://schemas.openxmlformats.org/drawingml/2006/main" meth="withinLinear" id="14">
  <a:schemeClr val="accent1"/>
</cs:colorStyle>
</file>

<file path=word/charts/colors5.xml><?xml version="1.0" encoding="utf-8"?>
<cs:colorStyle xmlns:cs="http://schemas.microsoft.com/office/drawing/2012/chartStyle" xmlns:a="http://schemas.openxmlformats.org/drawingml/2006/main" meth="withinLinear" id="14">
  <a:schemeClr val="accent1"/>
</cs:colorStyle>
</file>

<file path=word/charts/colors6.xml><?xml version="1.0" encoding="utf-8"?>
<cs:colorStyle xmlns:cs="http://schemas.microsoft.com/office/drawing/2012/chartStyle" xmlns:a="http://schemas.openxmlformats.org/drawingml/2006/main" meth="withinLinear" id="14">
  <a:schemeClr val="accent1"/>
</cs:colorStyle>
</file>

<file path=word/charts/colors7.xml><?xml version="1.0" encoding="utf-8"?>
<cs:colorStyle xmlns:cs="http://schemas.microsoft.com/office/drawing/2012/chartStyle" xmlns:a="http://schemas.openxmlformats.org/drawingml/2006/main" meth="withinLinear" id="14">
  <a:schemeClr val="accent1"/>
</cs:colorStyle>
</file>

<file path=word/charts/colors8.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1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83">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15033</Words>
  <Characters>17771</Characters>
  <Lines>0</Lines>
  <Paragraphs>0</Paragraphs>
  <TotalTime>109</TotalTime>
  <ScaleCrop>false</ScaleCrop>
  <LinksUpToDate>false</LinksUpToDate>
  <CharactersWithSpaces>18412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2024-10-21T00:19:00Z</dcterms:created>
  <dc:creator>86177</dc:creator>
  <cp:lastModifiedBy>月亮月亮</cp:lastModifiedBy>
  <dcterms:modified xsi:type="dcterms:W3CDTF">2026-05-12T09:01:10Z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8B2DE9B268774A868AEF1C0336FCFBAE_13</vt:lpwstr>
  </property>
  <property fmtid="{D5CDD505-2E9C-101B-9397-08002B2CF9AE}" pid="4" name="KSOTemplateDocerSaveRecord">
    <vt:lpwstr>eyJoZGlkIjoiMDc3N2YxMGQxOWU3YmZkM2I1YzVlZWM0MjA2ZDUxOWIiLCJ1c2VySWQiOiI4MTQ4MDE0NzMifQ==</vt:lpwstr>
  </property>
</Properties>
</file>