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2="http://schemas.openxmlformats.org/drawingml/2006/wordprocessingDrawing" xmlns:ns3="http://schemas.openxmlformats.org/drawingml/2006/main" xmlns:ns4="http://schemas.microsoft.com/office/word/2010/wordprocessingGroup" xmlns:ns5="http://schemas.microsoft.com/office/word/2010/wordprocessingShape" xmlns:ns6="urn:schemas-microsoft-com:vml" xmlns:ns7="urn:schemas-microsoft-com:office:office" xmlns:r="http://schemas.openxmlformats.org/officeDocument/2006/relationships" xmlns:w="http://schemas.openxmlformats.org/wordprocessingml/2006/main" mc:Ignorable="w14 w15 wp14">
  <w:body>
    <w:p>
      <w:commentRangeStart w:id="9"/>
      <w:pPr>
        <w:jc w:val="center"/>
        <w:rPr>
          <w:rFonts w:ascii="Times New Roman" w:hAnsi="Times New Roman" w:eastAsia="宋体" w:cs="Times New Roman"/>
          <w:b/>
          <w:bCs/>
          <w:sz w:val="72"/>
        </w:rPr>
      </w:pPr>
      <w:r>
        <w:rPr>
          <w:rFonts w:hint="eastAsia" w:ascii="Times New Roman" w:hAnsi="Times New Roman" w:eastAsia="宋体" w:cs="Times New Roman"/>
          <w:b/>
          <w:bCs/>
          <w:sz w:val="72"/>
        </w:rPr>
        <w:t>湘潭大学毕业论文</w:t>
      </w:r>
      <w:commentRangeEnd w:id="9"/>
      <w:r>
        <w:rPr>
          <w:rStyle w:val="CommentReference"/>
        </w:rPr>
        <w:commentReference w:id="9"/>
      </w:r>
    </w:p>
    <w:p>
      <w:pPr>
        <w:jc w:val="center"/>
        <w:rPr>
          <w:rFonts w:ascii="Times New Roman" w:hAnsi="Times New Roman" w:eastAsia="宋体" w:cs="Times New Roman"/>
          <w:b/>
          <w:bCs/>
          <w:sz w:val="72"/>
        </w:rPr>
      </w:pPr>
    </w:p>
    <w:p>
      <w:pPr>
        <w:tabs>
          <w:tab w:val="left" w:pos="7200"/>
        </w:tabs>
        <w:spacing w:line="600" w:lineRule="auto"/>
        <w:ind w:firstLine="643" w:firstLineChars="200"/>
        <w:jc w:val="left"/>
        <w:rPr>
          <w:rFonts w:hint="eastAsia" w:ascii="Times New Roman" w:hAnsi="Times New Roman" w:eastAsia="宋体" w:cs="Times New Roman"/>
          <w:b/>
          <w:bCs/>
          <w:sz w:val="32"/>
          <w:u w:val="single"/>
          <w:lang w:eastAsia="zh-CN"/>
        </w:rPr>
      </w:pPr>
      <w:r>
        <w:rPr>
          <w:rFonts w:hint="eastAsia" w:ascii="Times New Roman" w:hAnsi="Times New Roman" w:eastAsia="宋体" w:cs="Times New Roman"/>
          <w:b/>
          <w:bCs/>
          <w:sz w:val="32"/>
        </w:rPr>
        <w:t>题目：</w:t>
      </w:r>
      <w:commentRangeStart w:id="10"/>
      <w:commentRangeStart w:id="4"/>
      <w:r>
        <w:rPr>
          <w:rFonts w:hint="eastAsia" w:ascii="Times New Roman" w:hAnsi="Times New Roman" w:eastAsia="宋体" w:cs="Times New Roman"/>
          <w:b/>
          <w:bCs/>
          <w:sz w:val="32"/>
          <w:u w:val="single"/>
        </w:rPr>
        <w:t>彩礼返还规则研究——基于湖南省法院案例的实证分析</w:t>
      </w:r>
      <w:commentRangeEnd w:id="4"/>
      <w:r>
        <w:rPr>
          <w:rStyle w:val="CommentReference"/>
        </w:rPr>
        <w:commentReference w:id="4"/>
      </w:r>
      <w:commentRangeEnd w:id="10"/>
      <w:r>
        <w:rPr>
          <w:rStyle w:val="CommentReference"/>
        </w:rPr>
        <w:commentReference w:id="10"/>
      </w:r>
    </w:p>
    <w:p>
      <w:pPr>
        <w:spacing w:line="600" w:lineRule="auto"/>
        <w:jc w:val="center"/>
        <w:rPr>
          <w:rFonts w:ascii="Times New Roman" w:hAnsi="Times New Roman" w:eastAsia="宋体" w:cs="Times New Roman"/>
          <w:b/>
          <w:bCs/>
          <w:sz w:val="32"/>
        </w:rPr>
      </w:pPr>
    </w:p>
    <w:p>
      <w:pPr>
        <w:spacing w:line="600" w:lineRule="auto"/>
        <w:jc w:val="center"/>
        <w:rPr>
          <w:rFonts w:ascii="Times New Roman" w:hAnsi="Times New Roman" w:eastAsia="宋体" w:cs="Times New Roman"/>
          <w:b/>
          <w:bCs/>
          <w:sz w:val="32"/>
        </w:rPr>
      </w:pPr>
    </w:p>
    <w:p>
      <w:pPr>
        <w:spacing w:line="600" w:lineRule="auto"/>
        <w:ind w:left="630" w:leftChars="300"/>
        <w:jc w:val="left"/>
        <w:rPr>
          <w:rFonts w:hint="eastAsia" w:ascii="Times New Roman" w:hAnsi="Times New Roman" w:eastAsia="宋体" w:cs="Times New Roman"/>
          <w:b/>
          <w:bCs/>
          <w:sz w:val="32"/>
          <w:u w:val="none"/>
          <w:lang w:eastAsia="zh-CN"/>
        </w:rPr>
      </w:pPr>
      <w:r>
        <w:rPr>
          <w:rFonts w:ascii="Times New Roman" w:hAnsi="Times New Roman" w:eastAsia="宋体" w:cs="Times New Roman"/>
          <w:b/>
          <w:bCs/>
          <w:color w:val="FF0000"/>
          <w:szCs w:val="21"/>
        </w:rPr>
        <mc:AlternateContent>
          <mc:Choice Requires="wpg">
            <w:drawing>
              <ns2:anchor distT="0" distB="0" distL="114300" distR="114300" simplePos="0" relativeHeight="251660288" behindDoc="0" locked="0" layoutInCell="1" allowOverlap="1">
                <ns2:simplePos x="0" y="0"/>
                <ns2:positionH relativeFrom="column">
                  <ns2:posOffset>1367790</ns2:posOffset>
                </ns2:positionH>
                <ns2:positionV relativeFrom="paragraph">
                  <ns2:posOffset>394970</ns2:posOffset>
                </ns2:positionV>
                <ns2:extent cx="3886200" cy="2037715"/>
                <ns2:effectExtent l="0" t="6350" r="0" b="13335"/>
                <ns2:wrapNone/>
                <ns2:docPr id="38" name="组合 38"/>
                <ns2:cNvGraphicFramePr/>
                <ns3:graphic>
                  <ns3:graphicData uri="http://schemas.microsoft.com/office/word/2010/wordprocessingGroup">
                    <ns4:wgp>
                      <ns4:cNvGrpSpPr/>
                      <ns4:grpSpPr>
                        <ns3:xfrm>
                          <ns3:off x="0" y="0"/>
                          <ns3:ext cx="3886200" cy="2037715"/>
                          <ns3:chOff x="6060" y="6895"/>
                          <ns3:chExt cx="6120" cy="3209"/>
                        </ns3:xfrm>
                        <ns3:effectLst/>
                      </ns4:grpSpPr>
                      <ns5:wsp>
                        <ns5:cNvPr id="33" name="直接箭头连接符 33"/>
                        <ns5:cNvCnPr/>
                        <ns5:spPr>
                          <ns3:xfrm>
                            <ns3:off x="6060" y="7690"/>
                            <ns3:ext cx="6120" cy="15"/>
                          </ns3:xfrm>
                          <ns3:prstGeom prst="straightConnector1">
                            <ns3:avLst/>
                          </ns3:prstGeom>
                          <ns3:ln w="12700" cap="flat" cmpd="sng">
                            <ns3:solidFill>
                              <ns3:srgbClr val="000000"/>
                            </ns3:solidFill>
                            <ns3:prstDash val="solid"/>
                            <ns3:headEnd type="none" w="med" len="med"/>
                            <ns3:tailEnd type="none" w="med" len="med"/>
                          </ns3:ln>
                          <ns3:effectLst/>
                        </ns5:spPr>
                        <ns5:bodyPr/>
                      </ns5:wsp>
                      <ns5:wsp>
                        <ns5:cNvPr id="34" name="直接箭头连接符 34"/>
                        <ns5:cNvCnPr/>
                        <ns5:spPr>
                          <ns3:xfrm>
                            <ns3:off x="6060" y="8515"/>
                            <ns3:ext cx="6120" cy="15"/>
                          </ns3:xfrm>
                          <ns3:prstGeom prst="straightConnector1">
                            <ns3:avLst/>
                          </ns3:prstGeom>
                          <ns3:ln w="12700" cap="flat" cmpd="sng">
                            <ns3:solidFill>
                              <ns3:srgbClr val="000000"/>
                            </ns3:solidFill>
                            <ns3:prstDash val="solid"/>
                            <ns3:headEnd type="none" w="med" len="med"/>
                            <ns3:tailEnd type="none" w="med" len="med"/>
                          </ns3:ln>
                          <ns3:effectLst/>
                        </ns5:spPr>
                        <ns5:bodyPr/>
                      </ns5:wsp>
                      <ns5:wsp>
                        <ns5:cNvPr id="35" name="直接箭头连接符 35"/>
                        <ns5:cNvCnPr/>
                        <ns5:spPr>
                          <ns3:xfrm>
                            <ns3:off x="6060" y="9310"/>
                            <ns3:ext cx="6120" cy="15"/>
                          </ns3:xfrm>
                          <ns3:prstGeom prst="straightConnector1">
                            <ns3:avLst/>
                          </ns3:prstGeom>
                          <ns3:ln w="12700" cap="flat" cmpd="sng">
                            <ns3:solidFill>
                              <ns3:srgbClr val="000000"/>
                            </ns3:solidFill>
                            <ns3:prstDash val="solid"/>
                            <ns3:headEnd type="none" w="med" len="med"/>
                            <ns3:tailEnd type="none" w="med" len="med"/>
                          </ns3:ln>
                          <ns3:effectLst/>
                        </ns5:spPr>
                        <ns5:bodyPr/>
                      </ns5:wsp>
                      <ns5:wsp>
                        <ns5:cNvPr id="36" name="直接箭头连接符 36"/>
                        <ns5:cNvCnPr/>
                        <ns5:spPr>
                          <ns3:xfrm>
                            <ns3:off x="6060" y="10090"/>
                            <ns3:ext cx="6120" cy="15"/>
                          </ns3:xfrm>
                          <ns3:prstGeom prst="straightConnector1">
                            <ns3:avLst/>
                          </ns3:prstGeom>
                          <ns3:ln w="12700" cap="flat" cmpd="sng">
                            <ns3:solidFill>
                              <ns3:srgbClr val="000000"/>
                            </ns3:solidFill>
                            <ns3:prstDash val="solid"/>
                            <ns3:headEnd type="none" w="med" len="med"/>
                            <ns3:tailEnd type="none" w="med" len="med"/>
                          </ns3:ln>
                          <ns3:effectLst/>
                        </ns5:spPr>
                        <ns5:bodyPr/>
                      </ns5:wsp>
                      <ns5:wsp>
                        <ns5:cNvPr id="37" name="直接箭头连接符 37"/>
                        <ns5:cNvCnPr/>
                        <ns5:spPr>
                          <ns3:xfrm>
                            <ns3:off x="6060" y="6895"/>
                            <ns3:ext cx="6120" cy="15"/>
                          </ns3:xfrm>
                          <ns3:prstGeom prst="straightConnector1">
                            <ns3:avLst/>
                          </ns3:prstGeom>
                          <ns3:ln w="12700" cap="flat" cmpd="sng">
                            <ns3:solidFill>
                              <ns3:srgbClr val="000000"/>
                            </ns3:solidFill>
                            <ns3:prstDash val="solid"/>
                            <ns3:headEnd type="none" w="med" len="med"/>
                            <ns3:tailEnd type="none" w="med" len="med"/>
                          </ns3:ln>
                          <ns3:effectLst/>
                        </ns5:spPr>
                        <ns5:bodyPr/>
                      </ns5:wsp>
                    </ns4:wgp>
                  </ns3:graphicData>
                </ns3:graphic>
              </ns2:anchor>
            </w:drawing>
          </mc:Choice>
          <mc:Fallback>
            <w:pict>
              <ns6:group id="_x0000_s1026" ns7:spid="_x0000_s1026" ns7:spt="203" style="position:absolute;left:0pt;margin-left:107.7pt;margin-top:31.1pt;height:160.45pt;width:306pt;z-index:251660288;mso-width-relative:page;mso-height-relative:page;" coordorigin="6060,6895" coordsize="6120,3209" ns7:gfxdata="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T2kEfdsAAAAKAQAADwAAAAAAAAABACAAAAAiAAAAZHJzL2Rvd25yZXYueG1sUEsBAhQA&#10;FAAAAAgAh07iQMoHmPfTAgAAzw0AAA4AAAAAAAAAAQAgAAAAKgEAAGRycy9lMm9Eb2MueG1sUEsF&#10;BgAAAAAGAAYAWQEAAG8GAAAAAA==&#10;">
                <ns7:lock ns6:ext="edit" aspectratio="f"/>
                <ns6:shape id="_x0000_s1026" ns7:spid="_x0000_s1026" ns7:spt="32" type="#_x0000_t32" style="position:absolute;left:6060;top:7690;height:15;width:6120;" filled="f" stroked="t" coordsize="21600,21600" ns7:gfxdata="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GWPC8AAAA&#10;2wAAAA8AAAAAAAAAAQAgAAAAIgAAAGRycy9kb3ducmV2LnhtbFBLAQIUABQAAAAIAIdO4kAzLwWe&#10;OwAAADkAAAAQAAAAAAAAAAEAIAAAAAsBAABkcnMvc2hhcGV4bWwueG1sUEsFBgAAAAAGAAYAWwEA&#10;ALUDAAAAAA==&#10;">
                  <ns6:fill on="f" focussize="0,0"/>
                  <ns6:stroke weight="1pt" color="#000000" joinstyle="round"/>
                  <ns6:imagedata ns7:title=""/>
                  <ns7:lock ns6:ext="edit" aspectratio="f"/>
                </ns6:shape>
                <ns6:shape id="_x0000_s1026" ns7:spid="_x0000_s1026" ns7:spt="32" type="#_x0000_t32" style="position:absolute;left:6060;top:8515;height:15;width:6120;" filled="f" stroked="t" coordsize="21600,21600" ns7:gfxdata="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L8CEugAAANsA&#10;AAAPAAAAAAAAAAEAIAAAACIAAABkcnMvZG93bnJldi54bWxQSwECFAAUAAAACACHTuJAMy8FnjsA&#10;AAA5AAAAEAAAAAAAAAABACAAAAAJAQAAZHJzL3NoYXBleG1sLnhtbFBLBQYAAAAABgAGAFsBAACz&#10;AwAAAAA=&#10;">
                  <ns6:fill on="f" focussize="0,0"/>
                  <ns6:stroke weight="1pt" color="#000000" joinstyle="round"/>
                  <ns6:imagedata ns7:title=""/>
                  <ns7:lock ns6:ext="edit" aspectratio="f"/>
                </ns6:shape>
                <ns6:shape id="_x0000_s1026" ns7:spid="_x0000_s1026" ns7:spt="32" type="#_x0000_t32" style="position:absolute;left:6060;top:9310;height:15;width:6120;" filled="f" stroked="t" coordsize="21600,21600" ns7:gfxdata="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NlH7sAAADb&#10;AAAADwAAAAAAAAABACAAAAAiAAAAZHJzL2Rvd25yZXYueG1sUEsBAhQAFAAAAAgAh07iQDMvBZ47&#10;AAAAOQAAABAAAAAAAAAAAQAgAAAACgEAAGRycy9zaGFwZXhtbC54bWxQSwUGAAAAAAYABgBbAQAA&#10;tAMAAAAA&#10;">
                  <ns6:fill on="f" focussize="0,0"/>
                  <ns6:stroke weight="1pt" color="#000000" joinstyle="round"/>
                  <ns6:imagedata ns7:title=""/>
                  <ns7:lock ns6:ext="edit" aspectratio="f"/>
                </ns6:shape>
                <ns6:shape id="_x0000_s1026" ns7:spid="_x0000_s1026" ns7:spt="32" type="#_x0000_t32" style="position:absolute;left:6060;top:10090;height:15;width:6120;" filled="f" stroked="t" coordsize="21600,21600" ns7:gfxdata="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ftovQAA&#10;ANsAAAAPAAAAAAAAAAEAIAAAACIAAABkcnMvZG93bnJldi54bWxQSwECFAAUAAAACACHTuJAMy8F&#10;njsAAAA5AAAAEAAAAAAAAAABACAAAAAMAQAAZHJzL3NoYXBleG1sLnhtbFBLBQYAAAAABgAGAFsB&#10;AAC2AwAAAAA=&#10;">
                  <ns6:fill on="f" focussize="0,0"/>
                  <ns6:stroke weight="1pt" color="#000000" joinstyle="round"/>
                  <ns6:imagedata ns7:title=""/>
                  <ns7:lock ns6:ext="edit" aspectratio="f"/>
                </ns6:shape>
                <ns6:shape id="_x0000_s1026" ns7:spid="_x0000_s1026" ns7:spt="32" type="#_x0000_t32" style="position:absolute;left:6060;top:6895;height:15;width:6120;" filled="f" stroked="t" coordsize="21600,21600" ns7:gfxdata="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1e87sAAADb&#10;AAAADwAAAAAAAAABACAAAAAiAAAAZHJzL2Rvd25yZXYueG1sUEsBAhQAFAAAAAgAh07iQDMvBZ47&#10;AAAAOQAAABAAAAAAAAAAAQAgAAAACgEAAGRycy9zaGFwZXhtbC54bWxQSwUGAAAAAAYABgBbAQAA&#10;tAMAAAAA&#10;">
                  <ns6:fill on="f" focussize="0,0"/>
                  <ns6:stroke weight="1pt" color="#000000" joinstyle="round"/>
                  <ns6:imagedata ns7:title=""/>
                  <ns7:lock ns6:ext="edit" aspectratio="f"/>
                </ns6:shape>
              </ns6:group>
            </w:pict>
          </mc:Fallback>
        </mc:AlternateContent>
      </w:r>
      <w:r>
        <w:rPr>
          <w:sz w:val="32"/>
        </w:rPr>
        <mc:AlternateContent>
          <mc:Choice Requires="wps">
            <w:drawing>
              <ns2:anchor distT="0" distB="0" distL="114300" distR="114300" simplePos="0" relativeHeight="251659264" behindDoc="0" locked="0" layoutInCell="1" allowOverlap="1">
                <ns2:simplePos x="0" y="0"/>
                <ns2:positionH relativeFrom="column">
                  <ns2:posOffset>1365250</ns2:posOffset>
                </ns2:positionH>
                <ns2:positionV relativeFrom="paragraph">
                  <ns2:posOffset>393065</ns2:posOffset>
                </ns2:positionV>
                <ns2:extent cx="3886200" cy="0"/>
                <ns2:effectExtent l="0" t="6350" r="0" b="6350"/>
                <ns2:wrapNone/>
                <ns2:docPr id="27" name="直接箭头连接符 27"/>
                <ns2:cNvGraphicFramePr/>
                <ns3:graphic>
                  <ns3:graphicData uri="http://schemas.microsoft.com/office/word/2010/wordprocessingShape">
                    <ns5:wsp>
                      <ns5:cNvCnPr/>
                      <ns5:spPr>
                        <ns3:xfrm>
                          <ns3:off x="2508250" y="4477385"/>
                          <ns3:ext cx="3886200" cy="0"/>
                        </ns3:xfrm>
                        <ns3:prstGeom prst="straightConnector1">
                          <ns3:avLst/>
                        </ns3:prstGeom>
                        <ns3:ln w="12700" cap="flat" cmpd="sng">
                          <ns3:solidFill>
                            <ns3:srgbClr val="000000"/>
                          </ns3:solidFill>
                          <ns3:prstDash val="solid"/>
                          <ns3:headEnd type="none" w="med" len="med"/>
                          <ns3:tailEnd type="none" w="med" len="med"/>
                        </ns3:ln>
                        <ns3:effectLst/>
                      </ns5:spPr>
                      <ns5:bodyPr/>
                    </ns5:wsp>
                  </ns3:graphicData>
                </ns3:graphic>
              </ns2:anchor>
            </w:drawing>
          </mc:Choice>
          <mc:Fallback>
            <w:pict>
              <ns6:shape id="_x0000_s1026" ns7:spid="_x0000_s1026" ns7:spt="32" type="#_x0000_t32" style="position:absolute;left:0pt;margin-left:107.5pt;margin-top:30.95pt;height:0pt;width:306pt;z-index:251659264;mso-width-relative:page;mso-height-relative:page;" filled="f" stroked="t" coordsize="21600,21600" ns7:gfxdata="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V9YPUAAAACQEAAA8AAAAAAAAAAQAg&#10;AAAAIgAAAGRycy9kb3ducmV2LnhtbFBLAQIUABQAAAAIAIdO4kCfGQ05EgIAAAkEAAAOAAAAAAAA&#10;AAEAIAAAACMBAABkcnMvZTJvRG9jLnhtbFBLBQYAAAAABgAGAFkBAACnBQAAAAA=&#10;">
                <ns6:fill on="f" focussize="0,0"/>
                <ns6:stroke weight="1pt" color="#000000" joinstyle="round"/>
                <ns6:imagedata ns7:title=""/>
                <ns7:lock ns6:ext="edit" aspectratio="f"/>
              </ns6:shape>
            </w:pict>
          </mc:Fallback>
        </mc:AlternateContent>
      </w:r>
      <w:r>
        <w:rPr>
          <w:rFonts w:hint="eastAsia" w:ascii="Times New Roman" w:hAnsi="Times New Roman" w:eastAsia="宋体" w:cs="Times New Roman"/>
          <w:b/>
          <w:bCs/>
          <w:sz w:val="32"/>
        </w:rPr>
        <w:t>学院：</w:t>
      </w:r>
      <w:r>
        <w:rPr>
          <w:rFonts w:hint="eastAsia" w:ascii="Times New Roman" w:hAnsi="Times New Roman" w:cs="Times New Roman"/>
          <w:b/>
          <w:bCs/>
          <w:sz w:val="32"/>
          <w:lang w:val="en-US" w:eastAsia="zh-CN"/>
        </w:rPr>
        <w:t xml:space="preserve">           </w:t>
      </w:r>
      <w:r>
        <w:rPr>
          <w:rFonts w:hint="eastAsia" w:ascii="Times New Roman" w:hAnsi="Times New Roman" w:eastAsia="宋体" w:cs="Times New Roman"/>
          <w:b/>
          <w:bCs/>
          <w:sz w:val="32"/>
          <w:u w:val="none"/>
        </w:rPr>
        <w:t>法学</w:t>
      </w:r>
      <w:r>
        <w:rPr>
          <w:rFonts w:hint="eastAsia" w:ascii="Times New Roman" w:hAnsi="Times New Roman" w:eastAsia="宋体" w:cs="Times New Roman"/>
          <w:b/>
          <w:bCs/>
          <w:sz w:val="32"/>
          <w:u w:val="none"/>
          <w:lang w:val="en-US" w:eastAsia="zh-CN"/>
        </w:rPr>
        <w:t>学部</w:t>
      </w:r>
    </w:p>
    <w:p>
      <w:pPr>
        <w:spacing w:line="600" w:lineRule="auto"/>
        <w:ind w:left="630" w:leftChars="300"/>
        <w:jc w:val="left"/>
        <w:rPr>
          <w:rFonts w:ascii="Times New Roman" w:hAnsi="Times New Roman" w:eastAsia="宋体" w:cs="Times New Roman"/>
          <w:b/>
          <w:bCs/>
          <w:sz w:val="32"/>
          <w:u w:val="none"/>
        </w:rPr>
      </w:pPr>
      <w:r>
        <w:rPr>
          <w:rFonts w:hint="eastAsia" w:ascii="Times New Roman" w:hAnsi="Times New Roman" w:eastAsia="宋体" w:cs="Times New Roman"/>
          <w:b/>
          <w:bCs/>
          <w:sz w:val="32"/>
          <w:u w:val="none"/>
        </w:rPr>
        <w:t>班</w:t>
      </w:r>
      <w:r>
        <w:rPr>
          <w:rFonts w:hint="eastAsia" w:ascii="Times New Roman" w:hAnsi="Times New Roman" w:eastAsia="宋体" w:cs="Times New Roman"/>
          <w:b/>
          <w:bCs/>
          <w:color w:val="000000"/>
          <w:sz w:val="32"/>
          <w:u w:val="none"/>
        </w:rPr>
        <w:t>级</w:t>
      </w:r>
      <w:r>
        <w:rPr>
          <w:rFonts w:hint="eastAsia" w:ascii="Times New Roman" w:hAnsi="Times New Roman" w:eastAsia="宋体" w:cs="Times New Roman"/>
          <w:b/>
          <w:bCs/>
          <w:sz w:val="32"/>
          <w:u w:val="none"/>
        </w:rPr>
        <w:t>：</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rPr>
        <w:t>202</w:t>
      </w:r>
      <w:r>
        <w:rPr>
          <w:rFonts w:hint="eastAsia" w:ascii="Times New Roman" w:hAnsi="Times New Roman" w:eastAsia="宋体" w:cs="Times New Roman"/>
          <w:b/>
          <w:bCs/>
          <w:sz w:val="32"/>
          <w:u w:val="none"/>
          <w:lang w:val="en-US" w:eastAsia="zh-CN"/>
        </w:rPr>
        <w:t>2</w:t>
      </w:r>
      <w:r>
        <w:rPr>
          <w:rFonts w:hint="eastAsia" w:ascii="Times New Roman" w:hAnsi="Times New Roman" w:eastAsia="宋体" w:cs="Times New Roman"/>
          <w:b/>
          <w:bCs/>
          <w:sz w:val="32"/>
          <w:u w:val="none"/>
        </w:rPr>
        <w:t>法学</w:t>
      </w:r>
      <w:r>
        <w:rPr>
          <w:rFonts w:hint="eastAsia" w:ascii="Times New Roman" w:hAnsi="Times New Roman" w:eastAsia="宋体" w:cs="Times New Roman"/>
          <w:b/>
          <w:bCs/>
          <w:sz w:val="32"/>
          <w:u w:val="none"/>
          <w:lang w:val="en-US" w:eastAsia="zh-CN"/>
        </w:rPr>
        <w:t>6</w:t>
      </w:r>
      <w:r>
        <w:rPr>
          <w:rFonts w:hint="eastAsia" w:ascii="Times New Roman" w:hAnsi="Times New Roman" w:eastAsia="宋体" w:cs="Times New Roman"/>
          <w:b/>
          <w:bCs/>
          <w:sz w:val="32"/>
          <w:u w:val="none"/>
        </w:rPr>
        <w:t>班</w:t>
      </w:r>
    </w:p>
    <w:p>
      <w:pPr>
        <w:spacing w:line="600" w:lineRule="auto"/>
        <w:ind w:left="630" w:leftChars="300"/>
        <w:jc w:val="left"/>
        <w:rPr>
          <w:rFonts w:hint="default" w:ascii="Times New Roman" w:hAnsi="Times New Roman" w:eastAsia="宋体" w:cs="Times New Roman"/>
          <w:b/>
          <w:bCs/>
          <w:sz w:val="32"/>
          <w:u w:val="none"/>
          <w:lang w:val="en-US" w:eastAsia="zh-CN"/>
        </w:rPr>
      </w:pPr>
      <w:r>
        <w:rPr>
          <w:rFonts w:hint="eastAsia" w:ascii="Times New Roman" w:hAnsi="Times New Roman" w:eastAsia="宋体" w:cs="Times New Roman"/>
          <w:b/>
          <w:bCs/>
          <w:sz w:val="32"/>
          <w:u w:val="none"/>
        </w:rPr>
        <w:t>学号：</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lang w:val="en-US" w:eastAsia="zh-CN"/>
        </w:rPr>
        <w:t>202205256510</w:t>
      </w:r>
    </w:p>
    <w:p>
      <w:pPr>
        <w:spacing w:line="600" w:lineRule="auto"/>
        <w:ind w:left="630" w:leftChars="300"/>
        <w:jc w:val="left"/>
        <w:rPr>
          <w:rFonts w:hint="eastAsia" w:ascii="Times New Roman" w:hAnsi="Times New Roman" w:eastAsia="宋体" w:cs="Times New Roman"/>
          <w:b/>
          <w:bCs/>
          <w:sz w:val="32"/>
          <w:u w:val="none"/>
          <w:lang w:val="en-US" w:eastAsia="zh-CN"/>
        </w:rPr>
      </w:pPr>
      <w:r>
        <w:rPr>
          <w:rFonts w:hint="eastAsia" w:ascii="Times New Roman" w:hAnsi="Times New Roman" w:eastAsia="宋体" w:cs="Times New Roman"/>
          <w:b/>
          <w:bCs/>
          <w:sz w:val="32"/>
          <w:u w:val="none"/>
        </w:rPr>
        <w:t>姓名：</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lang w:val="en-US" w:eastAsia="zh-CN"/>
        </w:rPr>
        <w:t>米顺平</w:t>
      </w:r>
    </w:p>
    <w:p>
      <w:pPr>
        <w:spacing w:line="600" w:lineRule="auto"/>
        <w:ind w:left="630" w:leftChars="300"/>
        <w:jc w:val="left"/>
        <w:rPr>
          <w:rFonts w:hint="default" w:ascii="Times New Roman" w:hAnsi="Times New Roman" w:eastAsia="宋体" w:cs="Times New Roman"/>
          <w:b/>
          <w:bCs/>
          <w:sz w:val="32"/>
          <w:u w:val="none"/>
          <w:lang w:val="en-US" w:eastAsia="zh-CN"/>
        </w:rPr>
      </w:pPr>
      <w:r>
        <w:rPr>
          <w:rFonts w:hint="eastAsia" w:ascii="Times New Roman" w:hAnsi="Times New Roman" w:eastAsia="宋体" w:cs="Times New Roman"/>
          <w:b/>
          <w:bCs/>
          <w:sz w:val="32"/>
          <w:u w:val="none"/>
        </w:rPr>
        <w:t>指导教师：</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lang w:val="en-US" w:eastAsia="zh-CN"/>
        </w:rPr>
        <w:t>张庆霖</w:t>
      </w:r>
    </w:p>
    <w:p>
      <w:pPr>
        <w:tabs>
          <w:tab w:val="left" w:pos="7200"/>
        </w:tabs>
        <w:spacing w:line="600" w:lineRule="auto"/>
        <w:rPr>
          <w:rFonts w:ascii="Times New Roman" w:hAnsi="Times New Roman" w:eastAsia="宋体" w:cs="Times New Roman"/>
          <w:b/>
          <w:bCs/>
          <w:color w:val="FF0000"/>
          <w:szCs w:val="21"/>
        </w:rPr>
      </w:pPr>
    </w:p>
    <w:p>
      <w:pPr>
        <w:tabs>
          <w:tab w:val="left" w:pos="7200"/>
        </w:tabs>
        <w:spacing w:line="600" w:lineRule="auto"/>
        <w:rPr>
          <w:rFonts w:ascii="Times New Roman" w:hAnsi="Times New Roman" w:eastAsia="宋体" w:cs="Times New Roman"/>
          <w:b/>
          <w:bCs/>
          <w:color w:val="FF0000"/>
          <w:szCs w:val="21"/>
        </w:rPr>
      </w:pPr>
    </w:p>
    <w:p>
      <w:pPr>
        <w:tabs>
          <w:tab w:val="left" w:pos="7200"/>
        </w:tabs>
        <w:spacing w:line="600" w:lineRule="auto"/>
        <w:rPr>
          <w:rFonts w:ascii="Times New Roman" w:hAnsi="Times New Roman" w:eastAsia="宋体" w:cs="Times New Roman"/>
          <w:b/>
          <w:bCs/>
          <w:color w:val="FF0000"/>
          <w:szCs w:val="21"/>
        </w:rPr>
      </w:pPr>
    </w:p>
    <w:p>
      <w:pPr>
        <w:tabs>
          <w:tab w:val="left" w:pos="7200"/>
        </w:tabs>
        <w:spacing w:line="600" w:lineRule="auto"/>
        <w:rPr>
          <w:rFonts w:ascii="Times New Roman" w:hAnsi="Times New Roman" w:eastAsia="宋体" w:cs="Times New Roman"/>
          <w:b/>
          <w:bCs/>
          <w:color w:val="FF0000"/>
          <w:szCs w:val="21"/>
        </w:rPr>
      </w:pPr>
    </w:p>
    <w:p>
      <w:pPr>
        <w:spacing w:line="600" w:lineRule="auto"/>
        <w:ind w:firstLine="1928" w:firstLineChars="600"/>
        <w:jc w:val="left"/>
        <w:rPr>
          <w:rFonts w:hint="eastAsia" w:ascii="Times New Roman" w:hAnsi="Times New Roman" w:eastAsia="宋体" w:cs="Times New Roman"/>
          <w:b/>
          <w:bCs/>
          <w:color w:val="000000"/>
          <w:sz w:val="32"/>
          <w:lang w:eastAsia="zh-CN"/>
        </w:rPr>
      </w:pPr>
      <w:r>
        <w:rPr>
          <w:rFonts w:ascii="Times New Roman" w:hAnsi="Times New Roman" w:eastAsia="宋体" w:cs="Times New Roman"/>
          <w:b/>
          <w:bCs/>
          <w:sz w:val="32"/>
        </w:rPr>
        <mc:AlternateContent>
          <mc:Choice Requires="wps">
            <w:drawing>
              <ns2:anchor distT="0" distB="0" distL="114300" distR="114300" simplePos="0" relativeHeight="251661312" behindDoc="0" locked="0" layoutInCell="1" allowOverlap="1">
                <ns2:simplePos x="0" y="0"/>
                <ns2:positionH relativeFrom="column">
                  <ns2:posOffset>2170430</ns2:posOffset>
                </ns2:positionH>
                <ns2:positionV relativeFrom="paragraph">
                  <ns2:posOffset>386080</ns2:posOffset>
                </ns2:positionV>
                <ns2:extent cx="2035810" cy="0"/>
                <ns2:effectExtent l="0" t="6350" r="0" b="6350"/>
                <ns2:wrapNone/>
                <ns2:docPr id="39" name="直接箭头连接符 39"/>
                <ns2:cNvGraphicFramePr/>
                <ns3:graphic>
                  <ns3:graphicData uri="http://schemas.microsoft.com/office/word/2010/wordprocessingShape">
                    <ns5:wsp>
                      <ns5:cNvCnPr/>
                      <ns5:spPr>
                        <ns3:xfrm>
                          <ns3:off x="0" y="0"/>
                          <ns3:ext cx="2035810" cy="0"/>
                        </ns3:xfrm>
                        <ns3:prstGeom prst="straightConnector1">
                          <ns3:avLst/>
                        </ns3:prstGeom>
                        <ns3:ln w="12700" cap="flat" cmpd="sng">
                          <ns3:solidFill>
                            <ns3:srgbClr val="000000"/>
                          </ns3:solidFill>
                          <ns3:prstDash val="solid"/>
                          <ns3:headEnd type="none" w="med" len="med"/>
                          <ns3:tailEnd type="none" w="med" len="med"/>
                        </ns3:ln>
                        <ns3:effectLst/>
                      </ns5:spPr>
                      <ns5:bodyPr/>
                    </ns5:wsp>
                  </ns3:graphicData>
                </ns3:graphic>
              </ns2:anchor>
            </w:drawing>
          </mc:Choice>
          <mc:Fallback>
            <w:pict>
              <ns6:shape id="_x0000_s1026" ns7:spid="_x0000_s1026" ns7:spt="32" type="#_x0000_t32" style="position:absolute;left:0pt;margin-left:170.9pt;margin-top:30.4pt;height:0pt;width:160.3pt;z-index:251661312;mso-width-relative:page;mso-height-relative:page;" filled="f" stroked="t" coordsize="21600,21600" ns7:gfxdata="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b5X/1QAAAAkBAAAPAAAAAAAAAAEAIAAAACIAAABkcnMvZG93&#10;bnJldi54bWxQSwECFAAUAAAACACHTuJAVTpl1gMCAAD9AwAADgAAAAAAAAABACAAAAAkAQAAZHJz&#10;L2Uyb0RvYy54bWxQSwUGAAAAAAYABgBZAQAAmQUAAAAA&#10;">
                <ns6:fill on="f" focussize="0,0"/>
                <ns6:stroke weight="1pt" color="#000000" joinstyle="round"/>
                <ns6:imagedata ns7:title=""/>
                <ns7:lock ns6:ext="edit" aspectratio="f"/>
              </ns6:shape>
            </w:pict>
          </mc:Fallback>
        </mc:AlternateContent>
      </w:r>
      <w:r>
        <w:rPr>
          <w:rFonts w:hint="eastAsia" w:ascii="Times New Roman" w:hAnsi="Times New Roman" w:eastAsia="宋体" w:cs="Times New Roman"/>
          <w:b/>
          <w:bCs/>
          <w:color w:val="000000"/>
          <w:sz w:val="32"/>
        </w:rPr>
        <w:t>完成日期：</w:t>
      </w:r>
      <w:r>
        <w:rPr>
          <w:rFonts w:hint="eastAsia" w:ascii="Times New Roman" w:hAnsi="Times New Roman" w:cs="Times New Roman"/>
          <w:b/>
          <w:bCs/>
          <w:color w:val="000000"/>
          <w:sz w:val="32"/>
          <w:lang w:val="en-US" w:eastAsia="zh-CN"/>
        </w:rPr>
        <w:t>2026</w:t>
      </w:r>
      <w:r>
        <w:rPr>
          <w:rFonts w:hint="eastAsia" w:ascii="Times New Roman" w:hAnsi="Times New Roman" w:eastAsia="宋体" w:cs="Times New Roman"/>
          <w:b/>
          <w:bCs/>
          <w:color w:val="000000"/>
          <w:sz w:val="32"/>
        </w:rPr>
        <w:t>年</w:t>
      </w:r>
      <w:r>
        <w:rPr>
          <w:rFonts w:hint="eastAsia" w:ascii="Times New Roman" w:hAnsi="Times New Roman" w:cs="Times New Roman"/>
          <w:b/>
          <w:bCs/>
          <w:color w:val="000000"/>
          <w:sz w:val="32"/>
          <w:lang w:val="en-US" w:eastAsia="zh-CN"/>
        </w:rPr>
        <w:t>5</w:t>
      </w:r>
      <w:r>
        <w:rPr>
          <w:rFonts w:hint="eastAsia" w:ascii="Times New Roman" w:hAnsi="Times New Roman" w:eastAsia="宋体" w:cs="Times New Roman"/>
          <w:b/>
          <w:bCs/>
          <w:color w:val="000000"/>
          <w:sz w:val="32"/>
        </w:rPr>
        <w:t>月</w:t>
      </w:r>
    </w:p>
    <w:p>
      <w:pPr>
        <w:spacing w:line="600" w:lineRule="auto"/>
        <w:ind w:firstLine="1928" w:firstLineChars="600"/>
        <w:jc w:val="left"/>
        <w:rPr>
          <w:rFonts w:ascii="Times New Roman" w:hAnsi="Times New Roman" w:eastAsia="宋体" w:cs="Times New Roman"/>
          <w:b/>
          <w:bCs/>
          <w:color w:val="000000"/>
          <w:sz w:val="32"/>
        </w:rPr>
      </w:pPr>
    </w:p>
    <w:p>
      <w:pPr>
        <w:sectPr>
          <w:footnotePr>
            <w:numFmt w:val="decimalEnclosedCircleChinese"/>
            <w:numRestart w:val="eachPage"/>
          </w:footnotePr>
          <w:pgSz w:w="11906" w:h="16838"/>
          <w:pgMar w:top="1440" w:right="1800" w:bottom="1440" w:left="1800" w:header="851" w:footer="992" w:gutter="0"/>
          <w:pgNumType w:fmt="decimal"/>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Times New Roman" w:hAnsi="Times New Roman"/>
          <w:b/>
          <w:bCs/>
          <w:sz w:val="32"/>
          <w:szCs w:val="36"/>
        </w:rPr>
      </w:pPr>
      <w:bookmarkStart w:id="0" w:name="_Toc19093"/>
      <w:bookmarkStart w:id="1" w:name="_Toc9789"/>
      <w:bookmarkStart w:id="2" w:name="_Toc22985"/>
      <w:bookmarkStart w:id="3" w:name="_Toc220"/>
      <w:bookmarkStart w:id="4" w:name="OLE_LINK1"/>
      <w:r>
        <w:rPr>
          <w:rFonts w:hint="eastAsia" w:ascii="Times New Roman" w:hAnsi="Times New Roman"/>
          <w:b/>
          <w:bCs/>
          <w:sz w:val="32"/>
          <w:szCs w:val="32"/>
        </w:rPr>
        <w:t>摘要</w:t>
      </w:r>
      <w:bookmarkEnd w:id="0"/>
      <w:bookmarkEnd w:id="1"/>
      <w:bookmarkEnd w:id="2"/>
      <w:bookmarkEnd w:id="3"/>
    </w:p>
    <w:p>
      <w:commentRangeStart w:id="5"/>
      <w:pPr>
        <w:pStyle w:val="28"/>
        <w:spacing w:before="161" w:beforeLines="50" w:after="161" w:afterLines="50"/>
        <w:rPr>
          <w:rFonts w:hint="default"/>
          <w:sz w:val="21"/>
          <w:szCs w:val="22"/>
          <w:lang w:val="en-US" w:eastAsia="zh-CN"/>
        </w:rPr>
      </w:pPr>
      <w:bookmarkStart w:id="5" w:name="OLE_LINK30"/>
      <w:r>
        <w:rPr>
          <w:rFonts w:hint="eastAsia"/>
          <w:sz w:val="21"/>
          <w:szCs w:val="22"/>
          <w:lang w:val="en-US" w:eastAsia="zh-CN"/>
        </w:rPr>
        <w:t xml:space="preserve">作为婚约财产纠纷最普遍的问题，彩礼返还的目的是矫正因婚姻目的</w:t>
      </w:r>
      <w:commentRangeEnd w:id="5"/>
      <w:r>
        <w:rPr>
          <w:rStyle w:val="CommentReference"/>
        </w:rPr>
        <w:commentReference w:id="5"/>
      </w:r>
      <w:r>
        <w:rPr>
          <w:rFonts w:hint="eastAsia"/>
          <w:sz w:val="21"/>
          <w:szCs w:val="22"/>
          <w:lang w:val="en-US" w:eastAsia="zh-CN"/>
        </w:rPr>
        <w:t xml:space="preserve">落空产生的利益失衡，保护给付方的合法财产权益。细化彩礼返还规则，有助于统一裁判尺度，减少同案不同判，遏制高额彩礼、借婚姻索取财物等，引导社会树立健康婚恋观。</w:t>
      </w:r>
      <w:commentRangeStart w:id="3"/>
      <w:r>
        <w:rPr>
          <w:rFonts w:hint="eastAsia"/>
          <w:sz w:val="21"/>
          <w:szCs w:val="22"/>
          <w:lang w:val="en-US" w:eastAsia="zh-CN"/>
        </w:rPr>
        <w:t xml:space="preserve">彩礼返还规则主要有《民法典婚姻家庭编解释（一）》与《最高人民</w:t>
      </w:r>
      <w:commentRangeEnd w:id="3"/>
      <w:r>
        <w:rPr>
          <w:rStyle w:val="CommentReference"/>
        </w:rPr>
        <w:commentReference w:id="3"/>
      </w:r>
      <w:r>
        <w:rPr>
          <w:rFonts w:hint="eastAsia"/>
          <w:sz w:val="21"/>
          <w:szCs w:val="22"/>
          <w:lang w:val="en-US" w:eastAsia="zh-CN"/>
        </w:rPr>
        <w:t xml:space="preserve">法院关于审理涉彩礼纠纷案件适用法律若干问题的规定》。</w:t>
      </w:r>
      <w:commentRangeStart w:id="8"/>
      <w:commentRangeStart w:id="1"/>
      <w:r>
        <w:rPr>
          <w:rFonts w:hint="eastAsia"/>
          <w:sz w:val="21"/>
          <w:szCs w:val="22"/>
          <w:lang w:val="en-US" w:eastAsia="zh-CN"/>
        </w:rPr>
        <w:t xml:space="preserve">基于湖南省78份裁判，可见存在原被告诉讼主体类型复杂</w:t>
      </w:r>
      <w:commentRangeEnd w:id="1"/>
      <w:r>
        <w:rPr>
          <w:rStyle w:val="CommentReference"/>
        </w:rPr>
        <w:commentReference w:id="1"/>
      </w:r>
      <w:commentRangeEnd w:id="8"/>
      <w:r>
        <w:rPr>
          <w:rStyle w:val="CommentReference"/>
        </w:rPr>
        <w:commentReference w:id="8"/>
      </w:r>
      <w:r>
        <w:rPr>
          <w:rFonts w:hint="eastAsia"/>
          <w:sz w:val="21"/>
          <w:szCs w:val="22"/>
          <w:lang w:val="en-US" w:eastAsia="zh-CN"/>
        </w:rPr>
        <w:t xml:space="preserve">、彩礼认定范围在不同法院存在显著分歧、</w:t>
      </w:r>
      <w:commentRangeStart w:id="6"/>
      <w:r>
        <w:rPr>
          <w:rFonts w:hint="eastAsia"/>
          <w:sz w:val="21"/>
          <w:szCs w:val="22"/>
          <w:lang w:val="en-US" w:eastAsia="zh-CN"/>
        </w:rPr>
        <w:t xml:space="preserve">返还比例参考因素权重不同导致裁判标准不统一</w:t>
      </w:r>
      <w:commentRangeEnd w:id="6"/>
      <w:r>
        <w:rPr>
          <w:rStyle w:val="CommentReference"/>
        </w:rPr>
        <w:commentReference w:id="6"/>
      </w:r>
      <w:r>
        <w:rPr>
          <w:rFonts w:hint="eastAsia"/>
          <w:sz w:val="21"/>
          <w:szCs w:val="22"/>
          <w:lang w:val="en-US" w:eastAsia="zh-CN"/>
        </w:rPr>
        <w:t xml:space="preserve">，呈现出法官判案说理依据不足、适用规则混乱的特点。</w:t>
      </w:r>
      <w:commentRangeStart w:id="11"/>
      <w:r>
        <w:rPr>
          <w:rFonts w:hint="eastAsia"/>
          <w:sz w:val="21"/>
          <w:szCs w:val="22"/>
          <w:lang w:val="en-US" w:eastAsia="zh-CN"/>
        </w:rPr>
        <w:t xml:space="preserve">中国可以通过扩大诉讼主体范围、量化彩礼认定标准</w:t>
      </w:r>
      <w:commentRangeEnd w:id="11"/>
      <w:r>
        <w:rPr>
          <w:rStyle w:val="CommentReference"/>
        </w:rPr>
        <w:commentReference w:id="11"/>
      </w:r>
      <w:r>
        <w:rPr>
          <w:rFonts w:hint="eastAsia"/>
          <w:sz w:val="21"/>
          <w:szCs w:val="22"/>
          <w:lang w:val="en-US" w:eastAsia="zh-CN"/>
        </w:rPr>
        <w:t xml:space="preserve">、</w:t>
      </w:r>
      <w:commentRangeStart w:id="7"/>
      <w:r>
        <w:rPr>
          <w:rFonts w:hint="eastAsia"/>
          <w:sz w:val="21"/>
          <w:szCs w:val="22"/>
          <w:lang w:val="en-US" w:eastAsia="zh-CN"/>
        </w:rPr>
        <w:t xml:space="preserve">构建多要素协同的动态体系协助法官在彩礼纠纷案件中对诉讼主体认</w:t>
      </w:r>
      <w:commentRangeEnd w:id="7"/>
      <w:r>
        <w:rPr>
          <w:rStyle w:val="CommentReference"/>
        </w:rPr>
        <w:commentReference w:id="7"/>
      </w:r>
      <w:r>
        <w:rPr>
          <w:rFonts w:hint="eastAsia"/>
          <w:sz w:val="21"/>
          <w:szCs w:val="22"/>
          <w:lang w:val="en-US" w:eastAsia="zh-CN"/>
        </w:rPr>
        <w:t xml:space="preserve">定、彩礼范围界定、返还比例的裁量。</w:t>
      </w:r>
      <w:commentRangeStart w:id="0"/>
      <w:r>
        <w:rPr>
          <w:rFonts w:hint="eastAsia"/>
          <w:sz w:val="21"/>
          <w:szCs w:val="22"/>
          <w:lang w:val="en-US" w:eastAsia="zh-CN"/>
        </w:rPr>
        <w:t xml:space="preserve">如设置例外情形对主体范围作适当的扩大、彩礼的婚姻目的实现标准</w:t>
      </w:r>
      <w:commentRangeEnd w:id="0"/>
      <w:r>
        <w:rPr>
          <w:rStyle w:val="CommentReference"/>
        </w:rPr>
        <w:commentReference w:id="0"/>
      </w:r>
      <w:r>
        <w:rPr>
          <w:rFonts w:hint="eastAsia"/>
          <w:sz w:val="21"/>
          <w:szCs w:val="22"/>
          <w:lang w:val="en-US" w:eastAsia="zh-CN"/>
        </w:rPr>
        <w:t xml:space="preserve">，为不属于彩礼的三类财物设置量化上限、建立动态返还体系要素顺位。在尊重彩礼的前提下，充分发挥彩礼返还机制的社会调节功能。</w:t>
      </w:r>
    </w:p>
    <w:bookmarkEnd w:id="5"/>
    <w:p>
      <w:pPr>
        <w:spacing w:line="400" w:lineRule="exact"/>
        <w:ind w:firstLine="482" w:firstLineChars="200"/>
        <w:rPr>
          <w:rFonts w:ascii="Times New Roman" w:hAnsi="Times New Roman"/>
          <w:b/>
          <w:bCs/>
          <w:sz w:val="24"/>
          <w:szCs w:val="32"/>
        </w:rPr>
      </w:pPr>
    </w:p>
    <w:p>
      <w:pPr>
        <w:spacing w:line="400" w:lineRule="exact"/>
        <w:ind w:firstLine="482" w:firstLineChars="200"/>
        <w:rPr>
          <w:rFonts w:hint="eastAsia" w:ascii="Times New Roman" w:hAnsi="Times New Roman" w:eastAsia="宋体"/>
          <w:lang w:val="en-US" w:eastAsia="zh-CN"/>
        </w:rPr>
      </w:pPr>
      <w:r>
        <w:rPr>
          <w:rFonts w:hint="eastAsia" w:ascii="Times New Roman" w:hAnsi="Times New Roman"/>
          <w:b/>
          <w:bCs/>
          <w:sz w:val="24"/>
          <w:szCs w:val="32"/>
        </w:rPr>
        <w:t>关键词：</w:t>
      </w:r>
      <w:bookmarkStart w:id="6" w:name="OLE_LINK11"/>
      <w:r>
        <w:rPr>
          <w:rFonts w:hint="eastAsia" w:ascii="Times New Roman" w:hAnsi="Times New Roman"/>
          <w:b w:val="0"/>
          <w:bCs w:val="0"/>
          <w:sz w:val="24"/>
          <w:szCs w:val="32"/>
          <w:lang w:val="en-US" w:eastAsia="zh-CN"/>
        </w:rPr>
        <w:t>彩礼返还</w:t>
      </w:r>
      <w:r>
        <w:rPr>
          <w:rFonts w:hint="eastAsia" w:ascii="Times New Roman" w:hAnsi="Times New Roman"/>
          <w:kern w:val="44"/>
        </w:rPr>
        <w:t>；</w:t>
      </w:r>
      <w:r>
        <w:rPr>
          <w:rFonts w:hint="eastAsia" w:ascii="Times New Roman" w:hAnsi="Times New Roman"/>
          <w:kern w:val="44"/>
          <w:lang w:val="en-US" w:eastAsia="zh-CN"/>
        </w:rPr>
        <w:t>婚约财产纠纷</w:t>
      </w:r>
      <w:r>
        <w:rPr>
          <w:rFonts w:hint="eastAsia" w:ascii="Times New Roman" w:hAnsi="Times New Roman"/>
          <w:kern w:val="44"/>
        </w:rPr>
        <w:t>；</w:t>
      </w:r>
      <w:r>
        <w:rPr>
          <w:rFonts w:hint="eastAsia" w:ascii="Times New Roman" w:hAnsi="Times New Roman"/>
          <w:kern w:val="44"/>
          <w:lang w:val="en-US" w:eastAsia="zh-CN"/>
        </w:rPr>
        <w:t>返还比例</w:t>
      </w:r>
      <w:r>
        <w:rPr>
          <w:rFonts w:hint="eastAsia" w:ascii="Times New Roman" w:hAnsi="Times New Roman"/>
          <w:kern w:val="44"/>
        </w:rPr>
        <w:t>；</w:t>
      </w:r>
      <w:r>
        <w:rPr>
          <w:rFonts w:hint="eastAsia" w:ascii="Times New Roman" w:hAnsi="Times New Roman"/>
          <w:kern w:val="44"/>
          <w:lang w:val="en-US" w:eastAsia="zh-CN"/>
        </w:rPr>
        <w:t>共同生活</w:t>
      </w:r>
      <w:bookmarkEnd w:id="6"/>
    </w:p>
    <w:p>
      <w:pPr>
        <w:jc w:val="center"/>
        <w:outlineLvl w:val="0"/>
        <w:rPr>
          <w:rFonts w:ascii="Times New Roman" w:hAnsi="Times New Roman"/>
          <w:bCs/>
          <w:sz w:val="32"/>
          <w:szCs w:val="32"/>
        </w:rPr>
        <w:sectPr>
          <w:headerReference r:id="rId4" w:type="default"/>
          <w:footerReference r:id="rId5" w:type="default"/>
          <w:footnotePr>
            <w:numFmt w:val="decimalEnclosedCircleChinese"/>
            <w:numRestart w:val="eachPage"/>
          </w:footnotePr>
          <w:pgSz w:w="11906" w:h="16838"/>
          <w:pgMar w:top="1701" w:right="1134" w:bottom="1417" w:left="1701" w:header="850" w:footer="992" w:gutter="0"/>
          <w:pgNumType w:fmt="upperRoman" w:start="1"/>
          <w:cols w:space="720" w:num="1"/>
          <w:docGrid w:type="lines" w:linePitch="322" w:charSpace="0"/>
        </w:sectPr>
      </w:pPr>
    </w:p>
    <w:bookmarkEnd w:id="4"/>
    <w:p>
      <w:pPr>
        <w:jc w:val="center"/>
        <w:outlineLvl w:val="0"/>
        <w:rPr>
          <w:rFonts w:ascii="Times New Roman" w:hAnsi="Times New Roman"/>
          <w:kern w:val="44"/>
          <w:sz w:val="32"/>
          <w:szCs w:val="32"/>
        </w:rPr>
      </w:pPr>
      <w:bookmarkStart w:id="7" w:name="_Toc31142"/>
      <w:bookmarkStart w:id="8" w:name="_Toc18053"/>
      <w:bookmarkStart w:id="9" w:name="_Toc3513"/>
      <w:bookmarkStart w:id="10" w:name="_Toc9712"/>
      <w:r>
        <w:rPr>
          <w:rFonts w:hint="eastAsia" w:ascii="Times New Roman" w:hAnsi="Times New Roman"/>
          <w:bCs/>
          <w:sz w:val="32"/>
          <w:szCs w:val="32"/>
        </w:rPr>
        <w:t>Abstract</w:t>
      </w:r>
      <w:bookmarkEnd w:id="7"/>
      <w:bookmarkEnd w:id="8"/>
      <w:bookmarkEnd w:id="9"/>
      <w:bookmarkEnd w:id="1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kern w:val="44"/>
          <w:sz w:val="24"/>
        </w:rPr>
      </w:pPr>
      <w:r>
        <w:rPr>
          <w:rFonts w:hint="eastAsia" w:ascii="Times New Roman" w:hAnsi="Times New Roman"/>
          <w:kern w:val="44"/>
          <w:sz w:val="24"/>
        </w:rPr>
        <w:t>As the most common issue in disputes over property arising from marriage contracts, the purpose of bride price (betrothal gift) restitution is to remedy the imbalance of interests caused by the failure to achieve the purpose of marriage, thereby protecting the legitimate property rights of the paying party. Refining the rules for bride price restitution helps unify the adjudication standards, reduce inconsistent judgments for similar cases, curb exorbitant bride prices and marriage procurement through property demands, and guide society toward fostering healthy views on marriage and relationships. The primary rules governing bride price restitution are found in Interpretation (I) of the Marriage and Family Book of the Civil Code and the Provisions of the Supreme People's Court on Several Issues Concerning the Application of Law in the Trial of Disputes over Bride Price. Based on an analysis of 78 judicial decisions from Hunan Province, it is evident that there are complex issues regarding the types of plaintiffs and defendants, significant discrepancies among courts in defining the scope of bride price, and inconsistent adjudication standards due to varying weights assigned to factors determining the restitution ratio. These issues manifest as insufficient reasoning by judges and chaotic application of the rules. China can address these problems by expanding the scope of litigants, quantifying the criteria for determining bride price, and establishing a multi-factor collaborative dynamic system to assist judges in adjudicating disputes over bride price—particularly regarding the identification of litigants, the definition of bride price scope, and the discretion in determining restitution ratios. For instance, appropriate expansions of the litigant scope may be made through exceptional circumstances; the standard for achieving the marriage purpose of bride price should be clarified; quantitative caps should be set for three categories of properties that do not constitute bride price; and a dynamic restitution system with an ordered hierarchy of factors should be established. On the premise of respecting bride price, the social regulatory function of the bride price restitution mechanism should be fully leveraged.</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kern w:val="44"/>
          <w:sz w:val="24"/>
        </w:rPr>
      </w:pPr>
    </w:p>
    <w:p>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kern w:val="44"/>
          <w:sz w:val="24"/>
          <w:lang w:val="en-US" w:eastAsia="zh-CN"/>
        </w:rPr>
        <w:sectPr>
          <w:footnotePr>
            <w:numFmt w:val="decimalEnclosedCircleChinese"/>
            <w:numRestart w:val="eachPage"/>
          </w:footnotePr>
          <w:pgSz w:w="11906" w:h="16838"/>
          <w:pgMar w:top="1440" w:right="1800" w:bottom="1440" w:left="1800" w:header="851" w:footer="992" w:gutter="0"/>
          <w:pgNumType w:fmt="upperRoman"/>
          <w:cols w:space="720" w:num="1"/>
          <w:docGrid w:type="lines" w:linePitch="312" w:charSpace="0"/>
        </w:sectPr>
      </w:pPr>
      <w:r>
        <w:rPr>
          <w:rFonts w:ascii="Times New Roman" w:hAnsi="Times New Roman"/>
          <w:b/>
          <w:bCs/>
          <w:kern w:val="44"/>
          <w:sz w:val="24"/>
          <w:szCs w:val="32"/>
        </w:rPr>
        <w:t>Keywords</w:t>
      </w:r>
      <w:r>
        <w:rPr>
          <w:rFonts w:hint="eastAsia" w:ascii="Times New Roman" w:hAnsi="Times New Roman"/>
          <w:b/>
          <w:bCs/>
          <w:kern w:val="44"/>
          <w:sz w:val="24"/>
          <w:szCs w:val="32"/>
        </w:rPr>
        <w:t>:</w:t>
      </w:r>
      <w:r>
        <w:rPr>
          <w:rFonts w:hint="eastAsia" w:ascii="Times New Roman" w:hAnsi="Times New Roman"/>
          <w:b/>
          <w:bCs/>
          <w:kern w:val="44"/>
          <w:sz w:val="24"/>
          <w:szCs w:val="32"/>
          <w:lang w:val="en-US" w:eastAsia="zh-CN"/>
        </w:rPr>
        <w:t xml:space="preserve"> </w:t>
      </w:r>
      <w:r>
        <w:rPr>
          <w:rFonts w:hint="eastAsia" w:ascii="Times New Roman" w:hAnsi="Times New Roman"/>
          <w:kern w:val="44"/>
          <w:sz w:val="24"/>
          <w:lang w:val="en-US" w:eastAsia="zh-CN"/>
        </w:rPr>
        <w:t xml:space="preserve">Return of betrothal gifts; Engagement Property Dispute; </w:t>
      </w:r>
      <w:r>
        <w:rPr>
          <w:rFonts w:hint="eastAsia" w:ascii="Times New Roman" w:hAnsi="Times New Roman"/>
          <w:kern w:val="44"/>
          <w:sz w:val="24"/>
        </w:rPr>
        <w:t>restitution</w:t>
      </w:r>
      <w:r>
        <w:rPr>
          <w:rFonts w:hint="eastAsia" w:ascii="Times New Roman" w:hAnsi="Times New Roman"/>
          <w:kern w:val="44"/>
          <w:sz w:val="24"/>
          <w:lang w:val="en-US" w:eastAsia="zh-CN"/>
        </w:rPr>
        <w:t xml:space="preserve"> </w:t>
      </w:r>
      <w:r>
        <w:rPr>
          <w:rFonts w:hint="eastAsia" w:ascii="Times New Roman" w:hAnsi="Times New Roman"/>
          <w:kern w:val="44"/>
          <w:sz w:val="24"/>
        </w:rPr>
        <w:t>percentage</w:t>
      </w:r>
      <w:r>
        <w:rPr>
          <w:rFonts w:hint="eastAsia" w:ascii="Times New Roman" w:hAnsi="Times New Roman"/>
          <w:kern w:val="44"/>
          <w:sz w:val="24"/>
          <w:lang w:val="en-US" w:eastAsia="zh-CN"/>
        </w:rPr>
        <w:t xml:space="preserve">; </w:t>
      </w:r>
      <w:r>
        <w:rPr>
          <w:rFonts w:hint="eastAsia" w:ascii="Times New Roman" w:hAnsi="Times New Roman"/>
          <w:kern w:val="44"/>
          <w:sz w:val="24"/>
        </w:rPr>
        <w:t>Cohabitation</w:t>
      </w:r>
    </w:p>
    <w:p>
      <w:pPr>
        <w:pStyle w:val="16"/>
        <w:keepNext w:val="0"/>
        <w:keepLines w:val="0"/>
        <w:pageBreakBefore w:val="0"/>
        <w:widowControl w:val="0"/>
        <w:tabs>
          <w:tab w:val="right" w:leader="dot" w:pos="8306"/>
        </w:tabs>
        <w:kinsoku/>
        <w:wordWrap/>
        <w:overflowPunct/>
        <w:topLinePunct w:val="0"/>
        <w:autoSpaceDE/>
        <w:autoSpaceDN/>
        <w:bidi w:val="0"/>
        <w:adjustRightInd/>
        <w:snapToGrid/>
        <w:spacing w:before="480" w:after="360" w:line="400" w:lineRule="exact"/>
        <w:jc w:val="center"/>
        <w:textAlignment w:val="auto"/>
        <w:rPr>
          <w:rFonts w:hint="eastAsia" w:eastAsia="宋体"/>
          <w:b/>
          <w:bCs/>
          <w:sz w:val="32"/>
          <w:szCs w:val="32"/>
          <w:lang w:val="en-US" w:eastAsia="zh-CN"/>
        </w:rPr>
      </w:pPr>
      <w:r>
        <w:rPr>
          <w:rFonts w:hint="eastAsia"/>
          <w:b/>
          <w:bCs/>
          <w:sz w:val="32"/>
          <w:szCs w:val="32"/>
          <w:lang w:val="en-US" w:eastAsia="zh-CN"/>
        </w:rPr>
        <w:t>目  录</w:t>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TOC \o "1-3" \h \u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_Toc220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rPr>
        <w:t>摘要</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_Toc220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I</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_Toc9712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rPr>
        <w:t>Abstract</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_Toc9712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II</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_Toc1206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kern w:val="2"/>
          <w:sz w:val="28"/>
          <w:szCs w:val="32"/>
          <w:shd w:val="clear" w:color="auto" w:fill="FFFFFF"/>
          <w:lang w:val="en-US" w:eastAsia="zh-CN" w:bidi="ar-SA"/>
        </w:rPr>
        <w:t>一、绪论</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_Toc1206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1</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_Toc25683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w:t>
      </w:r>
      <w:r>
        <w:rPr>
          <w:rFonts w:hint="eastAsia" w:ascii="Times New Roman" w:hAnsi="Times New Roman" w:eastAsia="宋体" w:cs="宋体"/>
          <w:sz w:val="24"/>
          <w:szCs w:val="24"/>
          <w:shd w:val="clear" w:color="auto" w:fill="FFFFFF"/>
          <w:lang w:val="en-US" w:eastAsia="zh-CN"/>
        </w:rPr>
        <w:t>研究背景</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_Toc25683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_Toc24547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（二）</w:t>
      </w:r>
      <w:r>
        <w:rPr>
          <w:rFonts w:hint="eastAsia" w:ascii="Times New Roman" w:hAnsi="Times New Roman" w:eastAsia="宋体" w:cs="宋体"/>
          <w:sz w:val="24"/>
          <w:szCs w:val="24"/>
          <w:shd w:val="clear" w:color="auto" w:fill="FFFFFF"/>
          <w:lang w:val="en-US" w:eastAsia="zh-CN"/>
        </w:rPr>
        <w:t>研究目的与意义</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_Toc24547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_Toc13167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rPr>
        <w:t>1.</w:t>
      </w:r>
      <w:r>
        <w:rPr>
          <w:rFonts w:hint="eastAsia" w:ascii="Times New Roman" w:hAnsi="Times New Roman" w:eastAsia="宋体" w:cs="宋体"/>
          <w:bCs/>
          <w:sz w:val="24"/>
          <w:szCs w:val="24"/>
          <w:shd w:val="clear" w:color="auto" w:fill="FFFFFF"/>
          <w:lang w:val="en-US" w:eastAsia="zh-CN"/>
        </w:rPr>
        <w:t>研究目的</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_Toc13167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_Toc26055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2</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研究意义</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_Toc26055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_Toc2235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（三）文献综述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_Toc2235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_Toc28438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1</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国内研究综述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_Toc28438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_Toc5840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2</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国外研究综述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_Toc5840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_Toc30195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四</w:t>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研究方法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_Toc30195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_Toc24965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shd w:val="clear" w:color="auto" w:fill="FFFFFF"/>
        </w:rPr>
        <w:t>二、</w:t>
      </w:r>
      <w:r>
        <w:rPr>
          <w:rFonts w:hint="eastAsia" w:ascii="Times New Roman" w:hAnsi="Times New Roman" w:eastAsia="宋体" w:cs="宋体"/>
          <w:bCs/>
          <w:sz w:val="28"/>
          <w:szCs w:val="32"/>
          <w:shd w:val="clear" w:color="auto" w:fill="FFFFFF"/>
          <w:lang w:val="en-US" w:eastAsia="zh-CN"/>
        </w:rPr>
        <w:t>彩礼返还基础制度与现行裁判规则梳理</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_Toc24965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8</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_Toc8211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kern w:val="2"/>
          <w:sz w:val="24"/>
          <w:szCs w:val="24"/>
          <w:shd w:val="clear" w:color="auto" w:fill="FFFFFF"/>
          <w:lang w:val="en-US" w:eastAsia="zh-CN" w:bidi="ar-SA"/>
        </w:rPr>
        <w:t>（一）</w:t>
      </w:r>
      <w:r>
        <w:rPr>
          <w:rFonts w:hint="eastAsia" w:ascii="Times New Roman" w:hAnsi="Times New Roman" w:eastAsia="宋体" w:cs="宋体"/>
          <w:sz w:val="24"/>
          <w:szCs w:val="24"/>
          <w:shd w:val="clear" w:color="auto" w:fill="FFFFFF"/>
          <w:lang w:val="en-US" w:eastAsia="zh-CN"/>
        </w:rPr>
        <w:t>彩礼的概念</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_Toc8211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8</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_Toc19468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二</w:t>
      </w:r>
      <w:r>
        <w:rPr>
          <w:rFonts w:hint="eastAsia" w:ascii="Times New Roman" w:hAnsi="Times New Roman" w:eastAsia="宋体" w:cs="宋体"/>
          <w:sz w:val="24"/>
          <w:szCs w:val="24"/>
          <w:shd w:val="clear" w:color="auto" w:fill="FFFFFF"/>
        </w:rPr>
        <w:t>）彩礼返还现行裁判规则</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_Toc19468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9</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_Toc3815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shd w:val="clear" w:color="auto" w:fill="FFFFFF"/>
          <w:lang w:val="en-US" w:eastAsia="zh-CN"/>
        </w:rPr>
        <w:t>三、</w:t>
      </w:r>
      <w:r>
        <w:rPr>
          <w:rFonts w:hint="eastAsia" w:ascii="Times New Roman" w:hAnsi="Times New Roman" w:eastAsia="宋体" w:cs="宋体"/>
          <w:bCs/>
          <w:sz w:val="28"/>
          <w:szCs w:val="32"/>
          <w:shd w:val="clear" w:color="auto" w:fill="FFFFFF"/>
        </w:rPr>
        <w:t>湖南省中彩礼返还纠纷实证分析</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_Toc3815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11</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_Toc14582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（一）案例样本来源</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_Toc14582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_Toc19989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二</w:t>
      </w:r>
      <w:r>
        <w:rPr>
          <w:rFonts w:hint="eastAsia" w:ascii="Times New Roman" w:hAnsi="Times New Roman" w:eastAsia="宋体" w:cs="宋体"/>
          <w:sz w:val="24"/>
          <w:szCs w:val="24"/>
          <w:shd w:val="clear" w:color="auto" w:fill="FFFFFF"/>
        </w:rPr>
        <w:t>）原被告诉讼主体类型</w:t>
      </w:r>
      <w:r>
        <w:rPr>
          <w:rFonts w:hint="eastAsia" w:ascii="Times New Roman" w:hAnsi="Times New Roman" w:eastAsia="宋体" w:cs="宋体"/>
          <w:sz w:val="24"/>
          <w:szCs w:val="24"/>
          <w:shd w:val="clear" w:color="auto" w:fill="FFFFFF"/>
          <w:lang w:eastAsia="zh-CN"/>
        </w:rPr>
        <w:t>的</w:t>
      </w:r>
      <w:r>
        <w:rPr>
          <w:rFonts w:hint="eastAsia" w:ascii="Times New Roman" w:hAnsi="Times New Roman" w:eastAsia="宋体" w:cs="宋体"/>
          <w:sz w:val="24"/>
          <w:szCs w:val="24"/>
          <w:shd w:val="clear" w:color="auto" w:fill="FFFFFF"/>
          <w:lang w:val="en-US" w:eastAsia="zh-CN"/>
        </w:rPr>
        <w:t>多样化</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_Toc19989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_Toc21314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三</w:t>
      </w:r>
      <w:r>
        <w:rPr>
          <w:rFonts w:hint="eastAsia" w:ascii="Times New Roman" w:hAnsi="Times New Roman" w:eastAsia="宋体" w:cs="宋体"/>
          <w:sz w:val="24"/>
          <w:szCs w:val="24"/>
          <w:shd w:val="clear" w:color="auto" w:fill="FFFFFF"/>
        </w:rPr>
        <w:t>）彩礼认定范围</w:t>
      </w:r>
      <w:r>
        <w:rPr>
          <w:rFonts w:hint="eastAsia" w:ascii="Times New Roman" w:hAnsi="Times New Roman" w:eastAsia="宋体" w:cs="宋体"/>
          <w:sz w:val="24"/>
          <w:szCs w:val="24"/>
          <w:shd w:val="clear" w:color="auto" w:fill="FFFFFF"/>
          <w:lang w:eastAsia="zh-CN"/>
        </w:rPr>
        <w:t>的</w:t>
      </w:r>
      <w:r>
        <w:rPr>
          <w:rFonts w:hint="eastAsia" w:ascii="Times New Roman" w:hAnsi="Times New Roman" w:eastAsia="宋体" w:cs="宋体"/>
          <w:sz w:val="24"/>
          <w:szCs w:val="24"/>
          <w:shd w:val="clear" w:color="auto" w:fill="FFFFFF"/>
        </w:rPr>
        <w:t>差异</w:t>
      </w:r>
      <w:r>
        <w:rPr>
          <w:rFonts w:hint="eastAsia" w:ascii="Times New Roman" w:hAnsi="Times New Roman" w:eastAsia="宋体" w:cs="宋体"/>
          <w:sz w:val="24"/>
          <w:szCs w:val="24"/>
          <w:shd w:val="clear" w:color="auto" w:fill="FFFFFF"/>
          <w:lang w:val="en-US" w:eastAsia="zh-CN"/>
        </w:rPr>
        <w:t>性</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_Toc21314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_Toc15055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四</w:t>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返还比例参考因素适用的复杂性</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_Toc15055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_Toc4316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shd w:val="clear" w:color="auto" w:fill="FFFFFF"/>
          <w:lang w:val="en-US" w:eastAsia="zh-CN"/>
        </w:rPr>
        <w:t>四</w:t>
      </w:r>
      <w:r>
        <w:rPr>
          <w:rFonts w:hint="eastAsia" w:ascii="Times New Roman" w:hAnsi="Times New Roman" w:eastAsia="宋体" w:cs="宋体"/>
          <w:bCs/>
          <w:sz w:val="28"/>
          <w:szCs w:val="32"/>
          <w:shd w:val="clear" w:color="auto" w:fill="FFFFFF"/>
        </w:rPr>
        <w:t>、彩礼返还纠纷</w:t>
      </w:r>
      <w:r>
        <w:rPr>
          <w:rFonts w:hint="eastAsia" w:ascii="Times New Roman" w:hAnsi="Times New Roman" w:eastAsia="宋体" w:cs="宋体"/>
          <w:bCs/>
          <w:sz w:val="28"/>
          <w:szCs w:val="32"/>
          <w:shd w:val="clear" w:color="auto" w:fill="FFFFFF"/>
          <w:lang w:val="en-US" w:eastAsia="zh-CN"/>
        </w:rPr>
        <w:t>现存困境</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_Toc4316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15</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_Toc21190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（一）彩礼返还诉讼主体范围</w:t>
      </w:r>
      <w:r>
        <w:rPr>
          <w:rFonts w:hint="eastAsia" w:ascii="Times New Roman" w:hAnsi="Times New Roman" w:eastAsia="宋体" w:cs="宋体"/>
          <w:sz w:val="24"/>
          <w:szCs w:val="24"/>
          <w:shd w:val="clear" w:color="auto" w:fill="FFFFFF"/>
          <w:lang w:val="en-US" w:eastAsia="zh-CN"/>
        </w:rPr>
        <w:t>偏小</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_Toc21190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_Toc16964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fill="FFFFFF"/>
          <w:lang w:val="en-US" w:eastAsia="zh-CN"/>
        </w:rPr>
        <w:t xml:space="preserve">（二） </w:t>
      </w:r>
      <w:r>
        <w:rPr>
          <w:rFonts w:hint="eastAsia" w:ascii="Times New Roman" w:hAnsi="Times New Roman" w:eastAsia="宋体" w:cs="宋体"/>
          <w:sz w:val="24"/>
          <w:szCs w:val="24"/>
          <w:shd w:val="clear" w:color="auto" w:fill="FFFFFF"/>
          <w:lang w:val="en-US" w:eastAsia="zh-CN"/>
        </w:rPr>
        <w:t>彩礼的认定混乱</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_Toc16964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_Toc4041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（三）彩礼返还比例的认定</w:t>
      </w:r>
      <w:r>
        <w:rPr>
          <w:rFonts w:hint="eastAsia" w:ascii="Times New Roman" w:hAnsi="Times New Roman" w:eastAsia="宋体" w:cs="宋体"/>
          <w:sz w:val="24"/>
          <w:szCs w:val="24"/>
          <w:shd w:val="clear" w:color="auto" w:fill="FFFFFF"/>
          <w:lang w:val="en-US" w:eastAsia="zh-CN"/>
        </w:rPr>
        <w:t>标准模糊</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_Toc4041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17</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_Toc24621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1</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结婚登记对返还比例影响不明确</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_Toc24621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17</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_Toc23893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2</w:t>
      </w:r>
      <w:r>
        <w:rPr>
          <w:rFonts w:hint="eastAsia" w:ascii="Times New Roman" w:hAnsi="Times New Roman" w:eastAsia="宋体" w:cs="宋体"/>
          <w:bCs/>
          <w:sz w:val="24"/>
          <w:szCs w:val="24"/>
          <w:shd w:val="clear" w:color="auto" w:fill="FFFFFF"/>
        </w:rPr>
        <w:t>.要素权重不</w:t>
      </w:r>
      <w:r>
        <w:rPr>
          <w:rFonts w:hint="eastAsia" w:ascii="Times New Roman" w:hAnsi="Times New Roman" w:eastAsia="宋体" w:cs="宋体"/>
          <w:bCs/>
          <w:sz w:val="24"/>
          <w:szCs w:val="24"/>
          <w:shd w:val="clear" w:color="auto" w:fill="FFFFFF"/>
          <w:lang w:val="en-US" w:eastAsia="zh-CN"/>
        </w:rPr>
        <w:t>清晰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_Toc23893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18</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_Toc3925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lang w:val="en-US" w:eastAsia="zh-CN"/>
        </w:rPr>
        <w:t>五、</w:t>
      </w:r>
      <w:r>
        <w:rPr>
          <w:rFonts w:hint="eastAsia" w:ascii="Times New Roman" w:hAnsi="Times New Roman" w:eastAsia="宋体" w:cs="宋体"/>
          <w:bCs/>
          <w:sz w:val="28"/>
          <w:szCs w:val="32"/>
          <w:shd w:val="clear" w:color="auto" w:fill="FFFFFF"/>
        </w:rPr>
        <w:t>彩礼返还规则完善建议</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_Toc3925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20</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bookmarkStart w:id="172" w:name="_GoBack"/>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_Toc24474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（一）扩大诉讼主体范围</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_Toc24474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20</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_Toc21483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kern w:val="2"/>
          <w:sz w:val="24"/>
          <w:szCs w:val="24"/>
          <w:shd w:val="clear" w:color="auto" w:fill="FFFFFF"/>
          <w:lang w:val="en-US" w:eastAsia="zh-CN" w:bidi="ar-SA"/>
        </w:rPr>
        <w:t>（二）</w:t>
      </w:r>
      <w:r>
        <w:rPr>
          <w:rFonts w:hint="eastAsia" w:ascii="Times New Roman" w:hAnsi="Times New Roman" w:eastAsia="宋体" w:cs="宋体"/>
          <w:sz w:val="24"/>
          <w:szCs w:val="24"/>
          <w:shd w:val="clear" w:color="auto" w:fill="FFFFFF"/>
        </w:rPr>
        <w:t>彩礼及返还范围的界定</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_Toc21483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_Toc16329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fill="FFFFFF"/>
          <w:lang w:val="en-US" w:eastAsia="zh-CN"/>
        </w:rPr>
        <w:t xml:space="preserve">（三） </w:t>
      </w:r>
      <w:r>
        <w:rPr>
          <w:rFonts w:hint="eastAsia" w:ascii="Times New Roman" w:hAnsi="Times New Roman" w:eastAsia="宋体" w:cs="宋体"/>
          <w:sz w:val="24"/>
          <w:szCs w:val="24"/>
          <w:shd w:val="clear" w:color="auto" w:fill="FFFFFF"/>
          <w:lang w:val="en-US" w:eastAsia="zh-CN"/>
        </w:rPr>
        <w:t>彩礼返还的动态体系构建</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_Toc16329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bookmarkEnd w:id="172"/>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_Toc31025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kern w:val="2"/>
          <w:sz w:val="28"/>
          <w:szCs w:val="32"/>
          <w:lang w:val="en-US" w:eastAsia="zh-CN" w:bidi="ar-SA"/>
        </w:rPr>
        <w:t>六、</w:t>
      </w:r>
      <w:r>
        <w:rPr>
          <w:rFonts w:hint="eastAsia" w:ascii="Times New Roman" w:hAnsi="Times New Roman" w:eastAsia="宋体" w:cs="宋体"/>
          <w:bCs/>
          <w:sz w:val="28"/>
          <w:szCs w:val="32"/>
          <w:lang w:val="en-US" w:eastAsia="zh-CN"/>
        </w:rPr>
        <w:t>结论</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_Toc31025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24</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6"/>
        <w:tabs>
          <w:tab w:val="right" w:leader="dot" w:pos="8306"/>
        </w:tabs>
        <w:spacing w:line="360" w:lineRule="auto"/>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_Toc4001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lang w:val="en-US" w:eastAsia="zh-CN"/>
        </w:rPr>
        <w:t>参考文献</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_Toc4001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25</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spacing w:line="360" w:lineRule="auto"/>
        <w:rPr>
          <w:rFonts w:hint="default" w:ascii="Times New Roman" w:hAnsi="Times New Roman"/>
          <w:sz w:val="28"/>
          <w:lang w:eastAsia="zh-CN"/>
        </w:rPr>
        <w:sectPr>
          <w:footnotePr>
            <w:numFmt w:val="decimalEnclosedCircleChinese"/>
            <w:numRestart w:val="eachPage"/>
          </w:footnotePr>
          <w:pgSz w:w="11906" w:h="16838"/>
          <w:pgMar w:top="1440" w:right="1800" w:bottom="1440" w:left="1800" w:header="851" w:footer="992" w:gutter="0"/>
          <w:pgNumType w:fmt="upperRoman"/>
          <w:cols w:space="720" w:num="1"/>
          <w:docGrid w:type="lines" w:linePitch="312" w:charSpace="0"/>
        </w:sectPr>
      </w:pPr>
      <w:r>
        <w:rPr>
          <w:rFonts w:hint="eastAsia" w:ascii="Times New Roman" w:hAnsi="Times New Roman" w:eastAsia="宋体" w:cs="宋体"/>
          <w:szCs w:val="28"/>
          <w:lang w:eastAsia="zh-CN"/>
        </w:rPr>
        <w:fldChar w:fldCharType="end"/>
      </w:r>
    </w:p>
    <w:p>
      <w:pPr>
        <w:widowControl w:val="0"/>
        <w:tabs>
          <w:tab w:val="right" w:leader="dot" w:pos="9071"/>
        </w:tabs>
        <w:spacing w:before="480" w:after="360" w:line="400" w:lineRule="exact"/>
        <w:ind w:firstLine="643" w:firstLineChars="200"/>
        <w:jc w:val="both"/>
        <w:outlineLvl w:val="0"/>
        <w:rPr>
          <w:rFonts w:ascii="Times New Roman" w:hAnsi="Times New Roman" w:eastAsia="宋体" w:cs="Times New Roman"/>
          <w:b/>
          <w:kern w:val="2"/>
          <w:sz w:val="32"/>
          <w:szCs w:val="24"/>
          <w:lang w:val="en-US" w:eastAsia="zh-CN" w:bidi="ar-SA"/>
        </w:rPr>
      </w:pPr>
      <w:bookmarkStart w:id="11" w:name="_Toc9373"/>
      <w:bookmarkStart w:id="12" w:name="_Toc8904"/>
      <w:bookmarkStart w:id="13" w:name="_Toc26024"/>
      <w:bookmarkStart w:id="14" w:name="_Toc21956"/>
      <w:bookmarkStart w:id="15" w:name="_Toc21976"/>
      <w:bookmarkStart w:id="16" w:name="_Toc15739"/>
      <w:bookmarkStart w:id="17" w:name="_Toc1206"/>
      <w:bookmarkStart w:id="18" w:name="OLE_LINK8"/>
      <w:r>
        <w:rPr>
          <w:rFonts w:hint="eastAsia" w:ascii="Times New Roman" w:hAnsi="Times New Roman" w:eastAsia="宋体" w:cs="Times New Roman"/>
          <w:b/>
          <w:bCs/>
          <w:color w:val="000000"/>
          <w:kern w:val="2"/>
          <w:sz w:val="32"/>
          <w:szCs w:val="32"/>
          <w:shd w:val="clear" w:color="auto" w:fill="FFFFFF"/>
          <w:lang w:val="en-US" w:eastAsia="zh-CN" w:bidi="ar-SA"/>
        </w:rPr>
        <w:t>一、绪论</w:t>
      </w:r>
      <w:bookmarkEnd w:id="11"/>
      <w:bookmarkEnd w:id="12"/>
      <w:bookmarkEnd w:id="13"/>
      <w:bookmarkEnd w:id="14"/>
      <w:bookmarkEnd w:id="15"/>
      <w:bookmarkEnd w:id="16"/>
      <w:bookmarkEnd w:id="17"/>
    </w:p>
    <w:bookmarkEnd w:id="18"/>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ascii="Times New Roman" w:hAnsi="Times New Roman"/>
          <w:b/>
          <w:sz w:val="28"/>
          <w:szCs w:val="30"/>
          <w:shd w:val="clear" w:color="auto" w:fill="FFFFFF"/>
        </w:rPr>
      </w:pPr>
      <w:bookmarkStart w:id="19" w:name="_Toc20624"/>
      <w:bookmarkStart w:id="20" w:name="_Toc11626"/>
      <w:bookmarkStart w:id="21" w:name="_Toc20354"/>
      <w:bookmarkStart w:id="22" w:name="_Toc28684"/>
      <w:bookmarkStart w:id="23" w:name="_Toc21040"/>
      <w:bookmarkStart w:id="24" w:name="_Toc11345"/>
      <w:bookmarkStart w:id="25" w:name="_Toc10572"/>
      <w:bookmarkStart w:id="26" w:name="_Toc25683"/>
      <w:r>
        <w:rPr>
          <w:rFonts w:hint="eastAsia" w:ascii="Times New Roman" w:hAnsi="Times New Roman"/>
          <w:b/>
          <w:sz w:val="28"/>
          <w:szCs w:val="30"/>
          <w:shd w:val="clear" w:color="auto" w:fill="FFFFFF"/>
        </w:rPr>
        <w:t>（一）</w:t>
      </w:r>
      <w:bookmarkEnd w:id="19"/>
      <w:bookmarkEnd w:id="20"/>
      <w:bookmarkEnd w:id="21"/>
      <w:bookmarkEnd w:id="22"/>
      <w:bookmarkEnd w:id="23"/>
      <w:bookmarkEnd w:id="24"/>
      <w:r>
        <w:rPr>
          <w:rFonts w:hint="eastAsia" w:ascii="Times New Roman" w:hAnsi="Times New Roman"/>
          <w:b/>
          <w:sz w:val="28"/>
          <w:szCs w:val="30"/>
          <w:shd w:val="clear" w:color="auto" w:fill="FFFFFF"/>
          <w:lang w:val="en-US" w:eastAsia="zh-CN"/>
        </w:rPr>
        <w:t>研究背景</w:t>
      </w:r>
      <w:bookmarkEnd w:id="25"/>
      <w:bookmarkEnd w:id="26"/>
    </w:p>
    <w:p>
      <w:pPr>
        <w:spacing w:line="400" w:lineRule="exact"/>
        <w:ind w:firstLine="480" w:firstLineChars="200"/>
        <w:rPr>
          <w:rFonts w:hint="eastAsia" w:ascii="宋体" w:hAnsi="宋体" w:eastAsia="宋体" w:cs="宋体"/>
          <w:sz w:val="24"/>
        </w:rPr>
      </w:pPr>
      <w:r>
        <w:rPr>
          <w:rFonts w:hint="eastAsia" w:ascii="宋体" w:hAnsi="宋体" w:eastAsia="宋体" w:cs="宋体"/>
          <w:sz w:val="24"/>
        </w:rPr>
        <w:t>彩礼是中国传统文化中婚礼仪式的组成部分之一，在西周时期叫六礼婚制。现代社会特别是双方感情基础比较牢固的情况下，该习俗仍然有十分重要的社会价值，并且伴随着一定的文化传承和实践规范得以延续。在一定的文化背景之下，彩礼一般指男方家庭为了缔结婚姻关系而给女方家庭或者个人带来的物质财产和礼物。当婚姻关系破裂要解除的时候，关于“彩礼返还”争议就成为了急需解决的重要问题之一。</w:t>
      </w:r>
    </w:p>
    <w:p>
      <w:pPr>
        <w:spacing w:line="400" w:lineRule="exact"/>
        <w:ind w:firstLine="480" w:firstLineChars="200"/>
        <w:rPr>
          <w:rFonts w:hint="eastAsia" w:ascii="宋体" w:hAnsi="宋体" w:eastAsia="宋体" w:cs="宋体"/>
          <w:sz w:val="24"/>
        </w:rPr>
      </w:pPr>
      <w:r>
        <w:rPr>
          <w:rFonts w:hint="eastAsia" w:ascii="宋体" w:hAnsi="宋体" w:eastAsia="宋体" w:cs="宋体"/>
          <w:sz w:val="24"/>
        </w:rPr>
        <w:t>虽然最高人民法院《关于审理涉及彩礼纠纷案件适用法律若干问题的解释》（以下简称“彩礼适用规定”）在一定程度上实现了司法实践中彩礼返还类案件的裁判尺度标准化，但是仍然存在着很多亟待解决的问题。彩礼返还纠纷在司法实践中由于地区的风俗习惯、经济发展水平的不同，全国各地的法院所采取的裁判规则是不一样的。为此有必要创建起全国范围内的跨区域合作机制来实现统一协调。</w:t>
      </w:r>
    </w:p>
    <w:p>
      <w:pPr>
        <w:spacing w:line="400" w:lineRule="exact"/>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在中国裁判文书网以“案由：婚约财产纠纷”“法院省份：湖南省”“裁判年份：2025”“文书类型：判决书”“返还”“彩礼”检索，共获得78份裁判文书。湖南省彩礼习俗属于承载着深厚礼俗文化的地方，同时也有着重大的社会文化意义和经济价值。在2022年启动高价彩礼专项治理，因为高额彩礼而引发的纠纷案件数量大幅上升，而且存在一些典型的特征。选取湖南省作为研究样本，既可以对地方性彩礼争议解决途径进行探究，又可以给其他地区的同类问题提供法治化的治理经验以及理论依据。</w:t>
      </w:r>
    </w:p>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hint="eastAsia" w:ascii="Times New Roman" w:hAnsi="Times New Roman" w:eastAsia="宋体"/>
          <w:b/>
          <w:sz w:val="28"/>
          <w:szCs w:val="30"/>
          <w:shd w:val="clear" w:color="auto" w:fill="FFFFFF"/>
          <w:lang w:val="en-US" w:eastAsia="zh-CN"/>
        </w:rPr>
      </w:pPr>
      <w:bookmarkStart w:id="27" w:name="_Toc22486"/>
      <w:bookmarkStart w:id="28" w:name="_Toc14474"/>
      <w:bookmarkStart w:id="29" w:name="_Toc15200"/>
      <w:bookmarkStart w:id="30" w:name="_Toc25773"/>
      <w:bookmarkStart w:id="31" w:name="_Toc15540"/>
      <w:bookmarkStart w:id="32" w:name="_Toc13801"/>
      <w:bookmarkStart w:id="33" w:name="_Toc19000"/>
      <w:bookmarkStart w:id="34" w:name="_Toc29914"/>
      <w:bookmarkStart w:id="35" w:name="_Toc24547"/>
      <w:r>
        <w:rPr>
          <w:rFonts w:hint="eastAsia" w:ascii="Times New Roman" w:hAnsi="Times New Roman"/>
          <w:b/>
          <w:sz w:val="28"/>
          <w:szCs w:val="30"/>
          <w:shd w:val="clear" w:color="auto" w:fill="FFFFFF"/>
        </w:rPr>
        <w:t>（二）</w:t>
      </w:r>
      <w:bookmarkEnd w:id="27"/>
      <w:bookmarkEnd w:id="28"/>
      <w:bookmarkEnd w:id="29"/>
      <w:bookmarkEnd w:id="30"/>
      <w:bookmarkEnd w:id="31"/>
      <w:bookmarkEnd w:id="32"/>
      <w:bookmarkEnd w:id="33"/>
      <w:r>
        <w:rPr>
          <w:rFonts w:hint="eastAsia" w:ascii="Times New Roman" w:hAnsi="Times New Roman"/>
          <w:b/>
          <w:sz w:val="28"/>
          <w:szCs w:val="30"/>
          <w:shd w:val="clear" w:color="auto" w:fill="FFFFFF"/>
          <w:lang w:val="en-US" w:eastAsia="zh-CN"/>
        </w:rPr>
        <w:t>研究目的与意义</w:t>
      </w:r>
      <w:bookmarkEnd w:id="34"/>
      <w:bookmarkEnd w:id="35"/>
    </w:p>
    <w:p>
      <w:pPr>
        <w:spacing w:before="240" w:after="120" w:line="400" w:lineRule="exact"/>
        <w:ind w:firstLine="482" w:firstLineChars="200"/>
        <w:outlineLvl w:val="2"/>
        <w:rPr>
          <w:rFonts w:hint="default" w:ascii="Times New Roman" w:hAnsi="Times New Roman" w:eastAsia="宋体" w:cs="Times New Roman"/>
          <w:b/>
          <w:bCs/>
          <w:sz w:val="24"/>
          <w:szCs w:val="28"/>
          <w:shd w:val="clear" w:color="auto" w:fill="FFFFFF"/>
          <w:lang w:val="en-US" w:eastAsia="zh-CN"/>
        </w:rPr>
      </w:pPr>
      <w:bookmarkStart w:id="36" w:name="_Toc26768"/>
      <w:bookmarkStart w:id="37" w:name="_Toc9786"/>
      <w:bookmarkStart w:id="38" w:name="_Toc11059_WPSOffice_Level3"/>
      <w:bookmarkStart w:id="39" w:name="_Toc18786"/>
      <w:bookmarkStart w:id="40" w:name="_Toc4507"/>
      <w:bookmarkStart w:id="41" w:name="_Toc21523"/>
      <w:bookmarkStart w:id="42" w:name="_Toc23785"/>
      <w:bookmarkStart w:id="43" w:name="_Toc8675"/>
      <w:bookmarkStart w:id="44" w:name="_Toc13167"/>
      <w:r>
        <w:rPr>
          <w:rFonts w:hint="eastAsia" w:ascii="Times New Roman" w:hAnsi="Times New Roman" w:eastAsia="宋体" w:cs="Times New Roman"/>
          <w:b/>
          <w:bCs/>
          <w:sz w:val="24"/>
          <w:szCs w:val="28"/>
          <w:shd w:val="clear" w:color="auto" w:fill="FFFFFF"/>
        </w:rPr>
        <w:t>1.</w:t>
      </w:r>
      <w:bookmarkEnd w:id="36"/>
      <w:bookmarkEnd w:id="37"/>
      <w:bookmarkEnd w:id="38"/>
      <w:bookmarkEnd w:id="39"/>
      <w:bookmarkEnd w:id="40"/>
      <w:bookmarkEnd w:id="41"/>
      <w:bookmarkEnd w:id="42"/>
      <w:r>
        <w:rPr>
          <w:rFonts w:hint="eastAsia" w:ascii="Times New Roman" w:hAnsi="Times New Roman" w:eastAsia="宋体" w:cs="Times New Roman"/>
          <w:b/>
          <w:bCs/>
          <w:sz w:val="24"/>
          <w:szCs w:val="28"/>
          <w:shd w:val="clear" w:color="auto" w:fill="FFFFFF"/>
          <w:lang w:val="en-US" w:eastAsia="zh-CN"/>
        </w:rPr>
        <w:t>研究目的</w:t>
      </w:r>
      <w:bookmarkEnd w:id="43"/>
      <w:bookmarkEnd w:id="44"/>
    </w:p>
    <w:p>
      <w:pPr>
        <w:spacing w:line="400" w:lineRule="exact"/>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本研究以湖南省各级人民法院审结的78份彩礼返还案为实证研究对象，从司法实践角度出发，对彩礼返还制度的运行机理及现实困境进行全方位的研究。依照《最高人民法院关于适用〈中华人民共和国民法典〉婚姻家庭编的解释（一）》（以下简称《婚姻家庭编解释（一）》</w:t>
      </w:r>
      <w:r>
        <w:rPr>
          <w:rFonts w:hint="eastAsia" w:ascii="Times New Roman" w:hAnsi="Times New Roman"/>
          <w:sz w:val="24"/>
          <w:lang w:val="en-US" w:eastAsia="zh-CN"/>
        </w:rPr>
        <w:t>）</w:t>
      </w:r>
      <w:r>
        <w:rPr>
          <w:rFonts w:hint="eastAsia" w:ascii="Times New Roman" w:hAnsi="Times New Roman" w:eastAsia="宋体"/>
          <w:sz w:val="24"/>
          <w:lang w:val="en-US" w:eastAsia="zh-CN"/>
        </w:rPr>
        <w:t>第五条以及《彩礼适用规定》的规定来建立完整的法律规范体系，并且依据湖南地区法院审理该类案件时对于共同生活期间、过错认定、地方风俗习惯等要素的裁判标准来解析审判中遇到的核心问题及争议焦点。因此提出，在保证司法独立裁量权的同时，用法定规则的约束，建立一个符合法律规定的、统一的彩礼纠纷裁判标准，并且保证公平公正。</w:t>
      </w:r>
    </w:p>
    <w:p>
      <w:pPr>
        <w:spacing w:before="240" w:after="120" w:line="400" w:lineRule="exact"/>
        <w:ind w:firstLine="482" w:firstLineChars="200"/>
        <w:outlineLvl w:val="2"/>
        <w:rPr>
          <w:rFonts w:hint="default" w:ascii="Times New Roman" w:hAnsi="Times New Roman" w:eastAsia="宋体" w:cs="Times New Roman"/>
          <w:b/>
          <w:bCs/>
          <w:sz w:val="24"/>
          <w:szCs w:val="28"/>
          <w:shd w:val="clear" w:color="auto" w:fill="FFFFFF"/>
          <w:lang w:val="en-US" w:eastAsia="zh-CN"/>
        </w:rPr>
      </w:pPr>
      <w:bookmarkStart w:id="45" w:name="_Toc1887"/>
      <w:bookmarkStart w:id="46" w:name="_Toc26055"/>
      <w:r>
        <w:rPr>
          <w:rFonts w:hint="eastAsia" w:ascii="Times New Roman" w:hAnsi="Times New Roman" w:eastAsia="宋体" w:cs="Times New Roman"/>
          <w:b/>
          <w:bCs/>
          <w:sz w:val="24"/>
          <w:szCs w:val="28"/>
          <w:shd w:val="clear" w:color="auto" w:fill="FFFFFF"/>
          <w:lang w:val="en-US" w:eastAsia="zh-CN"/>
        </w:rPr>
        <w:t>2</w:t>
      </w:r>
      <w:r>
        <w:rPr>
          <w:rFonts w:hint="eastAsia" w:ascii="Times New Roman" w:hAnsi="Times New Roman" w:eastAsia="宋体" w:cs="Times New Roman"/>
          <w:b/>
          <w:bCs/>
          <w:sz w:val="24"/>
          <w:szCs w:val="28"/>
          <w:shd w:val="clear" w:color="auto" w:fill="FFFFFF"/>
        </w:rPr>
        <w:t>.</w:t>
      </w:r>
      <w:r>
        <w:rPr>
          <w:rFonts w:hint="eastAsia" w:ascii="Times New Roman" w:hAnsi="Times New Roman" w:eastAsia="宋体" w:cs="Times New Roman"/>
          <w:b/>
          <w:bCs/>
          <w:sz w:val="24"/>
          <w:szCs w:val="28"/>
          <w:shd w:val="clear" w:color="auto" w:fill="FFFFFF"/>
          <w:lang w:val="en-US" w:eastAsia="zh-CN"/>
        </w:rPr>
        <w:t>研究意义</w:t>
      </w:r>
      <w:bookmarkEnd w:id="45"/>
      <w:bookmarkEnd w:id="46"/>
    </w:p>
    <w:p>
      <w:pPr>
        <w:spacing w:line="400" w:lineRule="exact"/>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从理论上讲，本研究有如下两点意义，第一，通过对于湖南省彩礼返还案件司法实践的剖析，结合附解除条件赠与、目的性赠与等重要学术问题展开论述，一方面可以加深对彩礼法律属性的认识，另一方面也可以使理论框架得到重构和细化，从而更好地适应现实诉讼需要；第二，根据对法官自由裁量权运用机制的实证研究，给动态系统分析方法在民事审判领域应用提供了一个实践范例，也为完善多元化纠纷解决体系提供了丰富的数据支撑和宝贵的经验积累。</w:t>
      </w:r>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该研究在实践中有着诸多重要的意义。根据对湖南省婚约财产纠纷典型案例和裁判规则经验总结，给司法实践提供了一套行之有效的指导方案，对法官审理此类案件有直接的参考作用，有利于提高司法判决的统一性、透明度，使法律适用更加规范、更具预见性。对“共同生活”、“经济困难”等重要概念核心内涵及边界条件进行剖析，削减由于认识上的差别而产生的个案裁决差异，促使彩礼返还制度得以完善和发展。依靠对核心要素以及它们之间的权重关系进行系统的分析，一方面可以促使社会公众产生理性的婚恋观念，另一方面也可以促使当事人及其家属对可能存在的风险有合理的预期，并且能够避免因这些风险而引发的纠纷，进而减少此类纠纷发生的频率，推动传统文化习俗向现代文明形态的有序转化，促进社会稳定秩序的建设和发展。</w:t>
      </w:r>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47" w:name="_Toc14822"/>
      <w:bookmarkStart w:id="48" w:name="_Toc31616"/>
      <w:bookmarkStart w:id="49" w:name="_Toc21587"/>
      <w:bookmarkStart w:id="50" w:name="_Toc23733"/>
      <w:bookmarkStart w:id="51" w:name="_Toc5981"/>
      <w:bookmarkStart w:id="52" w:name="_Toc7083"/>
      <w:bookmarkStart w:id="53" w:name="_Toc18235"/>
      <w:bookmarkStart w:id="54" w:name="_Toc32279"/>
      <w:bookmarkStart w:id="55" w:name="_Toc2235"/>
      <w:r>
        <w:rPr>
          <w:rFonts w:hint="eastAsia" w:ascii="Times New Roman" w:hAnsi="Times New Roman"/>
          <w:b/>
          <w:sz w:val="28"/>
          <w:szCs w:val="30"/>
          <w:shd w:val="clear" w:color="auto" w:fill="FFFFFF"/>
        </w:rPr>
        <w:t>（三）</w:t>
      </w:r>
      <w:bookmarkEnd w:id="47"/>
      <w:bookmarkEnd w:id="48"/>
      <w:bookmarkEnd w:id="49"/>
      <w:bookmarkEnd w:id="50"/>
      <w:bookmarkEnd w:id="51"/>
      <w:bookmarkEnd w:id="52"/>
      <w:bookmarkEnd w:id="53"/>
      <w:r>
        <w:rPr>
          <w:rFonts w:hint="eastAsia" w:ascii="Times New Roman" w:hAnsi="Times New Roman"/>
          <w:b/>
          <w:sz w:val="28"/>
          <w:szCs w:val="30"/>
          <w:shd w:val="clear" w:color="auto" w:fill="FFFFFF"/>
        </w:rPr>
        <w:t>文献综述</w:t>
      </w:r>
      <w:bookmarkEnd w:id="54"/>
      <w:bookmarkEnd w:id="55"/>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目前学术界对于彩礼返还纠纷的研究已经形成了一套比较完整的理论体系，主要从三个方面展开论述，即彩礼的本质属性和界定标准、彩礼返还请求权的构成要件及法律后果、结合司法实践经验，系统整理并总结出彩礼返还案件中裁判规则和适用方法。</w:t>
      </w:r>
    </w:p>
    <w:p>
      <w:pPr>
        <w:spacing w:before="240" w:after="120" w:line="400" w:lineRule="exact"/>
        <w:ind w:firstLine="482" w:firstLineChars="200"/>
        <w:outlineLvl w:val="2"/>
        <w:rPr>
          <w:rFonts w:hint="eastAsia" w:ascii="Times New Roman" w:hAnsi="Times New Roman" w:eastAsia="宋体" w:cs="Times New Roman"/>
          <w:b/>
          <w:sz w:val="28"/>
          <w:szCs w:val="30"/>
          <w:shd w:val="clear" w:color="auto" w:fill="FFFFFF"/>
        </w:rPr>
      </w:pPr>
      <w:bookmarkStart w:id="56" w:name="_Toc7575"/>
      <w:bookmarkStart w:id="57" w:name="_Toc28438"/>
      <w:r>
        <w:rPr>
          <w:rFonts w:hint="eastAsia" w:ascii="Times New Roman" w:hAnsi="Times New Roman" w:eastAsia="宋体" w:cs="Times New Roman"/>
          <w:b/>
          <w:bCs/>
          <w:sz w:val="24"/>
          <w:szCs w:val="28"/>
          <w:shd w:val="clear" w:color="auto" w:fill="FFFFFF"/>
          <w:lang w:val="en-US" w:eastAsia="zh-CN"/>
        </w:rPr>
        <w:t>1</w:t>
      </w:r>
      <w:r>
        <w:rPr>
          <w:rFonts w:hint="eastAsia" w:ascii="Times New Roman" w:hAnsi="Times New Roman" w:eastAsia="宋体" w:cs="Times New Roman"/>
          <w:b/>
          <w:bCs/>
          <w:sz w:val="24"/>
          <w:szCs w:val="28"/>
          <w:shd w:val="clear" w:color="auto" w:fill="FFFFFF"/>
        </w:rPr>
        <w:t>.</w:t>
      </w:r>
      <w:r>
        <w:rPr>
          <w:rFonts w:hint="eastAsia" w:ascii="Times New Roman" w:hAnsi="Times New Roman" w:eastAsia="宋体" w:cs="Times New Roman"/>
          <w:b/>
          <w:bCs/>
          <w:sz w:val="24"/>
          <w:szCs w:val="28"/>
          <w:shd w:val="clear" w:color="auto" w:fill="FFFFFF"/>
          <w:lang w:val="en-US" w:eastAsia="zh-CN"/>
        </w:rPr>
        <w:t>国内研究综述</w:t>
      </w:r>
      <w:bookmarkEnd w:id="56"/>
      <w:bookmarkEnd w:id="57"/>
    </w:p>
    <w:p>
      <w:pPr>
        <w:keepNext w:val="0"/>
        <w:keepLines w:val="0"/>
        <w:pageBreakBefore w:val="0"/>
        <w:widowControl w:val="0"/>
        <w:kinsoku/>
        <w:wordWrap/>
        <w:overflowPunct/>
        <w:topLinePunct w:val="0"/>
        <w:autoSpaceDE/>
        <w:autoSpaceDN/>
        <w:bidi w:val="0"/>
        <w:adjustRightInd/>
        <w:snapToGrid/>
        <w:spacing w:before="120" w:after="120" w:line="400" w:lineRule="exact"/>
        <w:ind w:firstLine="480" w:firstLineChars="200"/>
        <w:textAlignment w:val="auto"/>
        <w:outlineLvl w:val="3"/>
        <w:rPr>
          <w:rFonts w:hint="default" w:ascii="Times New Roman" w:hAnsi="Times New Roman" w:eastAsia="宋体" w:cs="Times New Roman"/>
          <w:sz w:val="24"/>
          <w:lang w:val="en-US" w:eastAsia="zh-CN"/>
        </w:rPr>
      </w:pPr>
      <w:bookmarkStart w:id="58" w:name="_Toc16604"/>
      <w:bookmarkStart w:id="59" w:name="_Toc24458"/>
      <w:r>
        <w:rPr>
          <w:rFonts w:hint="default" w:ascii="Times New Roman" w:hAnsi="Times New Roman" w:cs="Times New Roman"/>
          <w:bCs/>
          <w:color w:val="auto"/>
          <w:sz w:val="24"/>
          <w:szCs w:val="28"/>
          <w:shd w:val="clear" w:color="auto" w:fill="FFFFFF"/>
          <w:lang w:val="en-US"/>
        </w:rPr>
        <w:t>(1)</w:t>
      </w:r>
      <w:bookmarkEnd w:id="58"/>
      <w:bookmarkEnd w:id="59"/>
      <w:r>
        <w:rPr>
          <w:rFonts w:hint="eastAsia" w:ascii="Times New Roman" w:hAnsi="Times New Roman" w:cs="Times New Roman"/>
          <w:bCs/>
          <w:color w:val="auto"/>
          <w:sz w:val="24"/>
          <w:szCs w:val="28"/>
          <w:shd w:val="clear" w:color="auto" w:fill="FFFFFF"/>
          <w:lang w:val="en-US" w:eastAsia="zh-CN"/>
        </w:rPr>
        <w:t>对</w:t>
      </w:r>
      <w:r>
        <w:rPr>
          <w:rFonts w:hint="eastAsia" w:ascii="Times New Roman" w:hAnsi="Times New Roman" w:eastAsia="宋体" w:cs="Times New Roman"/>
          <w:sz w:val="24"/>
          <w:lang w:val="en-US" w:eastAsia="zh-CN"/>
        </w:rPr>
        <w:t>彩礼性质的研究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彩礼法律性质的学理研究当中，附解除条件赠与理论一直居于主导地位。按照该观点，彩礼给付行为可以被界定为一种带有特定解除条件的赠与行为，合法婚姻关系的成立是其中的重要生效要件。当双方没有办理结婚登记或者最终解除婚约的时候，上述解除条件就会生效，导致赠与合同无效，受赠人要承担返还彩礼的义务</w:t>
      </w:r>
      <w:r>
        <w:rPr>
          <w:rStyle w:val="24"/>
          <w:rFonts w:hint="default" w:ascii="Times New Roman" w:hAnsi="Times New Roman" w:cs="Times New Roman"/>
          <w:bCs/>
          <w:sz w:val="24"/>
          <w:szCs w:val="28"/>
          <w:shd w:val="clear" w:color="auto" w:fill="FFFFFF"/>
          <w:lang w:val="en-US"/>
        </w:rPr>
        <w:footnoteReference w:id="0"/>
      </w:r>
      <w:r>
        <w:rPr>
          <w:rFonts w:hint="default" w:ascii="Times New Roman" w:hAnsi="Times New Roman" w:cs="Times New Roman"/>
          <w:bCs/>
          <w:sz w:val="24"/>
          <w:szCs w:val="28"/>
          <w:shd w:val="clear" w:color="auto" w:fill="FFFFFF"/>
          <w:lang w:val="en-US"/>
        </w:rPr>
        <w:t>。该理论以严格的法学逻辑为依托展开分析，既可以支持未办理结婚手续就要求返还彩礼的司法裁判结果，也可以和以往的相关司法解释规定相吻合，具有较好的规范统一性和实践操作性。</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该理论架构内在的缺陷越来越明显。在阐释婚姻本质的时候，其核心概念“共同生活”只被形式化地定义为法定的结婚登记行为，而没有充分地表现出婚姻作为社会生活共同体的功能特点；所建立的法律判定标准更多的是立法者主观的价值取向，和实践中彩礼赠与行为背后各种心理因素存在差异，尤其是对受赠方基于长久夫妻关系稳定预期的实际考虑没有给予足够的重视。对于已经登记但是没有同居而产生返还争议的案件，现有的裁判规则不能形成一个具有很强说服力并且公平正义的解决办法</w:t>
      </w:r>
      <w:r>
        <w:rPr>
          <w:rStyle w:val="24"/>
          <w:rFonts w:hint="default" w:ascii="Times New Roman" w:hAnsi="Times New Roman" w:cs="Times New Roman"/>
          <w:bCs/>
          <w:sz w:val="24"/>
          <w:szCs w:val="28"/>
          <w:shd w:val="clear" w:color="auto" w:fill="FFFFFF"/>
          <w:lang w:val="en-US"/>
        </w:rPr>
        <w:footnoteReference w:id="1"/>
      </w:r>
      <w:r>
        <w:rPr>
          <w:rStyle w:val="24"/>
          <w:rFonts w:hint="default" w:ascii="Times New Roman" w:hAnsi="Times New Roman" w:cs="Times New Roman"/>
          <w:bCs/>
          <w:sz w:val="24"/>
          <w:szCs w:val="28"/>
          <w:shd w:val="clear" w:color="auto" w:fill="FFFFFF"/>
          <w:lang w:val="en-US"/>
        </w:rPr>
        <w:footnoteReference w:id="2"/>
      </w:r>
      <w:r>
        <w:rPr>
          <w:rFonts w:hint="default" w:ascii="Times New Roman" w:hAnsi="Times New Roman" w:cs="Times New Roman"/>
          <w:bCs/>
          <w:sz w:val="24"/>
          <w:szCs w:val="28"/>
          <w:shd w:val="clear" w:color="auto" w:fill="FFFFFF"/>
          <w:lang w:val="en-US"/>
        </w:rPr>
        <w:t>。</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近些年来，“目的性赠与说”得到了法学界普遍的认可</w:t>
      </w:r>
      <w:r>
        <w:rPr>
          <w:rFonts w:hint="eastAsia" w:ascii="Times New Roman" w:hAnsi="Times New Roman" w:cs="Times New Roman"/>
          <w:bCs/>
          <w:sz w:val="24"/>
          <w:szCs w:val="28"/>
          <w:shd w:val="clear" w:color="auto" w:fill="FFFFFF"/>
          <w:lang w:val="en-US" w:eastAsia="zh-CN"/>
        </w:rPr>
        <w:t>。</w:t>
      </w:r>
      <w:r>
        <w:rPr>
          <w:rFonts w:hint="default" w:ascii="Times New Roman" w:hAnsi="Times New Roman" w:cs="Times New Roman"/>
          <w:bCs/>
          <w:sz w:val="24"/>
          <w:szCs w:val="28"/>
          <w:shd w:val="clear" w:color="auto" w:fill="FFFFFF"/>
          <w:lang w:val="en-US"/>
        </w:rPr>
        <w:t>该理论冲破了传统观念对于彩礼给付行为的模糊认识，对它的内在本质特征和社会功能做了详细的剖析。研究发现彩礼实际交付存在很强的目标指向性，其主要目的就是达到缔结婚姻关系、维系家庭稳定、促进子女抚养教育等各个方面的社会价值追求，属于典型的预期型社会目标结构（姚明斌，2023）。当预设目标不能实现的时候，应当依照实际情况来考察是否应当返还相应的财产。尤其在只有登记没有同居事实的情况下，“共同生活”这一预期目标不能实现，从而可以成为部分返还的理由。该理论符合现实社会发展的趋势，也为司法裁判提供了一种具有逻辑严密性、操作可行性较高的判例标准，从考虑双方当事人主观意愿和行为表现等各方面出发，达到法律规范与道德规范的良性互动</w:t>
      </w:r>
      <w:r>
        <w:rPr>
          <w:rStyle w:val="24"/>
          <w:rFonts w:hint="default" w:ascii="Times New Roman" w:hAnsi="Times New Roman" w:cs="Times New Roman"/>
          <w:bCs/>
          <w:sz w:val="24"/>
          <w:szCs w:val="28"/>
          <w:shd w:val="clear" w:color="auto" w:fill="FFFFFF"/>
          <w:lang w:val="en-US"/>
        </w:rPr>
        <w:footnoteReference w:id="3"/>
      </w:r>
      <w:r>
        <w:rPr>
          <w:rStyle w:val="24"/>
          <w:rFonts w:hint="default" w:ascii="Times New Roman" w:hAnsi="Times New Roman" w:cs="Times New Roman"/>
          <w:bCs/>
          <w:sz w:val="24"/>
          <w:szCs w:val="28"/>
          <w:shd w:val="clear" w:color="auto" w:fill="FFFFFF"/>
          <w:lang w:val="en-US"/>
        </w:rPr>
        <w:footnoteReference w:id="4"/>
      </w:r>
      <w:r>
        <w:rPr>
          <w:rFonts w:hint="default" w:ascii="Times New Roman" w:hAnsi="Times New Roman" w:cs="Times New Roman"/>
          <w:bCs/>
          <w:sz w:val="24"/>
          <w:szCs w:val="28"/>
          <w:shd w:val="clear" w:color="auto" w:fill="FFFFFF"/>
          <w:lang w:val="en-US"/>
        </w:rPr>
        <w:t>（薛宁兰，2024；汪洋，2024）。</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契约说认为彩礼给付行为不是独立的法律事实，而是作为主合同“婚约”的从属条款。婚约解除之后，因为基础法律关系的终止，赠与人有权要求受赠人返还彩礼</w:t>
      </w:r>
      <w:r>
        <w:rPr>
          <w:rStyle w:val="24"/>
          <w:rFonts w:hint="default" w:ascii="Times New Roman" w:hAnsi="Times New Roman" w:cs="Times New Roman"/>
          <w:bCs/>
          <w:sz w:val="24"/>
          <w:szCs w:val="28"/>
          <w:shd w:val="clear" w:color="auto" w:fill="FFFFFF"/>
          <w:lang w:val="en-US"/>
        </w:rPr>
        <w:footnoteReference w:id="5"/>
      </w:r>
      <w:r>
        <w:rPr>
          <w:rFonts w:hint="default" w:ascii="Times New Roman" w:hAnsi="Times New Roman" w:cs="Times New Roman"/>
          <w:bCs/>
          <w:sz w:val="24"/>
          <w:szCs w:val="28"/>
          <w:shd w:val="clear" w:color="auto" w:fill="FFFFFF"/>
          <w:lang w:val="en-US"/>
        </w:rPr>
        <w:t>（王宝庆，《彩礼的法律属性及返还机制研究》，《法制与社会》2015年第16期）。该学说虽然发现了彩礼和婚约之间存在着内在联系，但是它的理论框架还没有得到我国现行法律体系充分的制度化支持和规范性的保障。</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传统的“一般赠与”理论认为，彩礼的给付行为应该属于《民法典》合同编中典型的赠与关系。从这个角度看，彩礼实际交付之后，赠与合同就成立并完全履行完毕，受领方据此取得相应的财产权益并承担相应的义务。除法律另有规定外（如受赠人有严重损害赠与人或者其近亲属的权益，或者违反抚养赡养等法定义务），赠与人一般不得行使任意撤销权解除赠与行为。</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证约定金学说以民法典中定金规则的理论体系为依托，把彩礼归入传统法律制度框架内定金机制的解释范畴里。其基本观点认为，男女双方缔结婚约可以视为具有特定目的的合同（即婚姻预约），彩礼的给付不仅可以证明婚约的有效性，还可以起到担保婚约履行义务实现的作用，在本质上既有证据的性质又有履约保障的性质。</w:t>
      </w:r>
    </w:p>
    <w:p>
      <w:pPr>
        <w:keepNext w:val="0"/>
        <w:keepLines w:val="0"/>
        <w:pageBreakBefore w:val="0"/>
        <w:widowControl w:val="0"/>
        <w:kinsoku/>
        <w:wordWrap/>
        <w:overflowPunct/>
        <w:topLinePunct w:val="0"/>
        <w:autoSpaceDE/>
        <w:autoSpaceDN/>
        <w:bidi w:val="0"/>
        <w:adjustRightInd/>
        <w:snapToGrid/>
        <w:spacing w:before="120" w:after="120" w:line="400" w:lineRule="exact"/>
        <w:ind w:firstLine="480" w:firstLineChars="200"/>
        <w:textAlignment w:val="auto"/>
        <w:outlineLvl w:val="3"/>
        <w:rPr>
          <w:rFonts w:hint="default" w:ascii="Times New Roman" w:hAnsi="Times New Roman" w:eastAsia="宋体" w:cs="Times New Roman"/>
          <w:sz w:val="24"/>
          <w:lang w:val="en-US" w:eastAsia="zh-CN"/>
        </w:rPr>
      </w:pP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2</w:t>
      </w: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对</w:t>
      </w:r>
      <w:r>
        <w:rPr>
          <w:rFonts w:hint="eastAsia" w:ascii="Times New Roman" w:hAnsi="Times New Roman" w:eastAsia="宋体" w:cs="Times New Roman"/>
          <w:sz w:val="24"/>
          <w:lang w:val="en-US" w:eastAsia="zh-CN"/>
        </w:rPr>
        <w:t>彩礼返还请求权基础的研究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目前学术界普遍认为，以《婚姻家庭编解释（一）》第5条为基本请求权基础规范的观点是正确的（薛宁兰、崔丹，2024）。也有学者对这一条款提出异议，认为该条款本质上是具有特定情境特征的特殊规则，因为规定的内容比较狭窄，不能覆盖所有纠纷类型（如未登记但已长期共同生活），存在明显的规范空白问题（姚明斌、刘亦婷，2023）。</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薛宁兰、崔丹（2024）认为彩礼返还请求权的法理依据应该将《民法典》第985条不当得利的规定、《婚姻家庭编解释（一）》第5条及《彩礼适用规定》结合起来建立完整的规范体系。</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金眉（2019）的观点同主流学说大相径庭。该学者认为，由于</w:t>
      </w:r>
      <w:r>
        <w:rPr>
          <w:rFonts w:hint="eastAsia" w:ascii="Times New Roman" w:hAnsi="Times New Roman" w:cs="Times New Roman"/>
          <w:b w:val="0"/>
          <w:bCs/>
          <w:sz w:val="24"/>
          <w:szCs w:val="28"/>
          <w:shd w:val="clear" w:color="auto" w:fill="FFFFFF"/>
          <w:lang w:val="en-US" w:eastAsia="zh-CN"/>
        </w:rPr>
        <w:t>现有规范割裂了</w:t>
      </w:r>
      <w:r>
        <w:rPr>
          <w:rFonts w:hint="default" w:ascii="Times New Roman" w:hAnsi="Times New Roman" w:cs="Times New Roman"/>
          <w:b w:val="0"/>
          <w:bCs/>
          <w:sz w:val="24"/>
          <w:szCs w:val="28"/>
          <w:shd w:val="clear" w:color="auto" w:fill="FFFFFF"/>
          <w:lang w:val="en-US"/>
        </w:rPr>
        <w:t>彩礼制度</w:t>
      </w:r>
      <w:r>
        <w:rPr>
          <w:rFonts w:hint="eastAsia" w:ascii="Times New Roman" w:hAnsi="Times New Roman" w:cs="Times New Roman"/>
          <w:b w:val="0"/>
          <w:bCs/>
          <w:sz w:val="24"/>
          <w:szCs w:val="28"/>
          <w:shd w:val="clear" w:color="auto" w:fill="FFFFFF"/>
          <w:lang w:val="en-US" w:eastAsia="zh-CN"/>
        </w:rPr>
        <w:t>与</w:t>
      </w:r>
      <w:r>
        <w:rPr>
          <w:rFonts w:hint="default" w:ascii="Times New Roman" w:hAnsi="Times New Roman" w:cs="Times New Roman"/>
          <w:b w:val="0"/>
          <w:bCs/>
          <w:sz w:val="24"/>
          <w:szCs w:val="28"/>
          <w:shd w:val="clear" w:color="auto" w:fill="FFFFFF"/>
          <w:lang w:val="en-US"/>
        </w:rPr>
        <w:t>传统的习俗</w:t>
      </w:r>
      <w:r>
        <w:rPr>
          <w:rFonts w:hint="eastAsia" w:ascii="Times New Roman" w:hAnsi="Times New Roman" w:cs="Times New Roman"/>
          <w:b w:val="0"/>
          <w:bCs/>
          <w:sz w:val="24"/>
          <w:szCs w:val="28"/>
          <w:shd w:val="clear" w:color="auto" w:fill="FFFFFF"/>
          <w:lang w:val="en-US" w:eastAsia="zh-CN"/>
        </w:rPr>
        <w:t>的联系</w:t>
      </w:r>
      <w:r>
        <w:rPr>
          <w:rFonts w:hint="default" w:ascii="Times New Roman" w:hAnsi="Times New Roman" w:cs="Times New Roman"/>
          <w:b w:val="0"/>
          <w:bCs/>
          <w:sz w:val="24"/>
          <w:szCs w:val="28"/>
          <w:shd w:val="clear" w:color="auto" w:fill="FFFFFF"/>
          <w:lang w:val="en-US"/>
        </w:rPr>
        <w:t>，彩礼所包含的文化内涵就变得虚无化了。在此基础上，他提出创建新的请求权理论体系，在司法实践中应当把地方特色的彩礼习惯纳入进来，而且要加入男方主动解除婚约不需要归还款项、女方单方面解除婚约需要退还部分彩礼等本地普遍认可的约定内容。只在涉及公序良俗问题的时候进行合理的修正</w:t>
      </w:r>
      <w:r>
        <w:rPr>
          <w:rStyle w:val="24"/>
          <w:rFonts w:hint="default" w:ascii="Times New Roman" w:hAnsi="Times New Roman" w:cs="Times New Roman"/>
          <w:b w:val="0"/>
          <w:bCs/>
          <w:sz w:val="24"/>
          <w:szCs w:val="28"/>
          <w:shd w:val="clear" w:color="auto" w:fill="FFFFFF"/>
          <w:lang w:val="en-US"/>
        </w:rPr>
        <w:footnoteReference w:id="6"/>
      </w:r>
      <w:r>
        <w:rPr>
          <w:rFonts w:hint="default" w:ascii="Times New Roman" w:hAnsi="Times New Roman" w:cs="Times New Roman"/>
          <w:b w:val="0"/>
          <w:bCs/>
          <w:sz w:val="24"/>
          <w:szCs w:val="28"/>
          <w:shd w:val="clear" w:color="auto" w:fill="FFFFFF"/>
          <w:lang w:val="en-US"/>
        </w:rPr>
        <w:t>。</w:t>
      </w:r>
      <w:r>
        <w:rPr>
          <w:rFonts w:hint="eastAsia" w:ascii="Times New Roman" w:hAnsi="Times New Roman" w:cs="Times New Roman"/>
          <w:b w:val="0"/>
          <w:bCs/>
          <w:sz w:val="24"/>
          <w:szCs w:val="28"/>
          <w:shd w:val="clear" w:color="auto" w:fill="FFFFFF"/>
          <w:lang w:val="en-US" w:eastAsia="zh-CN"/>
        </w:rPr>
        <w:t>这一观点强调</w:t>
      </w:r>
      <w:r>
        <w:rPr>
          <w:rFonts w:hint="default" w:ascii="Times New Roman" w:hAnsi="Times New Roman" w:cs="Times New Roman"/>
          <w:b w:val="0"/>
          <w:bCs/>
          <w:sz w:val="24"/>
          <w:szCs w:val="28"/>
          <w:shd w:val="clear" w:color="auto" w:fill="FFFFFF"/>
          <w:lang w:val="en-US"/>
        </w:rPr>
        <w:t>法律对于本土文化价值的尊重和保护。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刘凝（2025）认为彩礼的给付本质上是以长期共同生活为基础的预期法律关系的建立。双方由于短期原因而解除同居关系的，可以认为是"情事变更"的情形，应当依照有关法律规定进行具体情况下的慎重评价和合理的处理</w:t>
      </w:r>
      <w:r>
        <w:rPr>
          <w:rStyle w:val="24"/>
          <w:rFonts w:hint="default" w:ascii="Times New Roman" w:hAnsi="Times New Roman" w:cs="Times New Roman"/>
          <w:b w:val="0"/>
          <w:bCs/>
          <w:sz w:val="24"/>
          <w:szCs w:val="28"/>
          <w:shd w:val="clear" w:color="auto" w:fill="FFFFFF"/>
          <w:lang w:val="en-US"/>
        </w:rPr>
        <w:footnoteReference w:id="7"/>
      </w:r>
      <w:r>
        <w:rPr>
          <w:rFonts w:hint="default" w:ascii="Times New Roman" w:hAnsi="Times New Roman" w:cs="Times New Roman"/>
          <w:b w:val="0"/>
          <w:bCs/>
          <w:sz w:val="24"/>
          <w:szCs w:val="28"/>
          <w:shd w:val="clear" w:color="auto" w:fill="FFFFFF"/>
          <w:lang w:val="en-US"/>
        </w:rPr>
        <w:t>。</w:t>
      </w:r>
    </w:p>
    <w:p>
      <w:pPr>
        <w:keepNext w:val="0"/>
        <w:keepLines w:val="0"/>
        <w:pageBreakBefore w:val="0"/>
        <w:widowControl w:val="0"/>
        <w:kinsoku/>
        <w:wordWrap/>
        <w:overflowPunct/>
        <w:topLinePunct w:val="0"/>
        <w:autoSpaceDE/>
        <w:autoSpaceDN/>
        <w:bidi w:val="0"/>
        <w:adjustRightInd/>
        <w:snapToGrid/>
        <w:spacing w:before="120" w:after="120" w:line="400" w:lineRule="exact"/>
        <w:ind w:firstLine="480" w:firstLineChars="200"/>
        <w:textAlignment w:val="auto"/>
        <w:outlineLvl w:val="3"/>
        <w:rPr>
          <w:rFonts w:hint="default" w:ascii="Times New Roman" w:hAnsi="Times New Roman" w:eastAsia="宋体" w:cs="Times New Roman"/>
          <w:sz w:val="24"/>
          <w:lang w:val="en-US" w:eastAsia="zh-CN"/>
        </w:rPr>
      </w:pP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3</w:t>
      </w: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对</w:t>
      </w:r>
      <w:r>
        <w:rPr>
          <w:rFonts w:hint="eastAsia" w:ascii="Times New Roman" w:hAnsi="Times New Roman" w:eastAsia="宋体" w:cs="Times New Roman"/>
          <w:sz w:val="24"/>
          <w:lang w:val="en-US" w:eastAsia="zh-CN"/>
        </w:rPr>
        <w:t>彩礼返还具体规则的研究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单一目的论认为，薛宁兰、崔丹(2024)认为彩礼赠与的本质目的在于达到婚姻登记这个法定形式要件。虽然共同生活是婚姻的实质意义，但是不能将之包含在彩礼赠与目的当中，否则会过度约束女方，同时也保护了结婚登记这一法律必须经历的过程。</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复合目的论认为婚姻是为了达到形式上的登记和实质上长期共同生活的双重目的。姚明斌、刘亦婷（2023）认为婚姻目的的内涵并不是单一的，是由婚姻目的形式要件、婚姻目的实质要件两部分共同构成。只有两个方面都得到圆满实现，才能认定婚约目的全部实现；反之，则根据具体未达到的标准来判断是否需要返还彩礼。这一理论体系给最高人民法院关于适用《《婚姻家庭编解释（一）》里有关不同共同生活状态下彩礼返还规则赋予了关键的理论支持。</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学界对于彩礼返还问题研究发现，多要素综合评估法成了评判彩礼返还与否以及具体数额的主要方式，塑造出了一种动态评价体系。该体系把共同生活时长、实际婚姻存续情况、生育子女等作为决定是否全额或者部分返还的参考因素，并把长期同居经历或者子女出生情形当作决定全额或者部分返还的决定性因素。</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学术界认为，彩礼返还问题的解决要依靠多维评价指标体系和动态化的评价体系。婚姻存续期间共同生活的时间长短、同居行为、生育子女等都被考虑进去。长时间共同生活并生育子女的情形，常常是法院决定部分或者全部免除彩礼返还义务的重要依据之一。</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cs="Times New Roman"/>
          <w:b w:val="0"/>
          <w:bCs/>
          <w:sz w:val="24"/>
          <w:szCs w:val="28"/>
          <w:shd w:val="clear" w:color="auto" w:fill="FFFFFF"/>
          <w:lang w:val="en-US" w:eastAsia="zh-CN"/>
        </w:rPr>
      </w:pPr>
      <w:bookmarkStart w:id="60" w:name="OLE_LINK4"/>
      <w:r>
        <w:rPr>
          <w:rFonts w:hint="eastAsia" w:ascii="Times New Roman" w:hAnsi="Times New Roman" w:cs="Times New Roman"/>
          <w:b w:val="0"/>
          <w:bCs/>
          <w:sz w:val="24"/>
          <w:szCs w:val="28"/>
          <w:shd w:val="clear" w:color="auto" w:fill="FFFFFF"/>
          <w:lang w:val="en-US" w:eastAsia="zh-CN"/>
        </w:rPr>
        <w:t>婚约财产纠纷中过错认定的作用问题引起了学界的广泛争议。刘清生、谢梅（2011）、项焱（2025）等学者持支持立场的研究者认为，应该把当事人的主观过错作为裁判标准的重要因素考虑进去，并且对于因为自身过错而造成婚约解除或者婚姻关系破裂的人给予不利的法律后果，比如丧失或减少返还请求权。</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cs="Times New Roman"/>
          <w:b w:val="0"/>
          <w:bCs/>
          <w:sz w:val="24"/>
          <w:szCs w:val="28"/>
          <w:shd w:val="clear" w:color="auto" w:fill="FFFFFF"/>
          <w:lang w:val="en-US" w:eastAsia="zh-CN"/>
        </w:rPr>
      </w:pPr>
      <w:r>
        <w:rPr>
          <w:rFonts w:hint="eastAsia" w:ascii="Times New Roman" w:hAnsi="Times New Roman" w:cs="Times New Roman"/>
          <w:b w:val="0"/>
          <w:bCs/>
          <w:sz w:val="24"/>
          <w:szCs w:val="28"/>
          <w:shd w:val="clear" w:color="auto" w:fill="FFFFFF"/>
          <w:lang w:val="en-US" w:eastAsia="zh-CN"/>
        </w:rPr>
        <w:t>王丹（2024）、刘凝（2025）从维护婚姻自有的角度认为，不能因为当事人有过错就限制其婚约解除或离婚自由，彩礼返还认定中，过错不应该是考虑的主要因素。大多数学者认为离婚自由不能完全否定，但是在认定是否具有重大过错（家庭暴力、恶意欺诈等）的时候，在彩礼返还比例的裁量过程中也要考虑这些因素。该主张已经被《彩礼适用规定》采纳。</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cs="Times New Roman"/>
          <w:b w:val="0"/>
          <w:bCs/>
          <w:sz w:val="24"/>
          <w:szCs w:val="28"/>
          <w:shd w:val="clear" w:color="auto" w:fill="FFFFFF"/>
          <w:lang w:val="en-US" w:eastAsia="zh-CN"/>
        </w:rPr>
      </w:pPr>
      <w:r>
        <w:rPr>
          <w:rFonts w:hint="eastAsia" w:ascii="Times New Roman" w:hAnsi="Times New Roman" w:cs="Times New Roman"/>
          <w:b w:val="0"/>
          <w:bCs/>
          <w:sz w:val="24"/>
          <w:szCs w:val="28"/>
          <w:shd w:val="clear" w:color="auto" w:fill="FFFFFF"/>
          <w:lang w:val="en-US" w:eastAsia="zh-CN"/>
        </w:rPr>
        <w:t>界定“彩礼”概念并评价其合理性的时候，应参考当地习俗</w:t>
      </w:r>
      <w:r>
        <w:rPr>
          <w:rStyle w:val="24"/>
          <w:rFonts w:hint="eastAsia" w:ascii="Times New Roman" w:hAnsi="Times New Roman" w:cs="Times New Roman"/>
          <w:b w:val="0"/>
          <w:bCs/>
          <w:sz w:val="24"/>
          <w:szCs w:val="28"/>
          <w:shd w:val="clear" w:color="auto" w:fill="FFFFFF"/>
          <w:lang w:val="en-US" w:eastAsia="zh-CN"/>
        </w:rPr>
        <w:footnoteReference w:id="8"/>
      </w:r>
      <w:r>
        <w:rPr>
          <w:rFonts w:hint="eastAsia" w:ascii="Times New Roman" w:hAnsi="Times New Roman" w:cs="Times New Roman"/>
          <w:b w:val="0"/>
          <w:bCs/>
          <w:sz w:val="24"/>
          <w:szCs w:val="28"/>
          <w:shd w:val="clear" w:color="auto" w:fill="FFFFFF"/>
          <w:lang w:val="en-US" w:eastAsia="zh-CN"/>
        </w:rPr>
        <w:t>（胡云红、宋天一，2022）。如果彩礼已经实际用于共同生活的开支、婚庆的筹备或者转化为夫妻共有的财产，那么在确定返还金额的时候应当予以适当的扣除或者免除（姚明斌、刘亦婷，2023；汪洋，2024）。</w:t>
      </w:r>
    </w:p>
    <w:bookmarkEnd w:id="60"/>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eastAsia="zh-CN"/>
        </w:rPr>
      </w:pPr>
      <w:r>
        <w:rPr>
          <w:rFonts w:hint="default" w:ascii="Times New Roman" w:hAnsi="Times New Roman" w:cs="Times New Roman"/>
          <w:b w:val="0"/>
          <w:bCs/>
          <w:sz w:val="24"/>
          <w:szCs w:val="28"/>
          <w:shd w:val="clear" w:color="auto" w:fill="FFFFFF"/>
          <w:lang w:val="en-US" w:eastAsia="zh-CN"/>
        </w:rPr>
        <w:t>根据《婚姻家庭编解释（一）》第5条的规定，当赠与人因为支付彩礼而陷入生活困境的时候，受赠方有权要求返还相应的财产。学术界一般认为生活困难是绝对的经济拮据状态，即个人或者家庭不能维持所在地区基本生存需求。该条款体现出法律对于社会公正和平衡所持有的价值取向，在婚姻关系已经部分履行的情况下，如果高额彩礼给赠与方造成了严重的经济困难，那么应当给予一定的救济支持（姚明斌、刘亦婷，2023）。</w:t>
      </w:r>
    </w:p>
    <w:p>
      <w:pPr>
        <w:spacing w:before="240" w:after="120" w:line="400" w:lineRule="exact"/>
        <w:ind w:firstLine="482" w:firstLineChars="200"/>
        <w:outlineLvl w:val="2"/>
        <w:rPr>
          <w:rFonts w:hint="default" w:ascii="Times New Roman" w:hAnsi="Times New Roman" w:eastAsia="宋体" w:cs="Times New Roman"/>
          <w:b/>
          <w:bCs/>
          <w:sz w:val="24"/>
          <w:szCs w:val="28"/>
          <w:shd w:val="clear" w:color="auto" w:fill="FFFFFF"/>
          <w:lang w:val="en-US" w:eastAsia="zh-CN"/>
        </w:rPr>
      </w:pPr>
      <w:bookmarkStart w:id="61" w:name="_Toc2184"/>
      <w:bookmarkStart w:id="62" w:name="_Toc5840"/>
      <w:r>
        <w:rPr>
          <w:rFonts w:hint="eastAsia" w:ascii="Times New Roman" w:hAnsi="Times New Roman" w:eastAsia="宋体" w:cs="Times New Roman"/>
          <w:b/>
          <w:bCs/>
          <w:sz w:val="24"/>
          <w:szCs w:val="28"/>
          <w:shd w:val="clear" w:color="auto" w:fill="FFFFFF"/>
          <w:lang w:val="en-US" w:eastAsia="zh-CN"/>
        </w:rPr>
        <w:t>2</w:t>
      </w:r>
      <w:r>
        <w:rPr>
          <w:rFonts w:hint="eastAsia" w:ascii="Times New Roman" w:hAnsi="Times New Roman" w:eastAsia="宋体" w:cs="Times New Roman"/>
          <w:b/>
          <w:bCs/>
          <w:sz w:val="24"/>
          <w:szCs w:val="28"/>
          <w:shd w:val="clear" w:color="auto" w:fill="FFFFFF"/>
        </w:rPr>
        <w:t>.</w:t>
      </w:r>
      <w:r>
        <w:rPr>
          <w:rFonts w:hint="eastAsia" w:ascii="Times New Roman" w:hAnsi="Times New Roman" w:eastAsia="宋体" w:cs="Times New Roman"/>
          <w:b/>
          <w:bCs/>
          <w:sz w:val="24"/>
          <w:szCs w:val="28"/>
          <w:shd w:val="clear" w:color="auto" w:fill="FFFFFF"/>
          <w:lang w:val="en-US" w:eastAsia="zh-CN"/>
        </w:rPr>
        <w:t>国外研究综述</w:t>
      </w:r>
      <w:bookmarkEnd w:id="61"/>
      <w:bookmarkEnd w:id="6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尼日利亚学者Nwatu和Nwogugu在2018年指出，尽管乌干达最高法院认定彩礼习俗具有宪法上的合法基础，但是它有关禁止离婚判决中强制返还彩礼的裁决被宣布为违宪。该判决认为相关条款侵害了女性的人格尊严，将婚姻解除取决于第三方行为，和保障个人自由权利的法律思想不相符。</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研究表明，在英联邦国家尼日利亚，彩礼是习惯法婚姻中重要的构成部分，把彩礼退还当作解除婚姻关系的重要依据。</w:t>
      </w:r>
      <w:r>
        <w:rPr>
          <w:rFonts w:hint="eastAsia" w:ascii="Times New Roman" w:hAnsi="Times New Roman" w:cs="Times New Roman"/>
          <w:sz w:val="24"/>
          <w:lang w:val="en-US" w:eastAsia="zh-CN"/>
        </w:rPr>
        <w:t>部分</w:t>
      </w:r>
      <w:r>
        <w:rPr>
          <w:rFonts w:hint="eastAsia" w:ascii="Times New Roman" w:hAnsi="Times New Roman" w:eastAsia="宋体" w:cs="Times New Roman"/>
          <w:sz w:val="24"/>
          <w:lang w:val="en-US" w:eastAsia="zh-CN"/>
        </w:rPr>
        <w:t>法语非洲国家（科特迪瓦、中非共和国）已经废除传统的彩礼，而在加蓬则用刑事法律来规范彩礼行为</w:t>
      </w:r>
      <w:r>
        <w:rPr>
          <w:rStyle w:val="24"/>
          <w:rFonts w:hint="eastAsia" w:ascii="Times New Roman" w:hAnsi="Times New Roman" w:eastAsia="宋体" w:cs="Times New Roman"/>
          <w:sz w:val="24"/>
          <w:lang w:val="en-US" w:eastAsia="zh-CN"/>
        </w:rPr>
        <w:footnoteReference w:id="9"/>
      </w:r>
      <w:r>
        <w:rPr>
          <w:rFonts w:hint="eastAsia" w:ascii="Times New Roman" w:hAnsi="Times New Roman" w:eastAsia="宋体"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2017年美国学者HindAhmedZaki在Law,Culture,andMobilization:LegalPluralismandWomen'sAccesstoDivorceinEgypt的研究中围绕伊斯兰教法中“Khul‘离婚’”（或称协商离婚）制度展开。</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制度允许妻子以返还婚前丈夫支付的全部彩礼（聘金，伊斯兰术语称为“mahar”）为条件，单方面向法院申请解除婚姻关系。埃及于2000年通过的“第1号法令”（Khul‘法案）将此源于伊斯兰古典实践的做法正式法典化。文中的研究表明，这项制度改革为妇女提供了一个前所未有的司法出口，使其能够通过放弃彩礼经济权利来换取人身自由</w:t>
      </w:r>
      <w:r>
        <w:rPr>
          <w:rStyle w:val="24"/>
          <w:rFonts w:hint="eastAsia" w:ascii="Times New Roman" w:hAnsi="Times New Roman" w:eastAsia="宋体" w:cs="Times New Roman"/>
          <w:sz w:val="24"/>
          <w:lang w:val="en-US" w:eastAsia="zh-CN"/>
        </w:rPr>
        <w:footnoteReference w:id="10"/>
      </w:r>
      <w:r>
        <w:rPr>
          <w:rFonts w:hint="eastAsia" w:ascii="Times New Roman" w:hAnsi="Times New Roman" w:eastAsia="宋体"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2001年美国学者BarbaraFrazier在</w:t>
      </w:r>
      <w:bookmarkStart w:id="63" w:name="OLE_LINK7"/>
      <w:r>
        <w:rPr>
          <w:rFonts w:hint="eastAsia" w:ascii="Times New Roman" w:hAnsi="Times New Roman" w:eastAsia="宋体" w:cs="Times New Roman"/>
          <w:sz w:val="24"/>
          <w:lang w:val="en-US" w:eastAsia="zh-CN"/>
        </w:rPr>
        <w:t>ButICan'tMarryYou:WhoisEntitledtotheEngagementRingwhentheConditionalPerformanceFallsShortoftheAltar</w:t>
      </w:r>
      <w:bookmarkEnd w:id="63"/>
      <w:r>
        <w:rPr>
          <w:rFonts w:hint="eastAsia" w:ascii="Times New Roman" w:hAnsi="Times New Roman" w:eastAsia="宋体" w:cs="Times New Roman"/>
          <w:sz w:val="24"/>
          <w:lang w:val="en-US" w:eastAsia="zh-CN"/>
        </w:rPr>
        <w:t>的研究中对于订婚戒指即婚礼的返还提出有责模式(Fault-basedapproach)考察是哪一方“过错”导致了婚约的解除，以此决定戒指的归属。如果受赠人无正当理由毁约，赠与人有权取回戒指，反之亦然。</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坚持中立性的基础上，依照对于私人自治权的尊重，重新构建起以“过错”作为要素的传统法律认定模式。在此框架之下，订婚戒指就被看作是带有某种婚姻缔结条件的特殊的赠与行为。当婚姻没有成立的时候，原赠与方有权要求返还戒指，除非双方事先有具体的约定并就权益义务作出明确的划分。该理论冲破了传统归责规则的束缚，重视协调各方面的利益诉求</w:t>
      </w:r>
      <w:r>
        <w:rPr>
          <w:rStyle w:val="24"/>
          <w:rFonts w:hint="eastAsia" w:ascii="Times New Roman" w:hAnsi="Times New Roman" w:eastAsia="宋体" w:cs="Times New Roman"/>
          <w:sz w:val="24"/>
          <w:lang w:val="en-US" w:eastAsia="zh-CN"/>
        </w:rPr>
        <w:footnoteReference w:id="11"/>
      </w:r>
      <w:r>
        <w:rPr>
          <w:rFonts w:hint="eastAsia" w:ascii="Times New Roman" w:hAnsi="Times New Roman" w:eastAsia="宋体" w:cs="Times New Roman"/>
          <w:sz w:val="24"/>
          <w:lang w:val="en-US" w:eastAsia="zh-CN"/>
        </w:rPr>
        <w:t>。</w:t>
      </w:r>
    </w:p>
    <w:p>
      <w:pPr>
        <w:spacing w:before="480" w:after="120" w:line="400" w:lineRule="exact"/>
        <w:ind w:firstLine="562" w:firstLineChars="200"/>
        <w:outlineLvl w:val="1"/>
        <w:rPr>
          <w:rFonts w:hint="default" w:ascii="Times New Roman" w:hAnsi="Times New Roman" w:eastAsia="宋体"/>
          <w:b/>
          <w:sz w:val="28"/>
          <w:szCs w:val="30"/>
          <w:shd w:val="clear" w:color="auto" w:fill="FFFFFF"/>
          <w:lang w:val="en-US" w:eastAsia="zh-CN"/>
        </w:rPr>
      </w:pPr>
      <w:bookmarkStart w:id="64" w:name="_Toc11794"/>
      <w:bookmarkStart w:id="65" w:name="_Toc30195"/>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研究方法</w:t>
      </w:r>
      <w:bookmarkEnd w:id="64"/>
      <w:bookmarkEnd w:id="65"/>
    </w:p>
    <w:p>
      <w:pPr>
        <w:spacing w:line="400" w:lineRule="exact"/>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为了提高研究结论的科学性、可靠性，促进彩礼返还纠纷司法裁判实践的改进，本文会采取文献分析法和案例实证研究法的方法。系统查阅国内外已有学术成果，对裁判文书进行深入分析，总结出目前彩礼返还案件审判的特点及原因机制；针对目前法律体系运行过程中存在的不足和问题，从理论上提出可行的建议，提出具有操作性的解决办法，使当事人的合法权益得到公平合理的保护，达到司法公正的目的。</w:t>
      </w:r>
    </w:p>
    <w:p>
      <w:pPr>
        <w:numPr>
          <w:ilvl w:val="0"/>
          <w:numId w:val="2"/>
        </w:numPr>
        <w:spacing w:line="400" w:lineRule="exact"/>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文献分析法。对彩礼返还问题的相关研究成果进行梳理。通过对主流学术期刊、权威专著的仔细研读，全面掌握该领域的主要结论和前瞻性意见；对彩礼制度的历史发展以及现实运作机制做进一步的分析，从中归纳出它的本质特点和发展趋向。在此基础上，通过查阅已有的文献资料进行数据的整合、归纳总结，形成本文的研究框架，为后面实证研究提供坚实的理论基础。</w:t>
      </w:r>
    </w:p>
    <w:p>
      <w:pPr>
        <w:spacing w:line="400" w:lineRule="exact"/>
        <w:ind w:firstLine="480" w:firstLineChars="200"/>
        <w:rPr>
          <w:rFonts w:hint="eastAsia" w:ascii="Times New Roman" w:hAnsi="Times New Roman" w:eastAsia="宋体" w:cs="Times New Roman"/>
          <w:sz w:val="24"/>
          <w:lang w:val="en-US" w:eastAsia="zh-CN"/>
        </w:rPr>
        <w:sectPr>
          <w:footerReference r:id="rId6" w:type="default"/>
          <w:footnotePr>
            <w:numFmt w:val="decimalEnclosedCircleChinese"/>
            <w:numRestart w:val="eachPage"/>
          </w:footnotePr>
          <w:pgSz w:w="11906" w:h="16838"/>
          <w:pgMar w:top="1440" w:right="1800" w:bottom="1440" w:left="1800" w:header="851" w:footer="992" w:gutter="0"/>
          <w:pgNumType w:fmt="decimal" w:start="1"/>
          <w:cols w:space="720" w:num="1"/>
          <w:docGrid w:type="lines" w:linePitch="312" w:charSpace="0"/>
        </w:sectPr>
      </w:pPr>
      <w:r>
        <w:rPr>
          <w:rFonts w:hint="eastAsia" w:ascii="Times New Roman" w:hAnsi="Times New Roman" w:cs="Times New Roman"/>
          <w:sz w:val="24"/>
          <w:lang w:val="en-US" w:eastAsia="zh-CN"/>
        </w:rPr>
        <w:t>第二，案例分析法。现实司法场景里存在大量的彩礼返还纠纷案件，分析真实的司法案例可以贴近司法实务现状，也能针对性探究法院的审判逻辑。本文以中国裁判文书网为数据来源，将检索地域限定为湖南省各级法院，文书类型限定为判决书，时间跨度设定为2025年1月1日至同年12月31日，以“彩礼”“返还”为关键词进行检索，整理出七十八份相关裁判文书，作为实证分析的基础。经过规范化整理和分类归纳，得出彩礼返还诉讼的主要争议焦点，总结出法官审理相关案件时所用的主要审查依据及主要的裁量因素。同时根据现有的法律框架中存在的不足，从理论支持和实践经验两方面出发，提出可行的完善法律制度的建议，促进法律制度体系的发展和完善。</w:t>
      </w:r>
    </w:p>
    <w:p>
      <w:pPr>
        <w:keepNext w:val="0"/>
        <w:keepLines w:val="0"/>
        <w:pageBreakBefore w:val="0"/>
        <w:widowControl w:val="0"/>
        <w:kinsoku/>
        <w:wordWrap/>
        <w:overflowPunct/>
        <w:topLinePunct w:val="0"/>
        <w:autoSpaceDE/>
        <w:autoSpaceDN/>
        <w:bidi w:val="0"/>
        <w:adjustRightInd/>
        <w:snapToGrid/>
        <w:spacing w:before="480" w:after="360" w:line="400" w:lineRule="exact"/>
        <w:ind w:firstLine="643" w:firstLineChars="200"/>
        <w:textAlignment w:val="auto"/>
        <w:outlineLvl w:val="0"/>
        <w:rPr>
          <w:rFonts w:hint="eastAsia" w:ascii="Times New Roman" w:hAnsi="Times New Roman"/>
          <w:b/>
          <w:bCs/>
          <w:color w:val="000000"/>
          <w:sz w:val="32"/>
          <w:szCs w:val="32"/>
          <w:shd w:val="clear" w:color="auto" w:fill="FFFFFF"/>
          <w:lang w:val="en-US" w:eastAsia="zh-CN"/>
        </w:rPr>
      </w:pPr>
      <w:bookmarkStart w:id="66" w:name="_Toc589"/>
      <w:bookmarkStart w:id="67" w:name="_Toc24965"/>
      <w:r>
        <w:rPr>
          <w:rFonts w:hint="eastAsia" w:ascii="Times New Roman" w:hAnsi="Times New Roman"/>
          <w:b/>
          <w:bCs/>
          <w:color w:val="000000"/>
          <w:sz w:val="32"/>
          <w:szCs w:val="32"/>
          <w:shd w:val="clear" w:color="auto" w:fill="FFFFFF"/>
        </w:rPr>
        <w:t>二、</w:t>
      </w:r>
      <w:r>
        <w:rPr>
          <w:rFonts w:hint="eastAsia" w:ascii="Times New Roman" w:hAnsi="Times New Roman"/>
          <w:b/>
          <w:bCs/>
          <w:color w:val="000000"/>
          <w:sz w:val="32"/>
          <w:szCs w:val="32"/>
          <w:shd w:val="clear" w:color="auto" w:fill="FFFFFF"/>
          <w:lang w:val="en-US" w:eastAsia="zh-CN"/>
        </w:rPr>
        <w:t>彩礼返还基础制度与现行裁判规则梳理</w:t>
      </w:r>
      <w:bookmarkEnd w:id="66"/>
      <w:bookmarkEnd w:id="67"/>
    </w:p>
    <w:p>
      <w:pPr>
        <w:spacing w:line="400" w:lineRule="exact"/>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彩礼制度具备了十分久远的发展历史，该制度属于中国传统婚嫁习俗的重要组成部分；彩礼除了具备婚嫁礼仪的外在形式，而且还承载了厚重的文化内涵与社会作用。彩礼最早起源于西周时期的婚嫁六礼流程，六礼里面的纳征环节就是彩礼的原始雏形，古人一般会把彩礼称作聘礼或是聘金。《礼记》记载有“男女无媒不交，无帛不见”的语句，这句古文能够证明传统礼制的规则之中，财物的交付流程可以构成婚姻关系成立的重要先决条件；时代发展到如今，法律层面已经不会把彩礼给付当作缔结婚姻的必备流程，但是这项婚嫁习俗依旧在民间保留了广泛的影响力。</w:t>
      </w:r>
    </w:p>
    <w:p>
      <w:pPr>
        <w:numPr>
          <w:ilvl w:val="0"/>
          <w:numId w:val="0"/>
        </w:numPr>
        <w:spacing w:before="480" w:after="120" w:line="400" w:lineRule="exact"/>
        <w:ind w:firstLine="562" w:firstLineChars="200"/>
        <w:outlineLvl w:val="1"/>
        <w:rPr>
          <w:rFonts w:hint="eastAsia" w:ascii="Times New Roman" w:hAnsi="Times New Roman"/>
          <w:b/>
          <w:sz w:val="28"/>
          <w:szCs w:val="30"/>
          <w:shd w:val="clear" w:color="auto" w:fill="FFFFFF"/>
          <w:lang w:val="en-US" w:eastAsia="zh-CN"/>
        </w:rPr>
      </w:pPr>
      <w:bookmarkStart w:id="68" w:name="_Toc3908"/>
      <w:bookmarkStart w:id="69" w:name="_Toc8211"/>
      <w:r>
        <w:rPr>
          <w:rFonts w:hint="eastAsia" w:ascii="Times New Roman" w:hAnsi="Times New Roman" w:eastAsia="宋体" w:cs="Times New Roman"/>
          <w:b/>
          <w:kern w:val="2"/>
          <w:sz w:val="28"/>
          <w:szCs w:val="30"/>
          <w:shd w:val="clear" w:color="auto" w:fill="FFFFFF"/>
          <w:lang w:val="en-US" w:eastAsia="zh-CN" w:bidi="ar-SA"/>
        </w:rPr>
        <w:t>（一）</w:t>
      </w:r>
      <w:r>
        <w:rPr>
          <w:rFonts w:hint="eastAsia" w:ascii="Times New Roman" w:hAnsi="Times New Roman"/>
          <w:b/>
          <w:sz w:val="28"/>
          <w:szCs w:val="30"/>
          <w:shd w:val="clear" w:color="auto" w:fill="FFFFFF"/>
          <w:lang w:val="en-US" w:eastAsia="zh-CN"/>
        </w:rPr>
        <w:t>彩礼的概念</w:t>
      </w:r>
      <w:bookmarkEnd w:id="68"/>
      <w:bookmarkEnd w:id="69"/>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70" w:name="OLE_LINK6"/>
      <w:r>
        <w:rPr>
          <w:rFonts w:hint="eastAsia" w:ascii="Times New Roman" w:hAnsi="Times New Roman" w:cs="Times New Roman"/>
          <w:sz w:val="24"/>
          <w:lang w:val="en-US" w:eastAsia="zh-CN"/>
        </w:rPr>
        <w:t>彩礼在婚姻缔结中占有非常重要的地位，在我国婚姻缔结过程中表现形式、赠予时间以及所包含的范围都深深地打上了浓厚的文化烙印。从历史的角度来说，早期社会中彩礼大多以实物形式出现，主要是布匹、金属器皿、牲畜等众多具体物品。此类礼物既是男方家庭对女方家庭的尊敬之物，又是对未来婚姻美好愿景的寄望之物</w:t>
      </w:r>
      <w:r>
        <w:rPr>
          <w:rStyle w:val="24"/>
          <w:rFonts w:hint="eastAsia" w:ascii="Times New Roman" w:hAnsi="Times New Roman" w:cs="Times New Roman"/>
          <w:sz w:val="24"/>
          <w:lang w:val="en-US" w:eastAsia="zh-CN"/>
        </w:rPr>
        <w:footnoteReference w:id="12"/>
      </w:r>
      <w:r>
        <w:rPr>
          <w:rFonts w:hint="eastAsia" w:ascii="Times New Roman" w:hAnsi="Times New Roman" w:cs="Times New Roman"/>
          <w:sz w:val="24"/>
          <w:lang w:val="en-US" w:eastAsia="zh-CN"/>
        </w:rPr>
        <w:t>。按照惯例，传统彩礼一般在婚约正式成立之前或者婚礼举行前一段时间内交付，具有很强的象征性以及庄重的仪式感。受地域文化差异的影响，全国各地彩礼的具体内容存在着明显的异质性，北方地区一般重视现金支付，加之一部分实物赠送，而南方地区更多地看重礼品种类和数量的选择，有些地方甚至把土地使用权证或者房产所有权等不动产算作彩礼的一部分</w:t>
      </w:r>
      <w:r>
        <w:rPr>
          <w:rStyle w:val="24"/>
          <w:rFonts w:hint="eastAsia" w:ascii="Times New Roman" w:hAnsi="Times New Roman" w:cs="Times New Roman"/>
          <w:sz w:val="24"/>
          <w:lang w:val="en-US" w:eastAsia="zh-CN"/>
        </w:rPr>
        <w:footnoteReference w:id="13"/>
      </w:r>
      <w:r>
        <w:rPr>
          <w:rFonts w:hint="eastAsia" w:ascii="Times New Roman" w:hAnsi="Times New Roman" w:cs="Times New Roman"/>
          <w:sz w:val="24"/>
          <w:lang w:val="en-US" w:eastAsia="zh-CN"/>
        </w:rPr>
        <w:t>。这些特点一起表现出中国彩礼习俗在世界范围内独特之处和多样性。</w:t>
      </w:r>
    </w:p>
    <w:bookmarkEnd w:id="70"/>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现行民法典对于彩礼的概念并无明确规定，司法解释也较为笼统，《婚姻家庭编解释（一）》第五条中“按照习俗给付的彩礼”，《彩礼适用规定》第一条中提到以“婚姻为目的依据习俗给付彩礼”，可以看出彩礼本身拥有明显的目的性和软强制性。具体而言就是彩礼的给付以婚姻为目的，虽然法律并未强制规定男女双方结婚必须由男方支付彩礼，但是若当地存在此习俗，男方通常需要给付彩礼。</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学界对于彩礼的概念存在争议，有学者认为彩礼是婚姻关系当事人一方主要指男方及其亲属依据习俗向对方主要指女方及其亲属给付的钱物</w:t>
      </w:r>
      <w:r>
        <w:rPr>
          <w:rStyle w:val="24"/>
          <w:rFonts w:hint="eastAsia" w:ascii="Times New Roman" w:hAnsi="Times New Roman" w:cs="Times New Roman"/>
          <w:sz w:val="24"/>
          <w:lang w:val="en-US" w:eastAsia="zh-CN"/>
        </w:rPr>
        <w:footnoteReference w:id="14"/>
      </w:r>
      <w:r>
        <w:rPr>
          <w:rFonts w:hint="eastAsia" w:ascii="Times New Roman" w:hAnsi="Times New Roman" w:cs="Times New Roman"/>
          <w:sz w:val="24"/>
          <w:lang w:val="en-US" w:eastAsia="zh-CN"/>
        </w:rPr>
        <w:t>。有学者认为彩礼是订婚时男方向女方或女方家送一定数额的货币或实物</w:t>
      </w:r>
      <w:r>
        <w:rPr>
          <w:rStyle w:val="24"/>
          <w:rFonts w:hint="eastAsia" w:ascii="Times New Roman" w:hAnsi="Times New Roman" w:cs="Times New Roman"/>
          <w:sz w:val="24"/>
          <w:lang w:val="en-US" w:eastAsia="zh-CN"/>
        </w:rPr>
        <w:footnoteReference w:id="15"/>
      </w:r>
      <w:r>
        <w:rPr>
          <w:rFonts w:hint="eastAsia" w:ascii="Times New Roman" w:hAnsi="Times New Roman" w:cs="Times New Roman"/>
          <w:sz w:val="24"/>
          <w:lang w:val="en-US" w:eastAsia="zh-CN"/>
        </w:rPr>
        <w:t>。最高人民法院将彩礼定义为男女双方在相识恋爱期间，一方以结婚为目的，在婚前赠送给另一方的贵重物品及生产生活资料</w:t>
      </w:r>
      <w:r>
        <w:rPr>
          <w:rStyle w:val="24"/>
          <w:rFonts w:hint="eastAsia" w:ascii="Times New Roman" w:hAnsi="Times New Roman" w:cs="Times New Roman"/>
          <w:sz w:val="24"/>
          <w:lang w:val="en-US" w:eastAsia="zh-CN"/>
        </w:rPr>
        <w:footnoteReference w:id="16"/>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笔者认为,一方给付彩礼的目的为建立长期稳定的家庭共同生活体。对于男女双方完成婚姻登记法定程序这一形式仅为一个公民希望实现前述目的的必要条件。因此，彩礼是男方及其家庭出于形成长期稳定的婚姻关系，依照习俗向女方及其家庭给付的财产，包括但不限于股票、知识产权、现金、珠宝等。而彩礼返还是指彩礼已经给付他方的情况下，由于一方或者双方的原因导致无法形成婚姻关系，此时接收方向给予方返还彩礼的情形。</w:t>
      </w:r>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71" w:name="_Toc25913"/>
      <w:bookmarkStart w:id="72" w:name="_Toc19468"/>
      <w:bookmarkStart w:id="73" w:name="OLE_LINK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）彩礼返还现行裁判规则</w:t>
      </w:r>
      <w:bookmarkEnd w:id="71"/>
      <w:bookmarkEnd w:id="72"/>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bookmarkStart w:id="74" w:name="_Toc6917"/>
      <w:bookmarkStart w:id="75" w:name="_Toc28050"/>
      <w:r>
        <w:rPr>
          <w:rFonts w:hint="default" w:ascii="Times New Roman" w:hAnsi="Times New Roman" w:cs="Times New Roman"/>
          <w:sz w:val="24"/>
          <w:lang w:val="en-US" w:eastAsia="zh-CN"/>
        </w:rPr>
        <w:t>当前法院处理彩礼返还纠纷，主要适用</w:t>
      </w:r>
      <w:bookmarkStart w:id="76" w:name="OLE_LINK12"/>
      <w:r>
        <w:rPr>
          <w:rFonts w:hint="default" w:ascii="Times New Roman" w:hAnsi="Times New Roman" w:cs="Times New Roman"/>
          <w:sz w:val="24"/>
          <w:lang w:val="en-US" w:eastAsia="zh-CN"/>
        </w:rPr>
        <w:t>《婚姻家庭编解释（一）》</w:t>
      </w:r>
      <w:bookmarkEnd w:id="76"/>
      <w:r>
        <w:rPr>
          <w:rFonts w:hint="default" w:ascii="Times New Roman" w:hAnsi="Times New Roman" w:cs="Times New Roman"/>
          <w:sz w:val="24"/>
          <w:lang w:val="en-US" w:eastAsia="zh-CN"/>
        </w:rPr>
        <w:t>第5条</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《关于审理涉彩礼纠纷案件适用法律若干问题的规定》（以下简称《</w:t>
      </w:r>
      <w:r>
        <w:rPr>
          <w:rFonts w:hint="eastAsia" w:ascii="Times New Roman" w:hAnsi="Times New Roman" w:cs="Times New Roman"/>
          <w:sz w:val="24"/>
          <w:lang w:val="en-US" w:eastAsia="zh-CN"/>
        </w:rPr>
        <w:t>彩礼适用</w:t>
      </w:r>
      <w:r>
        <w:rPr>
          <w:rFonts w:hint="default" w:ascii="Times New Roman" w:hAnsi="Times New Roman" w:cs="Times New Roman"/>
          <w:sz w:val="24"/>
          <w:lang w:val="en-US" w:eastAsia="zh-CN"/>
        </w:rPr>
        <w:t>规定》）以及《民法典》相关条款。</w:t>
      </w:r>
      <w:bookmarkEnd w:id="74"/>
      <w:bookmarkEnd w:id="75"/>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bookmarkStart w:id="77" w:name="_Toc26892"/>
      <w:bookmarkStart w:id="78" w:name="_Toc28613"/>
      <w:r>
        <w:rPr>
          <w:rFonts w:hint="default" w:ascii="Times New Roman" w:hAnsi="Times New Roman" w:cs="Times New Roman"/>
          <w:sz w:val="24"/>
          <w:lang w:val="en-US" w:eastAsia="zh-CN"/>
        </w:rPr>
        <w:t>《婚姻家庭编解释（一）》第五条，它已成为彩礼返还制度的骨架。该条把《民法典》第一千零四十二条的</w:t>
      </w:r>
      <w:r>
        <w:rPr>
          <w:rFonts w:hint="eastAsia" w:ascii="Times New Roman" w:hAnsi="Times New Roman" w:cs="Times New Roman"/>
          <w:sz w:val="24"/>
          <w:lang w:val="en-US" w:eastAsia="zh-CN"/>
        </w:rPr>
        <w:t>禁止性规定</w:t>
      </w:r>
      <w:r>
        <w:rPr>
          <w:rFonts w:hint="default" w:ascii="Times New Roman" w:hAnsi="Times New Roman" w:cs="Times New Roman"/>
          <w:sz w:val="24"/>
          <w:lang w:val="en-US" w:eastAsia="zh-CN"/>
        </w:rPr>
        <w:t>细化为三类应当返还彩礼的典型场景，使抽象规定变成可供操作的标准，从而弥补了婚姻家庭编对彩礼规范不足的缺陷。不过，这一条款其实完全沿袭了原《婚姻法解释（二）》第十条的内容，并未针对彩礼返还纠纷作出更具体的分层规定。</w:t>
      </w:r>
      <w:bookmarkEnd w:id="77"/>
      <w:bookmarkEnd w:id="78"/>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彩礼适用规定是中华人民共和国首部专门就彩礼纠纷作出的司法解释，它把长期形成的有关彩礼纠纷审判实践中的经验进行系统的归纳和提炼。对于解释(一)第五条的突破性扩展充实了已经存在的规则体系，并且形成了一条有逻辑、有层次的法律结构。该条规定用反向排除规则来确定彩礼的范围，给司法实践提供重要的参考依据，在判断某些节庆或者仪式性的赠与行为是否属于彩礼时起到重要的指导作用。对于未办理结婚登记即同居生活或者婚后共同生活时间较短等特殊情况下彩礼返还问题，《规定》第一次作出了具体的规定，有效地填补了目前法律对这类情形处理的空白。就诉讼主体资格而言，增加了实际收受彩礼方父母的权利诉求，并且提倡依照地域风俗习惯以及双方的过错程度等要素审慎地作出裁判</w:t>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民法典》第十条规定了法官在处理彩礼纠纷时可以引用公序良俗的原则进行裁判，给司法实践处理彩礼纠纷提供了一个规范的指引。在这样的制度框架之下，法官可以依照社会主义核心价值观以及地方传统婚俗习惯来对彩礼金额的确定、共同生活时间的认定等具体事实进行合理的判断。根据《民法典》第一千零四十二条规定，禁止用婚姻家庭名义索取非自愿赠与的财物。在审理相关案件的时候，法院应当对彩礼给付行为是否具有强制性或者营利性质进行慎重审查，可以通过考察索要的数额是否明显超过当地习惯的标准、有无分期付款的情况等途径来加以判断。如果证据可以证明彩礼索取具有违法目的，那么无论当事人是否已经启动离婚诉讼或者解除同居关系程序，男方都可以向女方主张返还财产请求，并且会得到法律的支持。</w:t>
      </w:r>
    </w:p>
    <w:bookmarkEnd w:id="73"/>
    <w:p>
      <w:pPr>
        <w:keepNext w:val="0"/>
        <w:keepLines w:val="0"/>
        <w:pageBreakBefore w:val="0"/>
        <w:widowControl w:val="0"/>
        <w:kinsoku/>
        <w:wordWrap/>
        <w:overflowPunct/>
        <w:topLinePunct w:val="0"/>
        <w:autoSpaceDE/>
        <w:autoSpaceDN/>
        <w:bidi w:val="0"/>
        <w:adjustRightInd/>
        <w:snapToGrid w:val="0"/>
        <w:spacing w:before="480" w:after="360" w:line="400" w:lineRule="exact"/>
        <w:ind w:firstLine="643" w:firstLineChars="200"/>
        <w:textAlignment w:val="auto"/>
        <w:outlineLvl w:val="0"/>
        <w:rPr>
          <w:rFonts w:ascii="Times New Roman" w:hAnsi="Times New Roman"/>
          <w:b/>
          <w:bCs/>
          <w:color w:val="000000"/>
          <w:sz w:val="32"/>
          <w:szCs w:val="32"/>
          <w:shd w:val="clear" w:color="auto" w:fill="FFFFFF"/>
        </w:rPr>
      </w:pPr>
      <w:bookmarkStart w:id="79" w:name="_Toc15925"/>
      <w:bookmarkStart w:id="80" w:name="_Toc25388"/>
      <w:r>
        <w:rPr>
          <w:rFonts w:hint="eastAsia" w:ascii="Times New Roman" w:hAnsi="Times New Roman"/>
          <w:b/>
          <w:bCs/>
          <w:color w:val="000000"/>
          <w:sz w:val="32"/>
          <w:szCs w:val="32"/>
          <w:shd w:val="clear" w:color="auto" w:fill="FFFFFF"/>
          <w:lang w:val="en-US" w:eastAsia="zh-CN"/>
        </w:rPr>
        <w:br w:type="page"/>
      </w:r>
      <w:bookmarkStart w:id="81" w:name="_Toc3815"/>
      <w:r>
        <w:rPr>
          <w:rFonts w:hint="eastAsia" w:ascii="Times New Roman" w:hAnsi="Times New Roman"/>
          <w:b/>
          <w:bCs/>
          <w:color w:val="000000"/>
          <w:sz w:val="32"/>
          <w:szCs w:val="32"/>
          <w:shd w:val="clear" w:color="auto" w:fill="FFFFFF"/>
          <w:lang w:val="en-US" w:eastAsia="zh-CN"/>
        </w:rPr>
        <w:t>三、</w:t>
      </w:r>
      <w:r>
        <w:rPr>
          <w:rFonts w:hint="eastAsia" w:ascii="Times New Roman" w:hAnsi="Times New Roman"/>
          <w:b/>
          <w:bCs/>
          <w:color w:val="000000"/>
          <w:sz w:val="32"/>
          <w:szCs w:val="32"/>
          <w:shd w:val="clear" w:color="auto" w:fill="FFFFFF"/>
        </w:rPr>
        <w:t>湖南省中彩礼返还纠纷实证分析</w:t>
      </w:r>
      <w:bookmarkEnd w:id="79"/>
      <w:bookmarkEnd w:id="80"/>
      <w:bookmarkEnd w:id="81"/>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82" w:name="_Toc32241"/>
      <w:bookmarkStart w:id="83" w:name="_Toc31925"/>
      <w:bookmarkStart w:id="84" w:name="_Toc12161_WPSOffice_Level2"/>
      <w:bookmarkStart w:id="85" w:name="_Toc4287"/>
      <w:bookmarkStart w:id="86" w:name="_Toc21601"/>
      <w:bookmarkStart w:id="87" w:name="_Toc27043"/>
      <w:bookmarkStart w:id="88" w:name="_Toc12151"/>
      <w:bookmarkStart w:id="89" w:name="_Toc4792"/>
      <w:bookmarkStart w:id="90" w:name="_Toc20946"/>
      <w:bookmarkStart w:id="91" w:name="_Toc14582"/>
      <w:r>
        <w:rPr>
          <w:rFonts w:hint="eastAsia" w:ascii="Times New Roman" w:hAnsi="Times New Roman"/>
          <w:b/>
          <w:sz w:val="28"/>
          <w:szCs w:val="30"/>
          <w:shd w:val="clear" w:color="auto" w:fill="FFFFFF"/>
        </w:rPr>
        <w:t>（一）</w:t>
      </w:r>
      <w:bookmarkEnd w:id="82"/>
      <w:bookmarkEnd w:id="83"/>
      <w:bookmarkEnd w:id="84"/>
      <w:bookmarkEnd w:id="85"/>
      <w:bookmarkEnd w:id="86"/>
      <w:bookmarkEnd w:id="87"/>
      <w:bookmarkEnd w:id="88"/>
      <w:bookmarkEnd w:id="89"/>
      <w:r>
        <w:rPr>
          <w:rFonts w:hint="eastAsia" w:ascii="Times New Roman" w:hAnsi="Times New Roman"/>
          <w:b/>
          <w:sz w:val="28"/>
          <w:szCs w:val="30"/>
          <w:shd w:val="clear" w:color="auto" w:fill="FFFFFF"/>
        </w:rPr>
        <w:t>案例样本来源</w:t>
      </w:r>
      <w:bookmarkEnd w:id="90"/>
      <w:bookmarkEnd w:id="9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sz w:val="24"/>
        </w:rPr>
      </w:pPr>
      <w:bookmarkStart w:id="92" w:name="_Toc24466"/>
      <w:bookmarkStart w:id="93" w:name="_Toc26092"/>
      <w:bookmarkStart w:id="94" w:name="_Toc3518"/>
      <w:bookmarkStart w:id="95" w:name="_Toc31153"/>
      <w:bookmarkStart w:id="96" w:name="_Toc4425"/>
      <w:bookmarkStart w:id="97" w:name="_Toc2115"/>
      <w:bookmarkStart w:id="98" w:name="_Toc16328"/>
      <w:bookmarkStart w:id="99" w:name="_Toc20310"/>
      <w:bookmarkStart w:id="100" w:name="_Toc21598"/>
      <w:bookmarkStart w:id="101" w:name="_Toc482"/>
      <w:bookmarkStart w:id="102" w:name="_Toc13828"/>
      <w:bookmarkStart w:id="103" w:name="_Toc15530"/>
      <w:bookmarkStart w:id="104" w:name="_Toc12161_WPSOffice_Level3"/>
      <w:r>
        <w:rPr>
          <w:rFonts w:hint="eastAsia" w:ascii="Times New Roman" w:hAnsi="Times New Roman"/>
          <w:sz w:val="24"/>
        </w:rPr>
        <w:t>以</w:t>
      </w:r>
      <w:r>
        <w:rPr>
          <w:rFonts w:hint="eastAsia" w:ascii="Times New Roman" w:hAnsi="Times New Roman"/>
          <w:sz w:val="24"/>
          <w:lang w:val="en-US" w:eastAsia="zh-CN"/>
        </w:rPr>
        <w:t>湖</w:t>
      </w:r>
      <w:r>
        <w:rPr>
          <w:rFonts w:hint="eastAsia" w:ascii="Times New Roman" w:hAnsi="Times New Roman"/>
          <w:sz w:val="24"/>
        </w:rPr>
        <w:t>南省202</w:t>
      </w:r>
      <w:r>
        <w:rPr>
          <w:rFonts w:hint="eastAsia" w:ascii="Times New Roman" w:hAnsi="Times New Roman"/>
          <w:sz w:val="24"/>
          <w:lang w:val="en-US" w:eastAsia="zh-CN"/>
        </w:rPr>
        <w:t>5</w:t>
      </w:r>
      <w:r>
        <w:rPr>
          <w:rFonts w:hint="eastAsia" w:ascii="Times New Roman" w:hAnsi="Times New Roman"/>
          <w:sz w:val="24"/>
        </w:rPr>
        <w:t>年各地区</w:t>
      </w:r>
      <w:r>
        <w:rPr>
          <w:rFonts w:hint="eastAsia" w:ascii="Times New Roman" w:hAnsi="Times New Roman"/>
          <w:sz w:val="24"/>
          <w:lang w:val="en-US" w:eastAsia="zh-CN"/>
        </w:rPr>
        <w:t>76</w:t>
      </w:r>
      <w:r>
        <w:rPr>
          <w:rFonts w:hint="eastAsia" w:ascii="Times New Roman" w:hAnsi="Times New Roman"/>
          <w:sz w:val="24"/>
        </w:rPr>
        <w:t>份彩礼返还纠纷判决书为样本，开展实证研究。数据来源于中国裁判文书网，检索条件设定为：关键词“彩礼</w:t>
      </w:r>
      <w:r>
        <w:rPr>
          <w:rFonts w:hint="eastAsia" w:ascii="Times New Roman" w:hAnsi="Times New Roman"/>
          <w:sz w:val="24"/>
          <w:lang w:eastAsia="zh-CN"/>
        </w:rPr>
        <w:t>”“</w:t>
      </w:r>
      <w:r>
        <w:rPr>
          <w:rFonts w:hint="eastAsia" w:ascii="Times New Roman" w:hAnsi="Times New Roman"/>
          <w:sz w:val="24"/>
        </w:rPr>
        <w:t>返还”</w:t>
      </w:r>
      <w:r>
        <w:rPr>
          <w:rFonts w:hint="eastAsia" w:ascii="Times New Roman" w:hAnsi="Times New Roman"/>
          <w:sz w:val="24"/>
          <w:lang w:eastAsia="zh-CN"/>
        </w:rPr>
        <w:t>，</w:t>
      </w:r>
      <w:r>
        <w:rPr>
          <w:rFonts w:hint="eastAsia" w:ascii="Times New Roman" w:hAnsi="Times New Roman"/>
          <w:sz w:val="24"/>
        </w:rPr>
        <w:t>文书性质限定为“判决书”，地域及法院限定为“</w:t>
      </w:r>
      <w:r>
        <w:rPr>
          <w:rFonts w:hint="eastAsia" w:ascii="Times New Roman" w:hAnsi="Times New Roman"/>
          <w:sz w:val="24"/>
          <w:lang w:val="en-US" w:eastAsia="zh-CN"/>
        </w:rPr>
        <w:t>湖</w:t>
      </w:r>
      <w:r>
        <w:rPr>
          <w:rFonts w:hint="eastAsia" w:ascii="Times New Roman" w:hAnsi="Times New Roman"/>
          <w:sz w:val="24"/>
        </w:rPr>
        <w:t>南省（所有法院）”，时间限定为202</w:t>
      </w:r>
      <w:r>
        <w:rPr>
          <w:rFonts w:hint="eastAsia" w:ascii="Times New Roman" w:hAnsi="Times New Roman"/>
          <w:sz w:val="24"/>
          <w:lang w:val="en-US" w:eastAsia="zh-CN"/>
        </w:rPr>
        <w:t>5</w:t>
      </w:r>
      <w:r>
        <w:rPr>
          <w:rFonts w:hint="eastAsia" w:ascii="Times New Roman" w:hAnsi="Times New Roman"/>
          <w:sz w:val="24"/>
        </w:rPr>
        <w:t>年1月1日至202</w:t>
      </w:r>
      <w:r>
        <w:rPr>
          <w:rFonts w:hint="eastAsia" w:ascii="Times New Roman" w:hAnsi="Times New Roman"/>
          <w:sz w:val="24"/>
          <w:lang w:val="en-US" w:eastAsia="zh-CN"/>
        </w:rPr>
        <w:t>5</w:t>
      </w:r>
      <w:r>
        <w:rPr>
          <w:rFonts w:hint="eastAsia" w:ascii="Times New Roman" w:hAnsi="Times New Roman"/>
          <w:sz w:val="24"/>
        </w:rPr>
        <w:t>年12月31日</w:t>
      </w:r>
      <w:r>
        <w:rPr>
          <w:rFonts w:hint="eastAsia" w:ascii="Times New Roman" w:hAnsi="Times New Roman"/>
          <w:sz w:val="24"/>
          <w:lang w:eastAsia="zh-CN"/>
        </w:rPr>
        <w:t>，</w:t>
      </w:r>
      <w:r>
        <w:rPr>
          <w:rFonts w:hint="eastAsia" w:ascii="Times New Roman" w:hAnsi="Times New Roman"/>
          <w:sz w:val="24"/>
        </w:rPr>
        <w:t>筛选出</w:t>
      </w:r>
      <w:r>
        <w:rPr>
          <w:rFonts w:hint="eastAsia" w:ascii="Times New Roman" w:hAnsi="Times New Roman"/>
          <w:sz w:val="24"/>
          <w:lang w:val="en-US" w:eastAsia="zh-CN"/>
        </w:rPr>
        <w:t>78</w:t>
      </w:r>
      <w:r>
        <w:rPr>
          <w:rFonts w:hint="eastAsia" w:ascii="Times New Roman" w:hAnsi="Times New Roman"/>
          <w:sz w:val="24"/>
        </w:rPr>
        <w:t>份裁判文</w:t>
      </w:r>
      <w:r>
        <w:rPr>
          <w:rFonts w:hint="eastAsia" w:ascii="Times New Roman" w:hAnsi="Times New Roman"/>
          <w:sz w:val="24"/>
          <w:lang w:val="en-US" w:eastAsia="zh-CN"/>
        </w:rPr>
        <w:t>书。</w:t>
      </w:r>
      <w:bookmarkEnd w:id="92"/>
      <w:bookmarkEnd w:id="93"/>
      <w:bookmarkEnd w:id="94"/>
      <w:bookmarkEnd w:id="95"/>
      <w:bookmarkEnd w:id="96"/>
      <w:bookmarkEnd w:id="97"/>
    </w:p>
    <w:p>
      <w:pPr>
        <w:spacing w:before="480" w:after="120" w:line="400" w:lineRule="exact"/>
        <w:ind w:firstLine="562" w:firstLineChars="200"/>
        <w:outlineLvl w:val="1"/>
        <w:rPr>
          <w:rFonts w:hint="default" w:ascii="Times New Roman" w:hAnsi="Times New Roman" w:eastAsia="宋体" w:cs="Times New Roman"/>
          <w:b/>
          <w:sz w:val="28"/>
          <w:szCs w:val="30"/>
          <w:shd w:val="clear" w:color="auto" w:fill="FFFFFF"/>
          <w:lang w:val="en-US" w:eastAsia="zh-CN"/>
        </w:rPr>
      </w:pPr>
      <w:bookmarkStart w:id="105" w:name="_Toc24633"/>
      <w:bookmarkStart w:id="106" w:name="_Toc19989"/>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二</w:t>
      </w:r>
      <w:r>
        <w:rPr>
          <w:rFonts w:hint="eastAsia" w:ascii="Times New Roman" w:hAnsi="Times New Roman" w:eastAsia="宋体" w:cs="Times New Roman"/>
          <w:b/>
          <w:sz w:val="28"/>
          <w:szCs w:val="30"/>
          <w:shd w:val="clear" w:color="auto" w:fill="FFFFFF"/>
        </w:rPr>
        <w:t>）原被告诉讼主体类型</w:t>
      </w:r>
      <w:bookmarkEnd w:id="105"/>
      <w:r>
        <w:rPr>
          <w:rFonts w:hint="eastAsia" w:ascii="Times New Roman" w:hAnsi="Times New Roman" w:cs="Times New Roman"/>
          <w:b/>
          <w:sz w:val="28"/>
          <w:szCs w:val="30"/>
          <w:shd w:val="clear" w:color="auto" w:fill="FFFFFF"/>
          <w:lang w:eastAsia="zh-CN"/>
        </w:rPr>
        <w:t>的</w:t>
      </w:r>
      <w:r>
        <w:rPr>
          <w:rFonts w:hint="eastAsia" w:ascii="Times New Roman" w:hAnsi="Times New Roman" w:cs="Times New Roman"/>
          <w:b/>
          <w:sz w:val="28"/>
          <w:szCs w:val="30"/>
          <w:shd w:val="clear" w:color="auto" w:fill="FFFFFF"/>
          <w:lang w:val="en-US" w:eastAsia="zh-CN"/>
        </w:rPr>
        <w:t>多样化</w:t>
      </w:r>
      <w:bookmarkEnd w:id="106"/>
    </w:p>
    <w:bookmarkEnd w:id="98"/>
    <w:bookmarkEnd w:id="99"/>
    <w:bookmarkEnd w:id="100"/>
    <w:bookmarkEnd w:id="101"/>
    <w:bookmarkEnd w:id="102"/>
    <w:bookmarkEnd w:id="103"/>
    <w:bookmarkEnd w:id="104"/>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彩礼适用规定》第四条明确规定婚约一方及其实际给付彩礼的父母可以作为共同原告、婚约另一方及其实际接收彩礼的父母可以作为共同被告。对所收集的案例进行梳理发现，在彩礼纠纷案件中的原被告诉讼主体类型主要分为两类，具体情况如表1所示。</w:t>
      </w:r>
    </w:p>
    <w:p>
      <w:pPr>
        <w:keepNext w:val="0"/>
        <w:keepLines w:val="0"/>
        <w:pageBreakBefore w:val="0"/>
        <w:widowControl w:val="0"/>
        <w:kinsoku/>
        <w:wordWrap/>
        <w:overflowPunct/>
        <w:topLinePunct w:val="0"/>
        <w:autoSpaceDE/>
        <w:autoSpaceDN/>
        <w:bidi w:val="0"/>
        <w:adjustRightInd/>
        <w:snapToGrid/>
        <w:spacing w:before="240" w:after="120" w:line="240"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表1案例中原被告诉讼主体统计</w:t>
      </w:r>
    </w:p>
    <w:tbl>
      <w:tblPr>
        <w:tblStyle w:val="20"/>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9"/>
        <w:gridCol w:w="1133"/>
        <w:gridCol w:w="1409"/>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249" w:type="dxa"/>
            <w:tcBorders>
              <w:top w:val="single" w:color="000000" w:sz="8" w:space="0"/>
              <w:left w:val="nil"/>
              <w:bottom w:val="single" w:color="000000" w:sz="8" w:space="0"/>
              <w:right w:val="nil"/>
            </w:tcBorders>
            <w:noWrap w:val="0"/>
            <w:vAlign w:val="center"/>
          </w:tcPr>
          <w:p>
            <w:pPr>
              <w:keepNext w:val="0"/>
              <w:keepLines w:val="0"/>
              <w:widowControl/>
              <w:suppressLineNumbers w:val="0"/>
              <w:spacing w:before="0" w:beforeAutospacing="0" w:after="0" w:afterAutospacing="0" w:line="360" w:lineRule="auto"/>
              <w:ind w:left="0" w:right="0"/>
              <w:jc w:val="center"/>
              <w:rPr>
                <w:rFonts w:hint="eastAsia"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类型</w:t>
            </w:r>
          </w:p>
        </w:tc>
        <w:tc>
          <w:tcPr>
            <w:tcW w:w="1133"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案件数量</w:t>
            </w:r>
          </w:p>
        </w:tc>
        <w:tc>
          <w:tcPr>
            <w:tcW w:w="1409"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eastAsia"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比例</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249" w:type="dxa"/>
            <w:tcBorders>
              <w:top w:val="single" w:color="000000" w:sz="8"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男方与女方本人</w:t>
            </w:r>
          </w:p>
        </w:tc>
        <w:tc>
          <w:tcPr>
            <w:tcW w:w="1133" w:type="dxa"/>
            <w:tcBorders>
              <w:top w:val="single" w:color="000000" w:sz="8" w:space="0"/>
            </w:tcBorders>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33</w:t>
            </w:r>
            <w:r>
              <w:rPr>
                <w:rFonts w:hint="eastAsia" w:ascii="Times New Roman" w:hAnsi="Times New Roman" w:cs="Arial"/>
                <w:color w:val="000000"/>
                <w:kern w:val="0"/>
                <w:szCs w:val="21"/>
                <w:lang w:val="en-US" w:eastAsia="zh-CN"/>
              </w:rPr>
              <w:t>个</w:t>
            </w:r>
          </w:p>
        </w:tc>
        <w:tc>
          <w:tcPr>
            <w:tcW w:w="1409" w:type="dxa"/>
            <w:tcBorders>
              <w:top w:val="single" w:color="000000" w:sz="8" w:space="0"/>
            </w:tcBorders>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42.4%</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249" w:type="dxa"/>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男方与女方及其某一方或双方的父母</w:t>
            </w:r>
          </w:p>
        </w:tc>
        <w:tc>
          <w:tcPr>
            <w:tcW w:w="1133"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45</w:t>
            </w:r>
            <w:r>
              <w:rPr>
                <w:rFonts w:hint="eastAsia" w:ascii="Times New Roman" w:hAnsi="Times New Roman" w:cs="Arial"/>
                <w:color w:val="000000"/>
                <w:kern w:val="0"/>
                <w:szCs w:val="21"/>
                <w:lang w:val="en-US" w:eastAsia="zh-CN"/>
              </w:rPr>
              <w:t>个</w:t>
            </w:r>
          </w:p>
        </w:tc>
        <w:tc>
          <w:tcPr>
            <w:tcW w:w="1409"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57.6%</w:t>
            </w:r>
          </w:p>
        </w:tc>
      </w:tr>
    </w:tbl>
    <w:p>
      <w:pPr>
        <w:spacing w:line="400" w:lineRule="exact"/>
        <w:ind w:firstLine="480" w:firstLineChars="200"/>
        <w:rPr>
          <w:rFonts w:hint="default" w:ascii="Times New Roman" w:hAnsi="Times New Roman"/>
          <w:sz w:val="24"/>
          <w:lang w:val="en-US" w:eastAsia="zh-CN"/>
        </w:rPr>
      </w:pPr>
      <w:r>
        <w:rPr>
          <w:rFonts w:hint="eastAsia" w:ascii="Times New Roman" w:hAnsi="Times New Roman"/>
          <w:sz w:val="24"/>
          <w:lang w:val="en-US" w:eastAsia="zh-CN"/>
        </w:rPr>
        <w:t>如表1所示，“男方与女方本人”占比明显低于“男方与女方及其某一方或双方的父母”这一诉讼主体类型，这符合《彩礼适用规定》的立法目的，解决了双方父母能否参与诉讼的问题。在案件中男女双方作为订婚及婚姻缔结的核心主体，是彩礼给付与接收的直接当事人，通常作为原告与被告参与诉讼，由于彩礼的交付是以结婚为目的且男方大多数情况需要父母的帮助才能支付起彩礼，这导致男方父母作为共同原告的情况也较为常见。女方父母往往也是彩礼给付的见证人、保管人甚至是使用人，这导致将其纳入诉讼更加有利于查明案件事实和后续裁判的执行。如李某甲唐某赵某甲赵某乙婚约财产纠纷</w:t>
      </w:r>
      <w:r>
        <w:rPr>
          <w:rStyle w:val="24"/>
          <w:rFonts w:hint="eastAsia" w:ascii="Times New Roman" w:hAnsi="Times New Roman"/>
          <w:sz w:val="24"/>
          <w:lang w:val="en-US" w:eastAsia="zh-CN"/>
        </w:rPr>
        <w:footnoteReference w:id="17"/>
      </w:r>
      <w:r>
        <w:rPr>
          <w:rFonts w:hint="eastAsia" w:ascii="Times New Roman" w:hAnsi="Times New Roman"/>
          <w:sz w:val="24"/>
          <w:lang w:val="en-US" w:eastAsia="zh-CN"/>
        </w:rPr>
        <w:t>中女方及父母均参与诉讼。李某1李某2与贺某秦某婚约财产纠纷</w:t>
      </w:r>
      <w:r>
        <w:rPr>
          <w:rStyle w:val="24"/>
          <w:rFonts w:hint="eastAsia" w:ascii="Times New Roman" w:hAnsi="Times New Roman"/>
          <w:sz w:val="24"/>
          <w:lang w:val="en-US" w:eastAsia="zh-CN"/>
        </w:rPr>
        <w:footnoteReference w:id="18"/>
      </w:r>
      <w:r>
        <w:rPr>
          <w:rFonts w:hint="eastAsia" w:ascii="Times New Roman" w:hAnsi="Times New Roman"/>
          <w:sz w:val="24"/>
          <w:lang w:val="en-US" w:eastAsia="zh-CN"/>
        </w:rPr>
        <w:t>和谢某甲谢某乙袁某乙袁某甲罗某陈某婚约财产纠纷</w:t>
      </w:r>
      <w:r>
        <w:rPr>
          <w:rStyle w:val="24"/>
          <w:rFonts w:hint="eastAsia" w:ascii="Times New Roman" w:hAnsi="Times New Roman"/>
          <w:sz w:val="24"/>
          <w:lang w:val="en-US" w:eastAsia="zh-CN"/>
        </w:rPr>
        <w:footnoteReference w:id="19"/>
      </w:r>
      <w:r>
        <w:rPr>
          <w:rFonts w:hint="eastAsia" w:ascii="Times New Roman" w:hAnsi="Times New Roman"/>
          <w:sz w:val="24"/>
          <w:lang w:val="en-US" w:eastAsia="zh-CN"/>
        </w:rPr>
        <w:t>中男方请求法院将媒人当做被告和第三人参与诉讼。</w:t>
      </w:r>
    </w:p>
    <w:p>
      <w:pPr>
        <w:spacing w:before="480" w:after="120" w:line="400" w:lineRule="exact"/>
        <w:ind w:firstLine="562" w:firstLineChars="200"/>
        <w:outlineLvl w:val="1"/>
        <w:rPr>
          <w:rFonts w:hint="eastAsia" w:ascii="Times New Roman" w:hAnsi="Times New Roman" w:eastAsia="宋体" w:cs="Times New Roman"/>
          <w:b/>
          <w:sz w:val="28"/>
          <w:szCs w:val="30"/>
          <w:shd w:val="clear" w:color="auto" w:fill="FFFFFF"/>
          <w:lang w:val="en-US" w:eastAsia="zh-CN"/>
        </w:rPr>
      </w:pPr>
      <w:bookmarkStart w:id="107" w:name="_Toc9014"/>
      <w:bookmarkStart w:id="108" w:name="_Toc21314"/>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三</w:t>
      </w:r>
      <w:r>
        <w:rPr>
          <w:rFonts w:hint="eastAsia" w:ascii="Times New Roman" w:hAnsi="Times New Roman" w:eastAsia="宋体" w:cs="Times New Roman"/>
          <w:b/>
          <w:sz w:val="28"/>
          <w:szCs w:val="30"/>
          <w:shd w:val="clear" w:color="auto" w:fill="FFFFFF"/>
        </w:rPr>
        <w:t>）彩礼认定范围</w:t>
      </w:r>
      <w:r>
        <w:rPr>
          <w:rFonts w:hint="eastAsia" w:ascii="Times New Roman" w:hAnsi="Times New Roman" w:cs="Times New Roman"/>
          <w:b/>
          <w:sz w:val="28"/>
          <w:szCs w:val="30"/>
          <w:shd w:val="clear" w:color="auto" w:fill="FFFFFF"/>
          <w:lang w:eastAsia="zh-CN"/>
        </w:rPr>
        <w:t>的</w:t>
      </w:r>
      <w:r>
        <w:rPr>
          <w:rFonts w:hint="eastAsia" w:ascii="Times New Roman" w:hAnsi="Times New Roman" w:eastAsia="宋体" w:cs="Times New Roman"/>
          <w:b/>
          <w:sz w:val="28"/>
          <w:szCs w:val="30"/>
          <w:shd w:val="clear" w:color="auto" w:fill="FFFFFF"/>
        </w:rPr>
        <w:t>差异</w:t>
      </w:r>
      <w:bookmarkEnd w:id="107"/>
      <w:r>
        <w:rPr>
          <w:rFonts w:hint="eastAsia" w:ascii="Times New Roman" w:hAnsi="Times New Roman" w:cs="Times New Roman"/>
          <w:b/>
          <w:sz w:val="28"/>
          <w:szCs w:val="30"/>
          <w:shd w:val="clear" w:color="auto" w:fill="FFFFFF"/>
          <w:lang w:val="en-US" w:eastAsia="zh-CN"/>
        </w:rPr>
        <w:t>性</w:t>
      </w:r>
      <w:bookmarkEnd w:id="108"/>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湖南各地彩礼习俗不同进而导致彩礼种类不同，男方给予女方的财物哪些部分可以认定为彩礼是裁判的核心与难点，需要法官结合案件具体事实和相关法律规定来解决纠纷，《彩礼适用规定》第三条对彩礼的范围进行反向列举，明确了认定彩礼的裁判规则和判断方法。</w:t>
      </w:r>
    </w:p>
    <w:p>
      <w:pPr>
        <w:spacing w:line="400" w:lineRule="exact"/>
        <w:ind w:firstLine="480" w:firstLineChars="200"/>
        <w:rPr>
          <w:rFonts w:hint="default" w:ascii="Times New Roman" w:hAnsi="Times New Roman"/>
          <w:sz w:val="24"/>
          <w:lang w:val="en-US" w:eastAsia="zh-CN"/>
        </w:rPr>
      </w:pPr>
      <w:r>
        <w:rPr>
          <w:rFonts w:hint="eastAsia" w:ascii="Times New Roman" w:hAnsi="Times New Roman"/>
          <w:sz w:val="24"/>
          <w:lang w:val="en-US" w:eastAsia="zh-CN"/>
        </w:rPr>
        <w:t>从样本案例来看，各地法院对于男方明确为彩礼的大额给付及三金在实务中不存在争议，但其他款项的具体适用中仍存在显著分歧。对于第三条中“价值不大”各法院存在分歧，如刘某与李某一审民事判决书</w:t>
      </w:r>
      <w:r>
        <w:rPr>
          <w:rStyle w:val="24"/>
          <w:rFonts w:hint="eastAsia" w:ascii="Times New Roman" w:hAnsi="Times New Roman"/>
          <w:sz w:val="24"/>
          <w:lang w:val="en-US" w:eastAsia="zh-CN"/>
        </w:rPr>
        <w:footnoteReference w:id="20"/>
      </w:r>
      <w:r>
        <w:rPr>
          <w:rFonts w:hint="eastAsia" w:ascii="Times New Roman" w:hAnsi="Times New Roman"/>
          <w:sz w:val="24"/>
          <w:lang w:val="en-US" w:eastAsia="zh-CN"/>
        </w:rPr>
        <w:t>中法官结合岳阳地区的收入水平及双方的经济收入水平将原、被告互相转账的款项单笔金额未超过10,000元或在特殊日期的转账金额认定为赠与或恋爱期间的共同消费。在彭某孟某婚约财产纠纷</w:t>
      </w:r>
      <w:r>
        <w:rPr>
          <w:rStyle w:val="24"/>
          <w:rFonts w:hint="eastAsia" w:ascii="Times New Roman" w:hAnsi="Times New Roman"/>
          <w:sz w:val="24"/>
          <w:lang w:val="en-US" w:eastAsia="zh-CN"/>
        </w:rPr>
        <w:footnoteReference w:id="21"/>
      </w:r>
      <w:r>
        <w:rPr>
          <w:rFonts w:hint="eastAsia" w:ascii="Times New Roman" w:hAnsi="Times New Roman"/>
          <w:sz w:val="24"/>
          <w:lang w:val="en-US" w:eastAsia="zh-CN"/>
        </w:rPr>
        <w:t>中法官将十笔款项在1000元以上认定为彩礼，二者都是在恋爱期间的赠与且未办理结婚登记手续。</w:t>
      </w:r>
    </w:p>
    <w:p>
      <w:pPr>
        <w:numPr>
          <w:ilvl w:val="0"/>
          <w:numId w:val="0"/>
        </w:numPr>
        <w:spacing w:line="400" w:lineRule="exact"/>
        <w:ind w:firstLine="480" w:firstLineChars="200"/>
        <w:rPr>
          <w:rFonts w:hint="default"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对于见面礼、订婚相关费用等同样存在同案不同判的情况，如周某与稂某一审民事判决书</w:t>
      </w:r>
      <w:r>
        <w:rPr>
          <w:rStyle w:val="24"/>
          <w:rFonts w:hint="eastAsia" w:ascii="Times New Roman" w:hAnsi="Times New Roman" w:cs="Times New Roman"/>
          <w:kern w:val="2"/>
          <w:sz w:val="24"/>
          <w:szCs w:val="24"/>
          <w:lang w:val="en-US" w:eastAsia="zh-CN" w:bidi="ar-SA"/>
        </w:rPr>
        <w:footnoteReference w:id="22"/>
      </w:r>
      <w:r>
        <w:rPr>
          <w:rFonts w:hint="eastAsia" w:ascii="Times New Roman" w:hAnsi="Times New Roman" w:cs="Times New Roman"/>
          <w:kern w:val="2"/>
          <w:sz w:val="24"/>
          <w:szCs w:val="24"/>
          <w:lang w:val="en-US" w:eastAsia="zh-CN" w:bidi="ar-SA"/>
        </w:rPr>
        <w:t>中，法院将见面礼、房屋装修款、金器、搬家礼金、婚纱照费用均认定为彩礼。在周某甲周某乙蒋某袁某王某婚约财产纠纷</w:t>
      </w:r>
      <w:r>
        <w:rPr>
          <w:rStyle w:val="24"/>
          <w:rFonts w:hint="eastAsia" w:ascii="Times New Roman" w:hAnsi="Times New Roman" w:cs="Times New Roman"/>
          <w:kern w:val="2"/>
          <w:sz w:val="24"/>
          <w:szCs w:val="24"/>
          <w:lang w:val="en-US" w:eastAsia="zh-CN" w:bidi="ar-SA"/>
        </w:rPr>
        <w:footnoteReference w:id="23"/>
      </w:r>
      <w:r>
        <w:rPr>
          <w:rFonts w:hint="eastAsia" w:ascii="Times New Roman" w:hAnsi="Times New Roman" w:cs="Times New Roman"/>
          <w:kern w:val="2"/>
          <w:sz w:val="24"/>
          <w:szCs w:val="24"/>
          <w:lang w:val="en-US" w:eastAsia="zh-CN" w:bidi="ar-SA"/>
        </w:rPr>
        <w:t>中，法院将给亲属的红包、改口费（性质类似见面礼）、婚纱照费用不认定为彩礼。</w:t>
      </w:r>
    </w:p>
    <w:p>
      <w:pPr>
        <w:numPr>
          <w:ilvl w:val="0"/>
          <w:numId w:val="0"/>
        </w:numPr>
        <w:spacing w:line="400" w:lineRule="exact"/>
        <w:ind w:firstLine="480" w:firstLineChars="200"/>
        <w:rPr>
          <w:rFonts w:hint="default"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作为地方性民间规范的重要体现形式，彩礼所包含的要素、种类、评判标准等各方面在不同的地方存在差异。在司法实践中，各个法院对于涉彩礼纠纷的处理要全面考虑当地风俗习惯，并且必须严格按照当地风俗习惯来做出裁判，这是裁判规则地方化的表现。就“价值不大”或者“日常消费性支出”而言，其界定不清的问题在不同的审判主体之间会存在主观上的差异，进而造成同一案件在不同审判主体面前作出不同的裁判结论。</w:t>
      </w:r>
    </w:p>
    <w:p>
      <w:pPr>
        <w:spacing w:before="480" w:after="120" w:line="400" w:lineRule="exact"/>
        <w:ind w:firstLine="562" w:firstLineChars="200"/>
        <w:outlineLvl w:val="1"/>
        <w:rPr>
          <w:rFonts w:hint="default" w:ascii="Times New Roman" w:hAnsi="Times New Roman" w:eastAsia="宋体" w:cs="Times New Roman"/>
          <w:b/>
          <w:sz w:val="28"/>
          <w:szCs w:val="30"/>
          <w:shd w:val="clear" w:color="auto" w:fill="FFFFFF"/>
          <w:lang w:val="en-US" w:eastAsia="zh-CN"/>
        </w:rPr>
      </w:pPr>
      <w:bookmarkStart w:id="109" w:name="_Toc903"/>
      <w:bookmarkStart w:id="110" w:name="_Toc15055"/>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四</w:t>
      </w:r>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返还比例参考因素</w:t>
      </w:r>
      <w:bookmarkEnd w:id="109"/>
      <w:r>
        <w:rPr>
          <w:rFonts w:hint="eastAsia" w:ascii="Times New Roman" w:hAnsi="Times New Roman" w:cs="Times New Roman"/>
          <w:b/>
          <w:sz w:val="28"/>
          <w:szCs w:val="30"/>
          <w:shd w:val="clear" w:color="auto" w:fill="FFFFFF"/>
          <w:lang w:val="en-US" w:eastAsia="zh-CN"/>
        </w:rPr>
        <w:t>适用的复杂性</w:t>
      </w:r>
      <w:bookmarkEnd w:id="110"/>
    </w:p>
    <w:p>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婚约财产纠纷案件中彩礼返还的合法性以及具体的数额认定，属于司法实践中比较突出的问题。自从最高人民法院发布了《彩礼适用规定》之后，全国各地的法院对于此类案件的处理也渐渐形成了较为完整的裁判规则体系。根据该解释第五条、六条的规定，在双方未办理结婚登记或者短暂同居、婚姻关系存续期间很短且彩礼支付数额较大时，法院应结合诸多因素来确定彩礼返还的比例范围。</w:t>
      </w:r>
    </w:p>
    <w:p>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共同生活情况是影响返还比例最核心、权重最高的因素。其内涵不仅指物理空间上的同居，更强调双方形成稳定亲密关系、相互扶持的实质状态。本文选取了78个案例样本，把</w:t>
      </w:r>
      <w:r>
        <w:rPr>
          <w:rFonts w:hint="eastAsia" w:ascii="Times New Roman" w:hAnsi="Times New Roman" w:cs="Times New Roman"/>
          <w:sz w:val="24"/>
          <w:lang w:val="en-US" w:eastAsia="zh-CN"/>
        </w:rPr>
        <w:t>当事人</w:t>
      </w:r>
      <w:r>
        <w:rPr>
          <w:rFonts w:hint="eastAsia" w:ascii="Times New Roman" w:hAnsi="Times New Roman" w:eastAsia="宋体" w:cs="Times New Roman"/>
          <w:sz w:val="24"/>
        </w:rPr>
        <w:t>共同生活时</w:t>
      </w:r>
      <w:r>
        <w:rPr>
          <w:rFonts w:hint="eastAsia" w:ascii="Times New Roman" w:hAnsi="Times New Roman" w:cs="Times New Roman"/>
          <w:sz w:val="24"/>
          <w:lang w:val="en-US" w:eastAsia="zh-CN"/>
        </w:rPr>
        <w:t>长</w:t>
      </w:r>
      <w:r>
        <w:rPr>
          <w:rFonts w:hint="eastAsia" w:ascii="Times New Roman" w:hAnsi="Times New Roman" w:eastAsia="宋体" w:cs="Times New Roman"/>
          <w:sz w:val="24"/>
        </w:rPr>
        <w:t>以六个月为单位分段，计算出各个时段彩礼返还金额的平均值，来探究共同生活时长和彩礼返还额度之间的内在联系（具体数据见表2）。</w:t>
      </w:r>
    </w:p>
    <w:p>
      <w:pPr>
        <w:keepNext w:val="0"/>
        <w:keepLines w:val="0"/>
        <w:pageBreakBefore w:val="0"/>
        <w:widowControl w:val="0"/>
        <w:kinsoku/>
        <w:wordWrap/>
        <w:overflowPunct/>
        <w:topLinePunct w:val="0"/>
        <w:autoSpaceDE/>
        <w:autoSpaceDN/>
        <w:bidi w:val="0"/>
        <w:adjustRightInd/>
        <w:snapToGrid/>
        <w:spacing w:before="240" w:after="120" w:line="240"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表2共同生活时长对返还比例的影响情况统计</w:t>
      </w:r>
    </w:p>
    <w:tbl>
      <w:tblPr>
        <w:tblStyle w:val="20"/>
        <w:tblW w:w="8626"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68"/>
        <w:gridCol w:w="1466"/>
        <w:gridCol w:w="1125"/>
        <w:gridCol w:w="1867"/>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tcBorders>
              <w:top w:val="single" w:color="000000" w:sz="8" w:space="0"/>
              <w:left w:val="nil"/>
              <w:bottom w:val="single" w:color="000000" w:sz="8" w:space="0"/>
              <w:right w:val="nil"/>
            </w:tcBorders>
            <w:noWrap w:val="0"/>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bookmarkStart w:id="111" w:name="OLE_LINK2"/>
            <w:r>
              <w:rPr>
                <w:rFonts w:hint="eastAsia" w:ascii="Times New Roman" w:hAnsi="Times New Roman" w:eastAsia="宋体" w:cs="Arial"/>
                <w:b/>
                <w:bCs/>
                <w:color w:val="000000"/>
                <w:kern w:val="0"/>
                <w:szCs w:val="21"/>
                <w:lang w:val="en-US" w:eastAsia="zh-CN"/>
              </w:rPr>
              <w:t>共同生活时长</w:t>
            </w:r>
            <w:bookmarkEnd w:id="111"/>
          </w:p>
        </w:tc>
        <w:tc>
          <w:tcPr>
            <w:tcW w:w="1466"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案件数量</w:t>
            </w:r>
          </w:p>
        </w:tc>
        <w:tc>
          <w:tcPr>
            <w:tcW w:w="1125"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eastAsia" w:ascii="Times New Roman" w:hAnsi="Times New Roman" w:eastAsia="宋体" w:cs="Arial"/>
                <w:b/>
                <w:bCs/>
                <w:color w:val="000000"/>
                <w:kern w:val="0"/>
                <w:szCs w:val="21"/>
                <w:lang w:val="en-US" w:eastAsia="zh-CN"/>
              </w:rPr>
            </w:pPr>
            <w:r>
              <w:rPr>
                <w:rFonts w:hint="eastAsia" w:ascii="Times New Roman" w:hAnsi="Times New Roman" w:cs="Arial"/>
                <w:b/>
                <w:bCs/>
                <w:color w:val="000000"/>
                <w:kern w:val="0"/>
                <w:szCs w:val="21"/>
                <w:lang w:val="en-US" w:eastAsia="zh-CN"/>
              </w:rPr>
              <w:t>平均</w:t>
            </w:r>
            <w:r>
              <w:rPr>
                <w:rFonts w:hint="eastAsia" w:ascii="Times New Roman" w:hAnsi="Times New Roman" w:eastAsia="宋体" w:cs="Arial"/>
                <w:b/>
                <w:bCs/>
                <w:color w:val="000000"/>
                <w:kern w:val="0"/>
                <w:szCs w:val="21"/>
                <w:lang w:val="en-US" w:eastAsia="zh-CN"/>
              </w:rPr>
              <w:t>比例</w:t>
            </w:r>
          </w:p>
        </w:tc>
        <w:tc>
          <w:tcPr>
            <w:tcW w:w="1867"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返还比例</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tcBorders>
              <w:top w:val="single" w:color="000000" w:sz="8"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bookmarkStart w:id="112" w:name="OLE_LINK5"/>
            <w:r>
              <w:rPr>
                <w:rFonts w:hint="default" w:ascii="Times New Roman" w:hAnsi="Times New Roman" w:eastAsia="宋体" w:cs="Arial"/>
                <w:color w:val="000000"/>
                <w:kern w:val="0"/>
                <w:szCs w:val="21"/>
                <w:lang w:val="en-US" w:eastAsia="zh-CN"/>
              </w:rPr>
              <w:t>未共同生活或极短期（&lt;1个月）</w:t>
            </w:r>
            <w:bookmarkEnd w:id="112"/>
          </w:p>
        </w:tc>
        <w:tc>
          <w:tcPr>
            <w:tcW w:w="1466" w:type="dxa"/>
            <w:tcBorders>
              <w:top w:val="single" w:color="000000" w:sz="8" w:space="0"/>
            </w:tcBorders>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26</w:t>
            </w:r>
            <w:r>
              <w:rPr>
                <w:rFonts w:hint="eastAsia" w:ascii="Times New Roman" w:hAnsi="Times New Roman" w:cs="Arial"/>
                <w:color w:val="000000"/>
                <w:kern w:val="0"/>
                <w:szCs w:val="21"/>
                <w:lang w:val="en-US" w:eastAsia="zh-CN"/>
              </w:rPr>
              <w:t>个</w:t>
            </w:r>
          </w:p>
        </w:tc>
        <w:tc>
          <w:tcPr>
            <w:tcW w:w="1125" w:type="dxa"/>
            <w:tcBorders>
              <w:top w:val="single" w:color="000000" w:sz="8" w:space="0"/>
            </w:tcBorders>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72%</w:t>
            </w:r>
          </w:p>
        </w:tc>
        <w:tc>
          <w:tcPr>
            <w:tcW w:w="1867" w:type="dxa"/>
            <w:tcBorders>
              <w:top w:val="single" w:color="000000" w:sz="8" w:space="0"/>
            </w:tcBorders>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0</w:t>
            </w:r>
            <w:r>
              <w:rPr>
                <w:rFonts w:hint="eastAsia" w:ascii="Times New Roman" w:hAnsi="Times New Roman" w:eastAsia="宋体" w:cs="Arial"/>
                <w:color w:val="000000"/>
                <w:kern w:val="0"/>
                <w:szCs w:val="21"/>
                <w:lang w:val="en-US" w:eastAsia="zh-CN"/>
              </w:rPr>
              <w:t>%</w:t>
            </w:r>
            <w:r>
              <w:rPr>
                <w:rFonts w:hint="eastAsia" w:ascii="Times New Roman" w:hAnsi="Times New Roman" w:cs="Arial"/>
                <w:color w:val="000000"/>
                <w:kern w:val="0"/>
                <w:szCs w:val="21"/>
                <w:lang w:val="en-US" w:eastAsia="zh-CN"/>
              </w:rPr>
              <w:t>-</w:t>
            </w:r>
            <w:r>
              <w:rPr>
                <w:rFonts w:hint="eastAsia" w:ascii="Times New Roman" w:hAnsi="Times New Roman" w:eastAsia="宋体" w:cs="Arial"/>
                <w:color w:val="000000"/>
                <w:kern w:val="0"/>
                <w:szCs w:val="21"/>
                <w:lang w:val="en-US" w:eastAsia="zh-CN"/>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bookmarkStart w:id="113" w:name="OLE_LINK25"/>
            <w:r>
              <w:rPr>
                <w:rFonts w:hint="default" w:ascii="Times New Roman" w:hAnsi="Times New Roman" w:eastAsia="宋体" w:cs="Arial"/>
                <w:color w:val="000000"/>
                <w:kern w:val="0"/>
                <w:szCs w:val="21"/>
                <w:lang w:val="en-US" w:eastAsia="zh-CN"/>
              </w:rPr>
              <w:t>短期共同生活（1个月至1年）</w:t>
            </w:r>
            <w:bookmarkEnd w:id="113"/>
          </w:p>
        </w:tc>
        <w:tc>
          <w:tcPr>
            <w:tcW w:w="1466"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24</w:t>
            </w:r>
            <w:r>
              <w:rPr>
                <w:rFonts w:hint="eastAsia" w:ascii="Times New Roman" w:hAnsi="Times New Roman" w:cs="Arial"/>
                <w:color w:val="000000"/>
                <w:kern w:val="0"/>
                <w:szCs w:val="21"/>
                <w:lang w:val="en-US" w:eastAsia="zh-CN"/>
              </w:rPr>
              <w:t>个</w:t>
            </w:r>
          </w:p>
        </w:tc>
        <w:tc>
          <w:tcPr>
            <w:tcW w:w="1125"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66%</w:t>
            </w:r>
          </w:p>
        </w:tc>
        <w:tc>
          <w:tcPr>
            <w:tcW w:w="1867"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0</w:t>
            </w:r>
            <w:r>
              <w:rPr>
                <w:rFonts w:hint="eastAsia" w:ascii="Times New Roman" w:hAnsi="Times New Roman" w:eastAsia="宋体" w:cs="Arial"/>
                <w:color w:val="000000"/>
                <w:kern w:val="0"/>
                <w:szCs w:val="21"/>
                <w:lang w:val="en-US" w:eastAsia="zh-CN"/>
              </w:rPr>
              <w:t>%</w:t>
            </w:r>
            <w:r>
              <w:rPr>
                <w:rFonts w:hint="eastAsia" w:ascii="Times New Roman" w:hAnsi="Times New Roman" w:cs="Arial"/>
                <w:color w:val="000000"/>
                <w:kern w:val="0"/>
                <w:szCs w:val="21"/>
                <w:lang w:val="en-US" w:eastAsia="zh-CN"/>
              </w:rPr>
              <w:t>-100</w:t>
            </w:r>
            <w:r>
              <w:rPr>
                <w:rFonts w:hint="eastAsia" w:ascii="Times New Roman" w:hAnsi="Times New Roman" w:eastAsia="宋体" w:cs="Arial"/>
                <w:color w:val="000000"/>
                <w:kern w:val="0"/>
                <w:szCs w:val="21"/>
                <w:lang w:val="en-US" w:eastAsia="zh-CN"/>
              </w:rPr>
              <w:t>%</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noWrap w:val="0"/>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宋体" w:cs="Arial"/>
                <w:color w:val="000000"/>
                <w:kern w:val="0"/>
                <w:szCs w:val="21"/>
                <w:lang w:val="en-US" w:eastAsia="zh-CN"/>
              </w:rPr>
            </w:pPr>
            <w:bookmarkStart w:id="114" w:name="OLE_LINK17"/>
            <w:r>
              <w:rPr>
                <w:rFonts w:hint="eastAsia" w:ascii="Times New Roman" w:hAnsi="Times New Roman" w:eastAsia="宋体" w:cs="Arial"/>
                <w:color w:val="000000"/>
                <w:kern w:val="0"/>
                <w:szCs w:val="21"/>
                <w:lang w:val="en-US" w:eastAsia="zh-CN"/>
              </w:rPr>
              <w:t>中长期共同生活（1年至3年）</w:t>
            </w:r>
            <w:bookmarkEnd w:id="114"/>
          </w:p>
        </w:tc>
        <w:tc>
          <w:tcPr>
            <w:tcW w:w="1466"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2</w:t>
            </w:r>
            <w:r>
              <w:rPr>
                <w:rFonts w:hint="eastAsia" w:ascii="Times New Roman" w:hAnsi="Times New Roman" w:cs="Arial"/>
                <w:color w:val="000000"/>
                <w:kern w:val="0"/>
                <w:szCs w:val="21"/>
                <w:lang w:val="en-US" w:eastAsia="zh-CN"/>
              </w:rPr>
              <w:t>5个</w:t>
            </w:r>
          </w:p>
        </w:tc>
        <w:tc>
          <w:tcPr>
            <w:tcW w:w="1125"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45%</w:t>
            </w:r>
          </w:p>
        </w:tc>
        <w:tc>
          <w:tcPr>
            <w:tcW w:w="1867"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0</w:t>
            </w:r>
            <w:r>
              <w:rPr>
                <w:rFonts w:hint="eastAsia" w:ascii="Times New Roman" w:hAnsi="Times New Roman" w:eastAsia="宋体" w:cs="Arial"/>
                <w:color w:val="000000"/>
                <w:kern w:val="0"/>
                <w:szCs w:val="21"/>
                <w:lang w:val="en-US" w:eastAsia="zh-CN"/>
              </w:rPr>
              <w:t>%</w:t>
            </w:r>
            <w:r>
              <w:rPr>
                <w:rFonts w:hint="eastAsia" w:ascii="Times New Roman" w:hAnsi="Times New Roman" w:cs="Arial"/>
                <w:color w:val="000000"/>
                <w:kern w:val="0"/>
                <w:szCs w:val="21"/>
                <w:lang w:val="en-US" w:eastAsia="zh-CN"/>
              </w:rPr>
              <w:t>-</w:t>
            </w:r>
            <w:r>
              <w:rPr>
                <w:rFonts w:hint="eastAsia" w:ascii="Times New Roman" w:hAnsi="Times New Roman" w:eastAsia="宋体" w:cs="Arial"/>
                <w:color w:val="000000"/>
                <w:kern w:val="0"/>
                <w:szCs w:val="21"/>
                <w:lang w:val="en-US" w:eastAsia="zh-CN"/>
              </w:rPr>
              <w:t>95%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4168" w:type="dxa"/>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rPr>
            </w:pPr>
            <w:bookmarkStart w:id="115" w:name="OLE_LINK18"/>
            <w:r>
              <w:rPr>
                <w:rFonts w:hint="eastAsia" w:ascii="Times New Roman" w:hAnsi="Times New Roman" w:eastAsia="宋体" w:cs="Arial"/>
                <w:color w:val="000000"/>
                <w:kern w:val="0"/>
                <w:szCs w:val="21"/>
              </w:rPr>
              <w:t>长期稳定共同生活（&gt;3年）</w:t>
            </w:r>
            <w:bookmarkEnd w:id="115"/>
          </w:p>
        </w:tc>
        <w:tc>
          <w:tcPr>
            <w:tcW w:w="1466"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3个</w:t>
            </w:r>
          </w:p>
        </w:tc>
        <w:tc>
          <w:tcPr>
            <w:tcW w:w="1125"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35%</w:t>
            </w:r>
          </w:p>
        </w:tc>
        <w:tc>
          <w:tcPr>
            <w:tcW w:w="1867"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0%</w:t>
            </w:r>
            <w:r>
              <w:rPr>
                <w:rFonts w:hint="eastAsia" w:ascii="Times New Roman" w:hAnsi="Times New Roman" w:cs="Arial"/>
                <w:color w:val="000000"/>
                <w:kern w:val="0"/>
                <w:szCs w:val="21"/>
                <w:lang w:val="en-US" w:eastAsia="zh-CN"/>
              </w:rPr>
              <w:t>-</w:t>
            </w:r>
            <w:r>
              <w:rPr>
                <w:rFonts w:hint="eastAsia" w:ascii="Times New Roman" w:hAnsi="Times New Roman" w:eastAsia="宋体" w:cs="Arial"/>
                <w:color w:val="000000"/>
                <w:kern w:val="0"/>
                <w:szCs w:val="21"/>
                <w:lang w:val="en-US" w:eastAsia="zh-CN"/>
              </w:rPr>
              <w:t>70%</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如表2所示，共同生活时长与返还比例的高低没有必然的联系，但是总体上彩礼返还比例还是随着共同生活时长增加。在何某甲陈某甲婚约财产纠纷</w:t>
      </w:r>
      <w:r>
        <w:rPr>
          <w:rStyle w:val="24"/>
          <w:rFonts w:hint="eastAsia" w:ascii="Times New Roman" w:hAnsi="Times New Roman" w:cs="Times New Roman"/>
          <w:kern w:val="2"/>
          <w:sz w:val="24"/>
          <w:szCs w:val="24"/>
          <w:lang w:val="en-US" w:eastAsia="zh-CN" w:bidi="ar-SA"/>
        </w:rPr>
        <w:footnoteReference w:id="24"/>
      </w:r>
      <w:r>
        <w:rPr>
          <w:rFonts w:hint="eastAsia" w:ascii="Times New Roman" w:hAnsi="Times New Roman" w:cs="Times New Roman"/>
          <w:kern w:val="2"/>
          <w:sz w:val="24"/>
          <w:szCs w:val="24"/>
          <w:lang w:val="en-US" w:eastAsia="zh-CN" w:bidi="ar-SA"/>
        </w:rPr>
        <w:t>中双方未登记结婚，但已实际同居生活并育有一子，共同生活时间约3年，法院驳回了男方的诉讼请求，返还比例为零。</w:t>
      </w:r>
      <w:r>
        <w:rPr>
          <w:rFonts w:hint="default" w:ascii="Times New Roman" w:hAnsi="Times New Roman"/>
          <w:sz w:val="24"/>
          <w:lang w:val="en-US" w:eastAsia="zh-CN"/>
        </w:rPr>
        <w:t>瞿某田某雷某婚约财产纠纷</w:t>
      </w:r>
      <w:r>
        <w:rPr>
          <w:rStyle w:val="24"/>
          <w:rFonts w:hint="default" w:ascii="Times New Roman" w:hAnsi="Times New Roman"/>
          <w:sz w:val="24"/>
          <w:lang w:val="en-US" w:eastAsia="zh-CN"/>
        </w:rPr>
        <w:footnoteReference w:id="25"/>
      </w:r>
      <w:r>
        <w:rPr>
          <w:rFonts w:hint="eastAsia" w:ascii="Times New Roman" w:hAnsi="Times New Roman"/>
          <w:sz w:val="24"/>
          <w:lang w:val="en-US" w:eastAsia="zh-CN"/>
        </w:rPr>
        <w:t>中同理，基于双方共同生活两年半直接驳回了男方请求。但这并不绝对，在</w:t>
      </w:r>
      <w:r>
        <w:rPr>
          <w:rFonts w:hint="default" w:ascii="Times New Roman" w:hAnsi="Times New Roman" w:eastAsia="宋体" w:cs="Times New Roman"/>
          <w:kern w:val="2"/>
          <w:sz w:val="24"/>
          <w:szCs w:val="24"/>
          <w:lang w:val="en-US" w:eastAsia="zh-CN" w:bidi="ar-SA"/>
        </w:rPr>
        <w:t>文某肖某甲肖某甲曾某唐某甲唐某乙婚约财产纠纷</w:t>
      </w:r>
      <w:r>
        <w:rPr>
          <w:rStyle w:val="24"/>
          <w:rFonts w:hint="default" w:ascii="Times New Roman" w:hAnsi="Times New Roman" w:eastAsia="宋体" w:cs="Times New Roman"/>
          <w:kern w:val="2"/>
          <w:sz w:val="24"/>
          <w:szCs w:val="24"/>
          <w:lang w:val="en-US" w:eastAsia="zh-CN" w:bidi="ar-SA"/>
        </w:rPr>
        <w:footnoteReference w:id="26"/>
      </w:r>
      <w:r>
        <w:rPr>
          <w:rFonts w:hint="eastAsia" w:ascii="Times New Roman" w:hAnsi="Times New Roman"/>
          <w:sz w:val="24"/>
          <w:lang w:val="en-US" w:eastAsia="zh-CN"/>
        </w:rPr>
        <w:t>中肖某甲与唐某甲共同生活约二十九个月，法院却判决唐某甲返还70000元及全部黄金首饰，仅少了10000元。</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lang w:val="en-US" w:eastAsia="zh-CN"/>
        </w:rPr>
      </w:pPr>
      <w:r>
        <w:rPr>
          <w:rFonts w:hint="default" w:ascii="Times New Roman" w:hAnsi="Times New Roman" w:cs="Times New Roman"/>
          <w:kern w:val="2"/>
          <w:sz w:val="24"/>
          <w:szCs w:val="24"/>
          <w:lang w:val="en-US" w:eastAsia="zh-CN" w:bidi="ar-SA"/>
        </w:rPr>
        <w:t>过错责任原则是民事领域的基本原则，在彩礼返还中同样适用</w:t>
      </w:r>
      <w:r>
        <w:rPr>
          <w:rFonts w:hint="eastAsia" w:ascii="Times New Roman" w:hAnsi="Times New Roman" w:cs="Times New Roman"/>
          <w:kern w:val="2"/>
          <w:sz w:val="24"/>
          <w:szCs w:val="24"/>
          <w:lang w:val="en-US" w:eastAsia="zh-CN" w:bidi="ar-SA"/>
        </w:rPr>
        <w:t>，也是法院判断彩礼返还比例的重要因素</w:t>
      </w:r>
      <w:r>
        <w:rPr>
          <w:rFonts w:hint="default" w:ascii="Times New Roman" w:hAnsi="Times New Roman"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在</w:t>
      </w:r>
      <w:r>
        <w:rPr>
          <w:rFonts w:hint="eastAsia" w:ascii="Times New Roman" w:hAnsi="Times New Roman" w:eastAsia="宋体" w:cs="Times New Roman"/>
          <w:kern w:val="2"/>
          <w:sz w:val="24"/>
          <w:szCs w:val="24"/>
          <w:lang w:val="en-US" w:eastAsia="zh-CN" w:bidi="ar-SA"/>
        </w:rPr>
        <w:t>张某与姚某婚约财产纠纷</w:t>
      </w:r>
      <w:r>
        <w:rPr>
          <w:rStyle w:val="24"/>
          <w:rFonts w:hint="eastAsia" w:ascii="Times New Roman" w:hAnsi="Times New Roman" w:eastAsia="宋体" w:cs="Times New Roman"/>
          <w:kern w:val="2"/>
          <w:sz w:val="24"/>
          <w:szCs w:val="24"/>
          <w:lang w:val="en-US" w:eastAsia="zh-CN" w:bidi="ar-SA"/>
        </w:rPr>
        <w:footnoteReference w:id="27"/>
      </w:r>
      <w:r>
        <w:rPr>
          <w:rFonts w:hint="eastAsia" w:ascii="Times New Roman" w:hAnsi="Times New Roman" w:eastAsia="宋体" w:cs="Times New Roman"/>
          <w:sz w:val="24"/>
          <w:lang w:eastAsia="zh-CN"/>
        </w:rPr>
        <w:t>中</w:t>
      </w:r>
      <w:r>
        <w:rPr>
          <w:rFonts w:hint="eastAsia" w:ascii="Times New Roman" w:hAnsi="Times New Roman" w:cs="Times New Roman"/>
          <w:sz w:val="24"/>
          <w:lang w:val="en-US" w:eastAsia="zh-CN"/>
        </w:rPr>
        <w:t>男方存在</w:t>
      </w:r>
      <w:r>
        <w:rPr>
          <w:rFonts w:hint="eastAsia" w:ascii="Times New Roman" w:hAnsi="Times New Roman" w:eastAsia="宋体" w:cs="Times New Roman"/>
          <w:sz w:val="24"/>
          <w:lang w:val="en-US" w:eastAsia="zh-CN"/>
        </w:rPr>
        <w:t>虐待与暴打被告，</w:t>
      </w:r>
      <w:r>
        <w:rPr>
          <w:rFonts w:hint="eastAsia" w:ascii="Times New Roman" w:hAnsi="Times New Roman" w:cs="Times New Roman"/>
          <w:sz w:val="24"/>
          <w:lang w:val="en-US" w:eastAsia="zh-CN"/>
        </w:rPr>
        <w:t>导致其</w:t>
      </w:r>
      <w:r>
        <w:rPr>
          <w:rFonts w:hint="eastAsia" w:ascii="Times New Roman" w:hAnsi="Times New Roman" w:eastAsia="宋体" w:cs="Times New Roman"/>
          <w:sz w:val="24"/>
          <w:lang w:val="en-US" w:eastAsia="zh-CN"/>
        </w:rPr>
        <w:t>出现精神问题</w:t>
      </w:r>
      <w:r>
        <w:rPr>
          <w:rFonts w:hint="eastAsia" w:ascii="Times New Roman" w:hAnsi="Times New Roman" w:cs="Times New Roman"/>
          <w:sz w:val="24"/>
          <w:lang w:val="en-US" w:eastAsia="zh-CN"/>
        </w:rPr>
        <w:t>的过错</w:t>
      </w:r>
      <w:r>
        <w:rPr>
          <w:rFonts w:hint="eastAsia" w:ascii="Times New Roman" w:hAnsi="Times New Roman" w:eastAsia="宋体" w:cs="Times New Roman"/>
          <w:sz w:val="24"/>
          <w:lang w:val="en-US" w:eastAsia="zh-CN"/>
        </w:rPr>
        <w:t>。</w:t>
      </w:r>
      <w:r>
        <w:rPr>
          <w:rFonts w:hint="eastAsia" w:ascii="Times New Roman" w:hAnsi="Times New Roman" w:eastAsia="宋体" w:cs="Times New Roman"/>
          <w:kern w:val="2"/>
          <w:sz w:val="24"/>
          <w:szCs w:val="24"/>
          <w:lang w:val="en-US" w:eastAsia="zh-CN" w:bidi="ar-SA"/>
        </w:rPr>
        <w:t>袁某成某君霍某金婚约财产纠纷</w:t>
      </w:r>
      <w:r>
        <w:rPr>
          <w:rStyle w:val="24"/>
          <w:rFonts w:hint="eastAsia" w:ascii="Times New Roman" w:hAnsi="Times New Roman" w:eastAsia="宋体" w:cs="Times New Roman"/>
          <w:kern w:val="2"/>
          <w:sz w:val="24"/>
          <w:szCs w:val="24"/>
          <w:lang w:val="en-US" w:eastAsia="zh-CN" w:bidi="ar-SA"/>
        </w:rPr>
        <w:footnoteReference w:id="28"/>
      </w:r>
      <w:r>
        <w:rPr>
          <w:rFonts w:hint="eastAsia" w:ascii="Times New Roman" w:hAnsi="Times New Roman"/>
          <w:sz w:val="24"/>
          <w:lang w:val="en-US" w:eastAsia="zh-CN"/>
        </w:rPr>
        <w:t>中将双方存在未妥善处理矛盾的过错。</w:t>
      </w:r>
      <w:r>
        <w:rPr>
          <w:rFonts w:hint="default" w:ascii="Times New Roman" w:hAnsi="Times New Roman" w:eastAsia="宋体" w:cs="Times New Roman"/>
          <w:sz w:val="24"/>
          <w:lang w:val="en-US" w:eastAsia="zh-CN"/>
        </w:rPr>
        <w:t>周某唐某蒋某婚约财产纠纷</w:t>
      </w:r>
      <w:r>
        <w:rPr>
          <w:rStyle w:val="24"/>
          <w:rFonts w:hint="default" w:ascii="Times New Roman" w:hAnsi="Times New Roman" w:eastAsia="宋体" w:cs="Times New Roman"/>
          <w:sz w:val="24"/>
          <w:lang w:val="en-US" w:eastAsia="zh-CN"/>
        </w:rPr>
        <w:footnoteReference w:id="29"/>
      </w:r>
      <w:r>
        <w:rPr>
          <w:rFonts w:hint="eastAsia" w:ascii="Times New Roman" w:hAnsi="Times New Roman" w:eastAsia="宋体" w:cs="Times New Roman"/>
          <w:sz w:val="24"/>
          <w:lang w:val="en-US" w:eastAsia="zh-CN"/>
        </w:rPr>
        <w:t>男方</w:t>
      </w:r>
      <w:r>
        <w:rPr>
          <w:rFonts w:hint="eastAsia" w:ascii="Times New Roman" w:hAnsi="Times New Roman" w:cs="Times New Roman"/>
          <w:sz w:val="24"/>
          <w:lang w:val="en-US" w:eastAsia="zh-CN"/>
        </w:rPr>
        <w:t>存在</w:t>
      </w:r>
      <w:r>
        <w:rPr>
          <w:rFonts w:hint="eastAsia" w:ascii="Times New Roman" w:hAnsi="Times New Roman" w:eastAsia="宋体" w:cs="Times New Roman"/>
          <w:sz w:val="24"/>
          <w:lang w:val="en-US" w:eastAsia="zh-CN"/>
        </w:rPr>
        <w:t>未查明女方有精神病</w:t>
      </w:r>
      <w:r>
        <w:rPr>
          <w:rFonts w:hint="eastAsia" w:ascii="Times New Roman" w:hAnsi="Times New Roman" w:cs="Times New Roman"/>
          <w:sz w:val="24"/>
          <w:lang w:val="en-US" w:eastAsia="zh-CN"/>
        </w:rPr>
        <w:t>的过错</w:t>
      </w:r>
      <w:r>
        <w:rPr>
          <w:rFonts w:hint="eastAsia" w:ascii="Times New Roman" w:hAnsi="Times New Roman" w:eastAsia="宋体" w:cs="Times New Roman"/>
          <w:sz w:val="24"/>
          <w:lang w:val="en-US" w:eastAsia="zh-CN"/>
        </w:rPr>
        <w:t>，女方</w:t>
      </w:r>
      <w:r>
        <w:rPr>
          <w:rFonts w:hint="eastAsia" w:ascii="Times New Roman" w:hAnsi="Times New Roman" w:cs="Times New Roman"/>
          <w:sz w:val="24"/>
          <w:lang w:val="en-US" w:eastAsia="zh-CN"/>
        </w:rPr>
        <w:t>存在</w:t>
      </w:r>
      <w:r>
        <w:rPr>
          <w:rFonts w:hint="eastAsia" w:ascii="Times New Roman" w:hAnsi="Times New Roman" w:eastAsia="宋体" w:cs="Times New Roman"/>
          <w:sz w:val="24"/>
          <w:lang w:val="en-US" w:eastAsia="zh-CN"/>
        </w:rPr>
        <w:t>隐瞒</w:t>
      </w:r>
      <w:r>
        <w:rPr>
          <w:rFonts w:hint="eastAsia" w:ascii="Times New Roman" w:hAnsi="Times New Roman" w:cs="Times New Roman"/>
          <w:sz w:val="24"/>
          <w:lang w:val="en-US" w:eastAsia="zh-CN"/>
        </w:rPr>
        <w:t>自身精神病的过错。雷某甲雷某乙姚某丙婚约财产纠纷</w:t>
      </w:r>
      <w:r>
        <w:rPr>
          <w:rStyle w:val="24"/>
          <w:rFonts w:hint="eastAsia" w:ascii="Times New Roman" w:hAnsi="Times New Roman" w:cs="Times New Roman"/>
          <w:sz w:val="24"/>
          <w:lang w:val="en-US" w:eastAsia="zh-CN"/>
        </w:rPr>
        <w:footnoteReference w:id="30"/>
      </w:r>
      <w:r>
        <w:rPr>
          <w:rFonts w:hint="eastAsia" w:ascii="Times New Roman" w:hAnsi="Times New Roman" w:cs="Times New Roman"/>
          <w:sz w:val="24"/>
          <w:lang w:val="en-US" w:eastAsia="zh-CN"/>
        </w:rPr>
        <w:t>中男方存在对爱情不忠的过错等。过错类型的多样性一定程度上导致了各法院对于裁判无法形成统一的标准，因为不同过错在法官心中所占权重不一样，并且，除此之外还要考虑女方妊娠与生育，保护女性权益，所以返还比例的计算会更加复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应当指出，生活困难是彩礼返还法定情形之一，并没有在78份生效裁判文书中有具体体现。笔者认为在司法实践中，当事人之间的纠纷用“绝对贫困”原则解决，给付方负有举证责任，证明自己所获得的是其个人所能达到的最低生活标准。在此基础上，彩礼支付行为和受领方陷入经济困境之间存在着非常复杂的直接逻辑联系。由于该标准的证明要求较高，并且没有明确的因果关系判定标准，导致实践中无案例产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4"/>
          <w:lang w:val="en-US" w:eastAsia="zh-CN"/>
        </w:rPr>
      </w:pPr>
    </w:p>
    <w:p>
      <w:pPr>
        <w:spacing w:before="480" w:after="360" w:line="400" w:lineRule="exact"/>
        <w:ind w:firstLine="643" w:firstLineChars="200"/>
        <w:outlineLvl w:val="0"/>
        <w:rPr>
          <w:rFonts w:hint="default" w:ascii="Times New Roman" w:hAnsi="Times New Roman" w:eastAsia="宋体"/>
          <w:b/>
          <w:bCs/>
          <w:color w:val="000000"/>
          <w:sz w:val="32"/>
          <w:szCs w:val="32"/>
          <w:shd w:val="clear" w:color="auto" w:fill="FFFFFF"/>
          <w:lang w:val="en-US" w:eastAsia="zh-CN"/>
        </w:rPr>
      </w:pPr>
      <w:bookmarkStart w:id="116" w:name="_Toc13395"/>
      <w:bookmarkStart w:id="117" w:name="_Toc27118"/>
      <w:r>
        <w:rPr>
          <w:rFonts w:hint="eastAsia" w:ascii="Times New Roman" w:hAnsi="Times New Roman"/>
          <w:b/>
          <w:bCs/>
          <w:color w:val="000000"/>
          <w:sz w:val="32"/>
          <w:szCs w:val="32"/>
          <w:shd w:val="clear" w:color="auto" w:fill="FFFFFF"/>
          <w:lang w:val="en-US" w:eastAsia="zh-CN"/>
        </w:rPr>
        <w:br w:type="page"/>
      </w:r>
      <w:bookmarkStart w:id="118" w:name="_Toc4316"/>
      <w:r>
        <w:rPr>
          <w:rFonts w:hint="eastAsia" w:ascii="Times New Roman" w:hAnsi="Times New Roman"/>
          <w:b/>
          <w:bCs/>
          <w:color w:val="000000"/>
          <w:sz w:val="32"/>
          <w:szCs w:val="32"/>
          <w:shd w:val="clear" w:color="auto" w:fill="FFFFFF"/>
          <w:lang w:val="en-US" w:eastAsia="zh-CN"/>
        </w:rPr>
        <w:t>四</w:t>
      </w:r>
      <w:r>
        <w:rPr>
          <w:rFonts w:hint="eastAsia" w:ascii="Times New Roman" w:hAnsi="Times New Roman"/>
          <w:b/>
          <w:bCs/>
          <w:color w:val="000000"/>
          <w:sz w:val="32"/>
          <w:szCs w:val="32"/>
          <w:shd w:val="clear" w:color="auto" w:fill="FFFFFF"/>
        </w:rPr>
        <w:t>、</w:t>
      </w:r>
      <w:bookmarkEnd w:id="116"/>
      <w:bookmarkStart w:id="119" w:name="OLE_LINK3"/>
      <w:r>
        <w:rPr>
          <w:rFonts w:hint="eastAsia" w:ascii="Times New Roman" w:hAnsi="Times New Roman"/>
          <w:b/>
          <w:bCs/>
          <w:color w:val="000000"/>
          <w:sz w:val="32"/>
          <w:szCs w:val="32"/>
          <w:shd w:val="clear" w:color="auto" w:fill="FFFFFF"/>
        </w:rPr>
        <w:t>彩礼返还纠纷</w:t>
      </w:r>
      <w:bookmarkEnd w:id="117"/>
      <w:r>
        <w:rPr>
          <w:rFonts w:hint="eastAsia" w:ascii="Times New Roman" w:hAnsi="Times New Roman"/>
          <w:b/>
          <w:bCs/>
          <w:color w:val="000000"/>
          <w:sz w:val="32"/>
          <w:szCs w:val="32"/>
          <w:shd w:val="clear" w:color="auto" w:fill="FFFFFF"/>
          <w:lang w:val="en-US" w:eastAsia="zh-CN"/>
        </w:rPr>
        <w:t>现存困境</w:t>
      </w:r>
      <w:bookmarkEnd w:id="118"/>
    </w:p>
    <w:bookmarkEnd w:id="119"/>
    <w:p>
      <w:pPr>
        <w:spacing w:before="480" w:after="120" w:line="400" w:lineRule="exact"/>
        <w:ind w:firstLine="562" w:firstLineChars="200"/>
        <w:outlineLvl w:val="1"/>
        <w:rPr>
          <w:rFonts w:hint="eastAsia" w:ascii="Times New Roman" w:hAnsi="Times New Roman" w:eastAsia="宋体"/>
          <w:b/>
          <w:sz w:val="28"/>
          <w:szCs w:val="30"/>
          <w:shd w:val="clear" w:color="auto" w:fill="FFFFFF"/>
          <w:lang w:val="en-US" w:eastAsia="zh-CN"/>
        </w:rPr>
      </w:pPr>
      <w:bookmarkStart w:id="120" w:name="_Toc21114"/>
      <w:bookmarkStart w:id="121" w:name="_Toc27811"/>
      <w:bookmarkStart w:id="122" w:name="_Toc7093_WPSOffice_Level2"/>
      <w:bookmarkStart w:id="123" w:name="_Toc23869"/>
      <w:bookmarkStart w:id="124" w:name="_Toc2114"/>
      <w:bookmarkStart w:id="125" w:name="_Toc21966"/>
      <w:bookmarkStart w:id="126" w:name="_Toc11864"/>
      <w:bookmarkStart w:id="127" w:name="_Toc1361"/>
      <w:bookmarkStart w:id="128" w:name="_Toc22294"/>
      <w:bookmarkStart w:id="129" w:name="_Toc21190"/>
      <w:r>
        <w:rPr>
          <w:rFonts w:hint="eastAsia" w:ascii="Times New Roman" w:hAnsi="Times New Roman"/>
          <w:b/>
          <w:sz w:val="28"/>
          <w:szCs w:val="30"/>
          <w:shd w:val="clear" w:color="auto" w:fill="FFFFFF"/>
        </w:rPr>
        <w:t>（一）</w:t>
      </w:r>
      <w:bookmarkEnd w:id="120"/>
      <w:bookmarkEnd w:id="121"/>
      <w:bookmarkEnd w:id="122"/>
      <w:bookmarkEnd w:id="123"/>
      <w:bookmarkEnd w:id="124"/>
      <w:bookmarkEnd w:id="125"/>
      <w:bookmarkEnd w:id="126"/>
      <w:bookmarkEnd w:id="127"/>
      <w:bookmarkStart w:id="130" w:name="OLE_LINK19"/>
      <w:r>
        <w:rPr>
          <w:rFonts w:hint="eastAsia" w:ascii="Times New Roman" w:hAnsi="Times New Roman"/>
          <w:b/>
          <w:sz w:val="28"/>
          <w:szCs w:val="30"/>
          <w:shd w:val="clear" w:color="auto" w:fill="FFFFFF"/>
        </w:rPr>
        <w:t>彩礼返还诉讼主体范围</w:t>
      </w:r>
      <w:bookmarkEnd w:id="128"/>
      <w:r>
        <w:rPr>
          <w:rFonts w:hint="eastAsia" w:ascii="Times New Roman" w:hAnsi="Times New Roman"/>
          <w:b/>
          <w:sz w:val="28"/>
          <w:szCs w:val="30"/>
          <w:shd w:val="clear" w:color="auto" w:fill="FFFFFF"/>
          <w:lang w:val="en-US" w:eastAsia="zh-CN"/>
        </w:rPr>
        <w:t>偏小</w:t>
      </w:r>
      <w:bookmarkEnd w:id="129"/>
    </w:p>
    <w:bookmarkEnd w:id="130"/>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131" w:name="OLE_LINK16"/>
      <w:r>
        <w:rPr>
          <w:rFonts w:hint="eastAsia" w:ascii="Times New Roman" w:hAnsi="Times New Roman" w:cs="Times New Roman"/>
          <w:sz w:val="24"/>
          <w:lang w:val="en-US" w:eastAsia="zh-CN"/>
        </w:rPr>
        <w:t>根据《彩礼适用规定》第四条明确规定：“婚约财产纠纷中，婚约一方及其实际给付彩礼的父母可以作为共同原告；婚约另一方及其实际接收彩礼的父母可以作为共同被告。离婚纠纷中，一方提出返还彩礼诉讼请求的，当事人仍为夫妻双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有司法判例表明，在婚约关系中一方为无民事行为能力或者限制民事行为能力人时，即使没有实际收取彩礼，也可以将该方列为适格的诉讼主体。在莫某与李某1李某2婚约财产纠纷</w:t>
      </w:r>
      <w:r>
        <w:rPr>
          <w:rStyle w:val="24"/>
          <w:rFonts w:hint="eastAsia" w:ascii="Times New Roman" w:hAnsi="Times New Roman" w:cs="Times New Roman"/>
          <w:sz w:val="24"/>
          <w:lang w:val="en-US" w:eastAsia="zh-CN"/>
        </w:rPr>
        <w:footnoteReference w:id="31"/>
      </w:r>
      <w:r>
        <w:rPr>
          <w:rFonts w:hint="eastAsia" w:ascii="Times New Roman" w:hAnsi="Times New Roman" w:cs="Times New Roman"/>
          <w:sz w:val="24"/>
          <w:lang w:val="en-US" w:eastAsia="zh-CN"/>
        </w:rPr>
        <w:t>中，一审法院将是否应追加李某2（另一个婚约人）为共同被告作为主要争议点予以审理。法院审理查明，李某2作为婚约另一方，虽患精神疾病，但仍是婚约关系的主体，根据《彩礼适用规定》第四条，婚约另一方属于彩礼纠纷案件中当然的诉讼当事人。原告起诉时未列明李某2为被告，法院依法依职权追加其参加诉讼，最终判决李某1、李某2共同承担返还责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有司法判例认为彩礼的受益人不单是女性个人，还包含在她所在的家庭里的人。在实际审判中，如果女方父母以家庭名义接受彩礼，那么就会被认定为共同诉讼的当事人。在吴某与周某1杨某等婚约财产纠纷</w:t>
      </w:r>
      <w:r>
        <w:rPr>
          <w:rStyle w:val="24"/>
          <w:rFonts w:hint="eastAsia" w:ascii="Times New Roman" w:hAnsi="Times New Roman" w:cs="Times New Roman"/>
          <w:sz w:val="24"/>
          <w:lang w:val="en-US" w:eastAsia="zh-CN"/>
        </w:rPr>
        <w:footnoteReference w:id="32"/>
      </w:r>
      <w:r>
        <w:rPr>
          <w:rFonts w:hint="eastAsia" w:ascii="Times New Roman" w:hAnsi="Times New Roman" w:cs="Times New Roman"/>
          <w:sz w:val="24"/>
          <w:lang w:val="en-US" w:eastAsia="zh-CN"/>
        </w:rPr>
        <w:t>中，彩礼在我国传统风俗中属于男方家庭共同财产，其给付、收取及支配均是在婚约男女及双方父母共同参与下完成，涉及两个家庭之间的往来。该观点体现出目前法律体系对于家庭利益考虑的新趋势。本案中欠条由男方父亲吴继东与女方家庭结算签订，吴继东作为婚约当事人父亲，具备代表家庭处分共同财产的资格，相应的女方父母周某2、杨某作为家庭代表参与协商并出具欠条，应视为共同接收彩礼的主体，需共同承担返还责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相反，若父母未实际参与彩礼收付，仅因亲属关系被列为被告，法院将依法驳回对其的诉讼请求。如曹某李某乙李某曹某丁婚约财产纠纷</w:t>
      </w:r>
      <w:r>
        <w:rPr>
          <w:rStyle w:val="24"/>
          <w:rFonts w:hint="eastAsia" w:ascii="Times New Roman" w:hAnsi="Times New Roman" w:cs="Times New Roman"/>
          <w:sz w:val="24"/>
          <w:lang w:val="en-US" w:eastAsia="zh-CN"/>
        </w:rPr>
        <w:footnoteReference w:id="33"/>
      </w:r>
      <w:r>
        <w:rPr>
          <w:rFonts w:hint="eastAsia" w:ascii="Times New Roman" w:hAnsi="Times New Roman" w:cs="Times New Roman"/>
          <w:sz w:val="24"/>
          <w:lang w:val="en-US" w:eastAsia="zh-CN"/>
        </w:rPr>
        <w:t>中法院审理查明，原被告双方均认可实际收受彩礼钱的是女方李某甲，李某乙并未经手相关款项，根据司法解释“实际接收彩礼的父母”才可作为共同被告的规定，李某乙未实际接收彩礼，故不具备本案被告主体资格，最终判决仅由李某甲承担返还责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在处理涉婚约财产纠纷案件的时候，司法实践当中一般把原告和被告界定为实际缔结婚约关系的男女双方及其直系亲属，而不会把媒人等其它关联方包含进来。在李某1李某2与贺某秦某二审民事判决书</w:t>
      </w:r>
      <w:r>
        <w:rPr>
          <w:rStyle w:val="24"/>
          <w:rFonts w:hint="eastAsia" w:ascii="Times New Roman" w:hAnsi="Times New Roman" w:cs="Times New Roman"/>
          <w:sz w:val="24"/>
          <w:lang w:val="en-US" w:eastAsia="zh-CN"/>
        </w:rPr>
        <w:footnoteReference w:id="34"/>
      </w:r>
      <w:r>
        <w:rPr>
          <w:rFonts w:hint="eastAsia" w:ascii="Times New Roman" w:hAnsi="Times New Roman" w:cs="Times New Roman"/>
          <w:sz w:val="24"/>
          <w:lang w:val="en-US" w:eastAsia="zh-CN"/>
        </w:rPr>
        <w:t>中，法院认为，根据司法解释第四条，婚约财产纠纷的诉讼主体为婚约一方、另一方及其实际收付彩礼的父母，并未将诉讼主体扩大到媒人，秦某作为媒人，并非彩礼收付关系的当事人，不具备本案被告主体资格，原告与秦某之间的媒人费纠纷应另行起诉，判决驳回对秦某的诉讼请求。</w:t>
      </w:r>
    </w:p>
    <w:bookmarkEnd w:id="131"/>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综上，司法实践中对彩礼返还诉讼主体范围的认定，始终以</w:t>
      </w:r>
      <w:r>
        <w:rPr>
          <w:rFonts w:hint="eastAsia" w:ascii="Times New Roman" w:hAnsi="Times New Roman" w:cs="Times New Roman"/>
          <w:sz w:val="24"/>
          <w:lang w:val="en-US" w:eastAsia="zh-CN"/>
        </w:rPr>
        <w:t>《彩礼适用规定》为基础，“实际参与婚约、实际收付彩礼”为核心判断标准，将符合条件的父母纳入主体范围，也严格限定主体边界，避免不当扩大责任承担主体，同时明确排除媒人、未实际收付彩礼的亲属等无关主体的诉讼资格。这种严苛的主体资格限定，排除了实际参与彩礼流转和协商的其他家庭成员或中间人，导致责任主体范围被不当限缩，难以涵盖彩礼涉及双方家庭往来的复杂现实。因此，现行规则与司法裁判对诉讼主体的认定口径整体偏窄，无法完全回应彩礼纠纷中多元主体参与的实际状况。</w:t>
      </w:r>
    </w:p>
    <w:p>
      <w:pPr>
        <w:numPr>
          <w:ilvl w:val="0"/>
          <w:numId w:val="3"/>
        </w:numPr>
        <w:spacing w:before="480" w:after="120" w:line="400" w:lineRule="exact"/>
        <w:ind w:firstLine="562" w:firstLineChars="200"/>
        <w:outlineLvl w:val="1"/>
        <w:rPr>
          <w:rFonts w:hint="eastAsia" w:ascii="Times New Roman" w:hAnsi="Times New Roman" w:cs="Times New Roman"/>
          <w:b/>
          <w:sz w:val="28"/>
          <w:szCs w:val="30"/>
          <w:shd w:val="clear" w:color="auto" w:fill="FFFFFF"/>
          <w:lang w:val="en-US" w:eastAsia="zh-CN"/>
        </w:rPr>
      </w:pPr>
      <w:bookmarkStart w:id="132" w:name="_Toc19248"/>
      <w:bookmarkStart w:id="133" w:name="_Toc16964"/>
      <w:bookmarkStart w:id="134" w:name="OLE_LINK20"/>
      <w:r>
        <w:rPr>
          <w:rFonts w:hint="eastAsia" w:ascii="Times New Roman" w:hAnsi="Times New Roman" w:cs="Times New Roman"/>
          <w:b/>
          <w:sz w:val="28"/>
          <w:szCs w:val="30"/>
          <w:shd w:val="clear" w:color="auto" w:fill="FFFFFF"/>
          <w:lang w:val="en-US" w:eastAsia="zh-CN"/>
        </w:rPr>
        <w:t>彩礼的认定</w:t>
      </w:r>
      <w:bookmarkEnd w:id="132"/>
      <w:r>
        <w:rPr>
          <w:rFonts w:hint="eastAsia" w:ascii="Times New Roman" w:hAnsi="Times New Roman" w:cs="Times New Roman"/>
          <w:b/>
          <w:sz w:val="28"/>
          <w:szCs w:val="30"/>
          <w:shd w:val="clear" w:color="auto" w:fill="FFFFFF"/>
          <w:lang w:val="en-US" w:eastAsia="zh-CN"/>
        </w:rPr>
        <w:t>混乱</w:t>
      </w:r>
      <w:bookmarkEnd w:id="133"/>
    </w:p>
    <w:bookmarkEnd w:id="134"/>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135" w:name="OLE_LINK21"/>
      <w:r>
        <w:rPr>
          <w:rFonts w:hint="eastAsia" w:ascii="Times New Roman" w:hAnsi="Times New Roman" w:cs="Times New Roman"/>
          <w:sz w:val="24"/>
          <w:lang w:val="en-US" w:eastAsia="zh-CN"/>
        </w:rPr>
        <w:t>在婚约财产纠纷案件的审理中，彩礼的范围认定是核心争议焦点，直接决定了当事人可主张返还的财物边界。依照《民法典》第一百四十二条第一款，有相对人的意思表示的解释，应当按照所使用的词句，结合相关条款、行为的性质和目的、习惯以及诚信原则，确定意思表示的含义。即双方在财物往来时明确表述“彩礼”等的，法院应认定该财物属于彩礼。双方未明确表述为“彩礼”等的，首先需确认是否为三类不属于彩礼的财物：一是方在节日、生日等有特殊纪念意义时点给付的价值不大的礼物、礼金；二是一方为表达或者增进感情的日常消费性支出；三是其他价值不大的财物。其次，根据一方给付财物的目的，综合考虑双方当地习俗、给付的时间和方式、财物价值、给付人及接收人等事实认定彩礼范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实践中，各法院对于按习俗给付的大额礼金、“三金”“五金”等贵重物品、已转化为共同财产的彩礼、特殊含义转账、回礼及嫁妆抵扣并无争议，但是各地法院对于单笔排除的金额阈值认定不一，有的法院以1000元为界</w:t>
      </w:r>
      <w:r>
        <w:rPr>
          <w:rStyle w:val="24"/>
          <w:rFonts w:hint="eastAsia" w:ascii="Times New Roman" w:hAnsi="Times New Roman" w:cs="Times New Roman"/>
          <w:sz w:val="24"/>
          <w:lang w:val="en-US" w:eastAsia="zh-CN"/>
        </w:rPr>
        <w:footnoteReference w:id="35"/>
      </w:r>
      <w:r>
        <w:rPr>
          <w:rFonts w:hint="eastAsia" w:ascii="Times New Roman" w:hAnsi="Times New Roman" w:cs="Times New Roman"/>
          <w:sz w:val="24"/>
          <w:lang w:val="en-US" w:eastAsia="zh-CN"/>
        </w:rPr>
        <w:t>；有的法院以3000元为界</w:t>
      </w:r>
      <w:r>
        <w:rPr>
          <w:rStyle w:val="24"/>
          <w:rFonts w:hint="eastAsia" w:ascii="Times New Roman" w:hAnsi="Times New Roman" w:cs="Times New Roman"/>
          <w:sz w:val="24"/>
          <w:lang w:val="en-US" w:eastAsia="zh-CN"/>
        </w:rPr>
        <w:footnoteReference w:id="36"/>
      </w:r>
      <w:r>
        <w:rPr>
          <w:rFonts w:hint="eastAsia" w:ascii="Times New Roman" w:hAnsi="Times New Roman" w:cs="Times New Roman"/>
          <w:sz w:val="24"/>
          <w:lang w:val="en-US" w:eastAsia="zh-CN"/>
        </w:rPr>
        <w:t>。对于见面礼，有的法院认定该款项系以缔结婚姻为目的的赠与，属于彩礼范畴</w:t>
      </w:r>
      <w:r>
        <w:rPr>
          <w:rStyle w:val="24"/>
          <w:rFonts w:hint="eastAsia" w:ascii="Times New Roman" w:hAnsi="Times New Roman" w:cs="Times New Roman"/>
          <w:sz w:val="24"/>
          <w:lang w:val="en-US" w:eastAsia="zh-CN"/>
        </w:rPr>
        <w:footnoteReference w:id="37"/>
      </w:r>
      <w:r>
        <w:rPr>
          <w:rFonts w:hint="eastAsia" w:ascii="Times New Roman" w:hAnsi="Times New Roman" w:cs="Times New Roman"/>
          <w:sz w:val="24"/>
          <w:lang w:val="en-US" w:eastAsia="zh-CN"/>
        </w:rPr>
        <w:t>；有的法院认为属于长辈对晚辈的个人赠与，不涉及婚约目的，不应纳入彩礼范围</w:t>
      </w:r>
      <w:r>
        <w:rPr>
          <w:rStyle w:val="24"/>
          <w:rFonts w:hint="eastAsia" w:ascii="Times New Roman" w:hAnsi="Times New Roman" w:cs="Times New Roman"/>
          <w:sz w:val="24"/>
          <w:lang w:val="en-US" w:eastAsia="zh-CN"/>
        </w:rPr>
        <w:footnoteReference w:id="38"/>
      </w:r>
      <w:r>
        <w:rPr>
          <w:rFonts w:hint="eastAsia" w:ascii="Times New Roman" w:hAnsi="Times New Roman" w:cs="Times New Roman"/>
          <w:sz w:val="24"/>
          <w:lang w:val="en-US" w:eastAsia="zh-CN"/>
        </w:rPr>
        <w:t>。对于向女方亲属赠与的红包，有的法院认为该部分款项属于礼节性人情往来，与婚约缔结目的无关，不应认定为彩礼</w:t>
      </w:r>
      <w:r>
        <w:rPr>
          <w:rStyle w:val="24"/>
          <w:rFonts w:hint="eastAsia" w:ascii="Times New Roman" w:hAnsi="Times New Roman" w:cs="Times New Roman"/>
          <w:sz w:val="24"/>
          <w:lang w:val="en-US" w:eastAsia="zh-CN"/>
        </w:rPr>
        <w:footnoteReference w:id="39"/>
      </w:r>
      <w:r>
        <w:rPr>
          <w:rFonts w:hint="eastAsia" w:ascii="Times New Roman" w:hAnsi="Times New Roman" w:cs="Times New Roman"/>
          <w:sz w:val="24"/>
          <w:lang w:val="en-US" w:eastAsia="zh-CN"/>
        </w:rPr>
        <w:t>；有的认为男方是为达成缔结婚姻目的、依习俗向婚约方亲属给付的大额款项，属于彩礼范围</w:t>
      </w:r>
      <w:r>
        <w:rPr>
          <w:rStyle w:val="24"/>
          <w:rFonts w:hint="eastAsia" w:ascii="Times New Roman" w:hAnsi="Times New Roman" w:cs="Times New Roman"/>
          <w:sz w:val="24"/>
          <w:lang w:val="en-US" w:eastAsia="zh-CN"/>
        </w:rPr>
        <w:footnoteReference w:id="40"/>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上述分歧并非单纯事实认定差异，而是源于</w:t>
      </w:r>
      <w:r>
        <w:rPr>
          <w:rFonts w:hint="eastAsia" w:ascii="Times New Roman" w:hAnsi="Times New Roman" w:cs="Times New Roman"/>
          <w:sz w:val="24"/>
          <w:lang w:val="en-US" w:eastAsia="zh-CN"/>
        </w:rPr>
        <w:t>《彩礼适用规定》中“当地习俗”多样性，甚至有些习俗存在不合理性，如杨某某姚某某婚约财产纠纷</w:t>
      </w:r>
      <w:r>
        <w:rPr>
          <w:rStyle w:val="24"/>
          <w:rFonts w:hint="eastAsia" w:ascii="Times New Roman" w:hAnsi="Times New Roman" w:cs="Times New Roman"/>
          <w:sz w:val="24"/>
          <w:lang w:val="en-US" w:eastAsia="zh-CN"/>
        </w:rPr>
        <w:footnoteReference w:id="41"/>
      </w:r>
      <w:r>
        <w:rPr>
          <w:rFonts w:hint="eastAsia" w:ascii="Times New Roman" w:hAnsi="Times New Roman" w:cs="Times New Roman"/>
          <w:sz w:val="24"/>
          <w:lang w:val="en-US" w:eastAsia="zh-CN"/>
        </w:rPr>
        <w:t>中男方为了举办婚礼所花过礼，实际用于买肉菜，被法官不认定为彩礼。存在</w:t>
      </w:r>
      <w:r>
        <w:rPr>
          <w:rFonts w:hint="default" w:ascii="Times New Roman" w:hAnsi="Times New Roman" w:cs="Times New Roman"/>
          <w:sz w:val="24"/>
          <w:lang w:val="en-US" w:eastAsia="zh-CN"/>
        </w:rPr>
        <w:t>法官在认定“婚约目的”与“财物价值”时享有宽泛裁量空间，导致同类财物在一案被纳入彩礼返还基数，在他案却被归入无偿馈赠或日常消费，彩礼边界的司法划定由此陷入明显的地方化与主观化混乱。</w:t>
      </w:r>
    </w:p>
    <w:bookmarkEnd w:id="135"/>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hint="default" w:ascii="Times New Roman" w:hAnsi="Times New Roman" w:eastAsia="宋体" w:cs="Times New Roman"/>
          <w:b/>
          <w:bCs/>
          <w:sz w:val="24"/>
          <w:szCs w:val="28"/>
          <w:shd w:val="clear" w:color="auto" w:fill="FFFFFF"/>
          <w:lang w:val="en-US" w:eastAsia="zh-CN"/>
        </w:rPr>
      </w:pPr>
      <w:bookmarkStart w:id="136" w:name="_Toc21885"/>
      <w:bookmarkStart w:id="137" w:name="_Toc4041"/>
      <w:r>
        <w:rPr>
          <w:rFonts w:hint="eastAsia" w:ascii="Times New Roman" w:hAnsi="Times New Roman" w:eastAsia="宋体" w:cs="Times New Roman"/>
          <w:b/>
          <w:sz w:val="28"/>
          <w:szCs w:val="30"/>
          <w:shd w:val="clear" w:color="auto" w:fill="FFFFFF"/>
        </w:rPr>
        <w:t>（三）彩礼返还比例的认定</w:t>
      </w:r>
      <w:bookmarkEnd w:id="136"/>
      <w:r>
        <w:rPr>
          <w:rFonts w:hint="eastAsia" w:ascii="Times New Roman" w:hAnsi="Times New Roman" w:cs="Times New Roman"/>
          <w:b/>
          <w:sz w:val="28"/>
          <w:szCs w:val="30"/>
          <w:shd w:val="clear" w:color="auto" w:fill="FFFFFF"/>
          <w:lang w:val="en-US" w:eastAsia="zh-CN"/>
        </w:rPr>
        <w:t>标准模糊</w:t>
      </w:r>
      <w:bookmarkEnd w:id="137"/>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bookmarkStart w:id="138" w:name="OLE_LINK15"/>
      <w:r>
        <w:rPr>
          <w:rFonts w:hint="eastAsia" w:ascii="Times New Roman" w:hAnsi="Times New Roman"/>
          <w:sz w:val="24"/>
          <w:lang w:val="en-US" w:eastAsia="zh-CN"/>
        </w:rPr>
        <w:t>根据《彩礼适用规定》第五条、第六条，彩礼返还以结婚登记为前提分为两种情况，对彩礼返还的法律适用做了明确的区分，并形成了相应的裁判规则体系。在综合考虑共同生活时间、子女出生情况、违约行为、彩礼实际使用情况、嫁妆所有权归属等具体因素之后，根据地域传统习俗的具体内容来合理确定彩礼的返还数额。然而，法院在实际裁判中却存在着结婚登记对返还比例影响不明确、要素权重不明显等问题。</w:t>
      </w:r>
    </w:p>
    <w:p>
      <w:pPr>
        <w:keepNext w:val="0"/>
        <w:keepLines w:val="0"/>
        <w:pageBreakBefore w:val="0"/>
        <w:widowControl w:val="0"/>
        <w:kinsoku/>
        <w:wordWrap/>
        <w:overflowPunct/>
        <w:topLinePunct w:val="0"/>
        <w:autoSpaceDE/>
        <w:autoSpaceDN/>
        <w:bidi w:val="0"/>
        <w:adjustRightInd/>
        <w:snapToGrid/>
        <w:spacing w:before="240" w:after="120" w:line="400" w:lineRule="exact"/>
        <w:ind w:firstLine="482" w:firstLineChars="200"/>
        <w:textAlignment w:val="auto"/>
        <w:outlineLvl w:val="2"/>
        <w:rPr>
          <w:rFonts w:hint="default" w:ascii="Times New Roman" w:hAnsi="Times New Roman" w:eastAsia="宋体" w:cs="Times New Roman"/>
          <w:b/>
          <w:bCs/>
          <w:sz w:val="24"/>
          <w:szCs w:val="28"/>
          <w:shd w:val="clear" w:color="auto" w:fill="FFFFFF"/>
          <w:lang w:val="en-US" w:eastAsia="zh-CN"/>
        </w:rPr>
      </w:pPr>
      <w:bookmarkStart w:id="139" w:name="_Toc31734"/>
      <w:bookmarkStart w:id="140" w:name="_Toc24621"/>
      <w:r>
        <w:rPr>
          <w:rFonts w:hint="eastAsia" w:ascii="Times New Roman" w:hAnsi="Times New Roman" w:cs="Times New Roman"/>
          <w:b/>
          <w:bCs/>
          <w:sz w:val="24"/>
          <w:szCs w:val="28"/>
          <w:shd w:val="clear" w:color="auto" w:fill="FFFFFF"/>
          <w:lang w:val="en-US" w:eastAsia="zh-CN"/>
        </w:rPr>
        <w:t>1</w:t>
      </w:r>
      <w:r>
        <w:rPr>
          <w:rFonts w:hint="eastAsia" w:ascii="Times New Roman" w:hAnsi="Times New Roman" w:eastAsia="宋体" w:cs="Times New Roman"/>
          <w:b/>
          <w:bCs/>
          <w:sz w:val="24"/>
          <w:szCs w:val="28"/>
          <w:shd w:val="clear" w:color="auto" w:fill="FFFFFF"/>
        </w:rPr>
        <w:t>.</w:t>
      </w:r>
      <w:bookmarkEnd w:id="139"/>
      <w:bookmarkStart w:id="141" w:name="OLE_LINK23"/>
      <w:r>
        <w:rPr>
          <w:rFonts w:hint="eastAsia" w:ascii="Times New Roman" w:hAnsi="Times New Roman" w:cs="Times New Roman"/>
          <w:b/>
          <w:bCs/>
          <w:sz w:val="24"/>
          <w:szCs w:val="28"/>
          <w:shd w:val="clear" w:color="auto" w:fill="FFFFFF"/>
          <w:lang w:val="en-US" w:eastAsia="zh-CN"/>
        </w:rPr>
        <w:t>结婚登记对返还比例影响不明确</w:t>
      </w:r>
      <w:bookmarkEnd w:id="140"/>
      <w:bookmarkEnd w:id="14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bookmarkStart w:id="142" w:name="OLE_LINK22"/>
      <w:r>
        <w:rPr>
          <w:rFonts w:hint="eastAsia" w:ascii="Times New Roman" w:hAnsi="Times New Roman" w:cs="Times New Roman"/>
          <w:sz w:val="24"/>
          <w:lang w:val="en-US" w:eastAsia="zh-CN"/>
        </w:rPr>
        <w:t>由于需同时考量共同生活时间、数额是否过高、过错及孕育情况等多种变量，导致登记状态并未成为决定返还比例的唯一或核心要素，其影响幅度呈现出明显的不确定性。</w:t>
      </w:r>
      <w:bookmarkStart w:id="143" w:name="OLE_LINK26"/>
      <w:r>
        <w:rPr>
          <w:rFonts w:hint="eastAsia" w:ascii="Times New Roman" w:hAnsi="Times New Roman" w:cs="Times New Roman"/>
          <w:sz w:val="24"/>
          <w:lang w:val="en-US" w:eastAsia="zh-CN"/>
        </w:rPr>
        <w:t>如何某甲陈某甲婚约财产纠纷</w:t>
      </w:r>
      <w:r>
        <w:rPr>
          <w:rStyle w:val="24"/>
          <w:rFonts w:hint="eastAsia" w:ascii="Times New Roman" w:hAnsi="Times New Roman" w:cs="Times New Roman"/>
          <w:sz w:val="24"/>
          <w:lang w:val="en-US" w:eastAsia="zh-CN"/>
        </w:rPr>
        <w:footnoteReference w:id="42"/>
      </w:r>
      <w:r>
        <w:rPr>
          <w:rFonts w:hint="eastAsia" w:ascii="Times New Roman" w:hAnsi="Times New Roman" w:cs="Times New Roman"/>
          <w:sz w:val="24"/>
          <w:lang w:val="en-US" w:eastAsia="zh-CN"/>
        </w:rPr>
        <w:t>中男女双方共同生活时长约三年，孕有一子，法院认为彩礼已经用在了日常生活的开支和子女抚养，不予支持原告诉讼请求。而在瞿某田某雷某婚约财产纠纷</w:t>
      </w:r>
      <w:r>
        <w:rPr>
          <w:rStyle w:val="24"/>
          <w:rFonts w:hint="eastAsia" w:ascii="Times New Roman" w:hAnsi="Times New Roman" w:cs="Times New Roman"/>
          <w:sz w:val="24"/>
          <w:lang w:val="en-US" w:eastAsia="zh-CN"/>
        </w:rPr>
        <w:footnoteReference w:id="43"/>
      </w:r>
      <w:r>
        <w:rPr>
          <w:rFonts w:hint="eastAsia" w:ascii="Times New Roman" w:hAnsi="Times New Roman" w:cs="Times New Roman"/>
          <w:sz w:val="24"/>
          <w:lang w:val="en-US" w:eastAsia="zh-CN"/>
        </w:rPr>
        <w:t>中男女双方共同生活了两年多，法院认为形成了稳定的家庭关系，驳回原告诉讼请求。二者虽然登记状态不同，但是就共同生活目的的实现、过错程度的认定以及彩礼使用的情形来说，具有很强的共性，因此返还比例呈现出了很高的统一性。</w:t>
      </w:r>
      <w:bookmarkStart w:id="144" w:name="OLE_LINK24"/>
      <w:r>
        <w:rPr>
          <w:rFonts w:hint="eastAsia" w:ascii="Times New Roman" w:hAnsi="Times New Roman" w:cs="Times New Roman"/>
          <w:sz w:val="24"/>
          <w:lang w:val="en-US" w:eastAsia="zh-CN"/>
        </w:rPr>
        <w:t>在周某甲周某乙蒋某袁某王某婚约财产纠纷</w:t>
      </w:r>
      <w:r>
        <w:rPr>
          <w:rStyle w:val="24"/>
          <w:rFonts w:hint="eastAsia" w:ascii="Times New Roman" w:hAnsi="Times New Roman" w:cs="Times New Roman"/>
          <w:sz w:val="24"/>
          <w:lang w:val="en-US" w:eastAsia="zh-CN"/>
        </w:rPr>
        <w:footnoteReference w:id="44"/>
      </w:r>
      <w:r>
        <w:rPr>
          <w:rFonts w:hint="eastAsia" w:ascii="Times New Roman" w:hAnsi="Times New Roman" w:cs="Times New Roman"/>
          <w:sz w:val="24"/>
          <w:lang w:val="en-US" w:eastAsia="zh-CN"/>
        </w:rPr>
        <w:t>中男女双方婚姻关系存续时间五个月，彩礼款176000元是2023年湖南省城镇居民人均可支配收入49243元的三倍以上，属于彩礼数额明显过高的情形。根据女方得到回礼、压箱钱、嫁妆折旧等具体因素来考虑，法院裁定返还比例约为31%。而在杨某某蒲某某婚约财产纠纷中男女双方没有办理结婚登记，仅按照农村的传统习俗举行过婚礼仪式，并短期共同生活。彩礼124047元远远大于当地普通水平，扣除女方陪嫁的六床棉被，法院裁定返还比例约为67%。由表2可知“未共同生活或极短期（&lt;1个月）”与“短期共同生活（1个月至1年）”的平均返还比例仅差6%，两案间差距为36%，在其他因素基本相同的情况下，明显是登记状态让裁量逻辑产生差异所导致。可见结婚登记并非一个能够单独、稳定地决定返还比例的裁判指标，其对返还比例的实际影响高度依附于共同生活时长、彩礼用途及数额等综合情节，呈现明显的波动性与不确定性。</w:t>
      </w:r>
    </w:p>
    <w:bookmarkEnd w:id="143"/>
    <w:bookmarkEnd w:id="144"/>
    <w:p>
      <w:pPr>
        <w:keepNext w:val="0"/>
        <w:keepLines w:val="0"/>
        <w:pageBreakBefore w:val="0"/>
        <w:widowControl w:val="0"/>
        <w:kinsoku/>
        <w:wordWrap/>
        <w:overflowPunct/>
        <w:topLinePunct w:val="0"/>
        <w:autoSpaceDE/>
        <w:autoSpaceDN/>
        <w:bidi w:val="0"/>
        <w:adjustRightInd/>
        <w:snapToGrid/>
        <w:spacing w:before="240" w:after="120" w:line="400" w:lineRule="exact"/>
        <w:ind w:firstLine="482" w:firstLineChars="200"/>
        <w:textAlignment w:val="auto"/>
        <w:outlineLvl w:val="2"/>
        <w:rPr>
          <w:rFonts w:hint="eastAsia" w:ascii="Times New Roman" w:hAnsi="Times New Roman" w:eastAsia="宋体" w:cs="Times New Roman"/>
          <w:b/>
          <w:bCs/>
          <w:sz w:val="24"/>
          <w:szCs w:val="28"/>
          <w:shd w:val="clear" w:color="auto" w:fill="FFFFFF"/>
          <w:lang w:val="en-US" w:eastAsia="zh-CN"/>
        </w:rPr>
      </w:pPr>
      <w:bookmarkStart w:id="145" w:name="_Toc11267"/>
      <w:bookmarkStart w:id="146" w:name="_Toc23893"/>
      <w:r>
        <w:rPr>
          <w:rFonts w:hint="eastAsia" w:ascii="Times New Roman" w:hAnsi="Times New Roman" w:cs="Times New Roman"/>
          <w:b/>
          <w:bCs/>
          <w:sz w:val="24"/>
          <w:szCs w:val="28"/>
          <w:shd w:val="clear" w:color="auto" w:fill="FFFFFF"/>
          <w:lang w:val="en-US" w:eastAsia="zh-CN"/>
        </w:rPr>
        <w:t>2</w:t>
      </w:r>
      <w:r>
        <w:rPr>
          <w:rFonts w:hint="eastAsia" w:ascii="Times New Roman" w:hAnsi="Times New Roman" w:eastAsia="宋体" w:cs="Times New Roman"/>
          <w:b/>
          <w:bCs/>
          <w:sz w:val="24"/>
          <w:szCs w:val="28"/>
          <w:shd w:val="clear" w:color="auto" w:fill="FFFFFF"/>
        </w:rPr>
        <w:t>.</w:t>
      </w:r>
      <w:bookmarkEnd w:id="145"/>
      <w:r>
        <w:rPr>
          <w:rFonts w:hint="eastAsia" w:ascii="Times New Roman" w:hAnsi="Times New Roman" w:eastAsia="宋体" w:cs="Times New Roman"/>
          <w:b/>
          <w:bCs/>
          <w:sz w:val="24"/>
          <w:szCs w:val="28"/>
          <w:shd w:val="clear" w:color="auto" w:fill="FFFFFF"/>
        </w:rPr>
        <w:t>要素权重不</w:t>
      </w:r>
      <w:r>
        <w:rPr>
          <w:rFonts w:hint="eastAsia" w:ascii="Times New Roman" w:hAnsi="Times New Roman" w:cs="Times New Roman"/>
          <w:b/>
          <w:bCs/>
          <w:sz w:val="24"/>
          <w:szCs w:val="28"/>
          <w:shd w:val="clear" w:color="auto" w:fill="FFFFFF"/>
          <w:lang w:val="en-US" w:eastAsia="zh-CN"/>
        </w:rPr>
        <w:t>清晰</w:t>
      </w:r>
      <w:bookmarkEnd w:id="146"/>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通过分析多个具体案例可以发现，上述各要素在影响最终返还比例时，其权重并非固定不变或清晰可辨，常常呈现出权重不明显的状态，导致类似情节却出现比例差异较大的结果。</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147" w:name="OLE_LINK27"/>
      <w:r>
        <w:rPr>
          <w:rFonts w:hint="eastAsia" w:ascii="Times New Roman" w:hAnsi="Times New Roman" w:cs="Times New Roman"/>
          <w:sz w:val="24"/>
          <w:lang w:val="en-US" w:eastAsia="zh-CN"/>
        </w:rPr>
        <w:t>共同生活时间作为核心要素，其权重在不同案件中体现不一。孕育情况与过错要素的组合，对返还比例的影响也缺乏一致性。在欧某曾某与王某1王某2等一审民事判决书</w:t>
      </w:r>
      <w:r>
        <w:rPr>
          <w:rStyle w:val="24"/>
          <w:rFonts w:hint="eastAsia" w:ascii="Times New Roman" w:hAnsi="Times New Roman" w:cs="Times New Roman"/>
          <w:sz w:val="24"/>
          <w:lang w:val="en-US" w:eastAsia="zh-CN"/>
        </w:rPr>
        <w:footnoteReference w:id="45"/>
      </w:r>
      <w:r>
        <w:rPr>
          <w:rFonts w:hint="eastAsia" w:ascii="Times New Roman" w:hAnsi="Times New Roman" w:cs="Times New Roman"/>
          <w:sz w:val="24"/>
          <w:lang w:val="en-US" w:eastAsia="zh-CN"/>
        </w:rPr>
        <w:t>中双方共同生活时间为6个月，法院酌情确定返还比例为60%。而在邹某1与邹某2邹某3等一审民事判决书</w:t>
      </w:r>
      <w:r>
        <w:rPr>
          <w:rStyle w:val="24"/>
          <w:rFonts w:hint="eastAsia" w:ascii="Times New Roman" w:hAnsi="Times New Roman" w:cs="Times New Roman"/>
          <w:sz w:val="24"/>
          <w:lang w:val="en-US" w:eastAsia="zh-CN"/>
        </w:rPr>
        <w:footnoteReference w:id="46"/>
      </w:r>
      <w:r>
        <w:rPr>
          <w:rFonts w:hint="eastAsia" w:ascii="Times New Roman" w:hAnsi="Times New Roman" w:cs="Times New Roman"/>
          <w:sz w:val="24"/>
          <w:lang w:val="en-US" w:eastAsia="zh-CN"/>
        </w:rPr>
        <w:t>中双方共同生活一月左右，且女方怀孕并流产，法院确定返还比例为70%。即在司法实践中存在，</w:t>
      </w:r>
      <w:bookmarkStart w:id="148" w:name="OLE_LINK29"/>
      <w:r>
        <w:rPr>
          <w:rFonts w:hint="eastAsia" w:ascii="Times New Roman" w:hAnsi="Times New Roman" w:cs="Times New Roman"/>
          <w:sz w:val="24"/>
          <w:lang w:val="en-US" w:eastAsia="zh-CN"/>
        </w:rPr>
        <w:t>5个月的要素减去女方流产的要素</w:t>
      </w:r>
      <w:bookmarkEnd w:id="148"/>
      <w:r>
        <w:rPr>
          <w:rFonts w:hint="eastAsia" w:ascii="Times New Roman" w:hAnsi="Times New Roman" w:cs="Times New Roman"/>
          <w:sz w:val="24"/>
          <w:lang w:val="en-US" w:eastAsia="zh-CN"/>
        </w:rPr>
        <w:t>可以得出10%的返还比例差距。</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由表2可知“中长期共同生活（1年至3年）”的平均返还比例为45%。在雷某甲雷某乙姚某丙婚约财产纠纷</w:t>
      </w:r>
      <w:r>
        <w:rPr>
          <w:rStyle w:val="24"/>
          <w:rFonts w:hint="eastAsia" w:ascii="Times New Roman" w:hAnsi="Times New Roman" w:cs="Times New Roman"/>
          <w:sz w:val="24"/>
          <w:lang w:val="en-US" w:eastAsia="zh-CN"/>
        </w:rPr>
        <w:footnoteReference w:id="47"/>
      </w:r>
      <w:r>
        <w:rPr>
          <w:rFonts w:hint="eastAsia" w:ascii="Times New Roman" w:hAnsi="Times New Roman" w:cs="Times New Roman"/>
          <w:sz w:val="24"/>
          <w:lang w:val="en-US" w:eastAsia="zh-CN"/>
        </w:rPr>
        <w:t>中双方共同生活两年多，期间女方经历两次引产、一次生育，且男方存在“网络招嫖”等过错，法院最终酌定返还比例为35%，下调了10%。而在曾某1刘某等与尹某二审民事判决书</w:t>
      </w:r>
      <w:r>
        <w:rPr>
          <w:rStyle w:val="24"/>
          <w:rFonts w:hint="eastAsia" w:ascii="Times New Roman" w:hAnsi="Times New Roman" w:cs="Times New Roman"/>
          <w:sz w:val="24"/>
          <w:lang w:val="en-US" w:eastAsia="zh-CN"/>
        </w:rPr>
        <w:footnoteReference w:id="48"/>
      </w:r>
      <w:r>
        <w:rPr>
          <w:rFonts w:hint="eastAsia" w:ascii="Times New Roman" w:hAnsi="Times New Roman" w:cs="Times New Roman"/>
          <w:sz w:val="24"/>
          <w:lang w:val="en-US" w:eastAsia="zh-CN"/>
        </w:rPr>
        <w:t>中双方共同生活两年多，女方曾怀孕流产，因女方拒绝办理结婚登记，一审法院认定其为主要过错方，二审法院在一审基础上将80%的返还比例调整至70%，上调了25%。</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笔者认为女方拒绝办理结婚登记的参考要素权重明显不大于女方经历一次引产、一次生育加男方存在“网络招嫖”参考要素权重的两倍，女方经历一次引产、一次生育加男方存在“网络招嫖”参考要素权重也不能等同5个月的要素减去女方流产的要素所得权重。</w:t>
      </w:r>
      <w:bookmarkStart w:id="149" w:name="OLE_LINK28"/>
      <w:r>
        <w:rPr>
          <w:rFonts w:hint="eastAsia" w:ascii="Times New Roman" w:hAnsi="Times New Roman" w:cs="Times New Roman"/>
          <w:sz w:val="24"/>
          <w:lang w:val="en-US" w:eastAsia="zh-CN"/>
        </w:rPr>
        <w:t>并且邹某1案和曾某1案返还比例相同意味着共同生活一月加女方流产等于双方共同生活两年多加女方拒绝办理结婚登记加女方流产。这意味着，在司法实践中，较短的共同生活时间可以被等量齐观为较长的共同生活加上女方自身的缔约过错。</w:t>
      </w:r>
      <w:bookmarkEnd w:id="138"/>
      <w:bookmarkEnd w:id="142"/>
      <w:bookmarkEnd w:id="147"/>
      <w:bookmarkEnd w:id="149"/>
      <w:r>
        <w:rPr>
          <w:rFonts w:hint="eastAsia" w:ascii="Times New Roman" w:hAnsi="Times New Roman" w:cs="Times New Roman"/>
          <w:sz w:val="24"/>
          <w:lang w:val="en-US" w:eastAsia="zh-CN"/>
        </w:rPr>
        <w:t>可见，共同生活、过错与孕育等核心要素，在法官的个案权衡中并不具备相对固定的换算权重，而是被高度灵活的裁量所吸附，缺乏清晰标准。</w:t>
      </w: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left="0" w:leftChars="0" w:firstLine="314" w:firstLineChars="131"/>
        <w:textAlignment w:val="auto"/>
        <w:outlineLvl w:val="0"/>
        <w:rPr>
          <w:rFonts w:hint="eastAsia" w:ascii="Times New Roman" w:hAnsi="Times New Roman"/>
          <w:b/>
          <w:bCs/>
          <w:color w:val="000000"/>
          <w:sz w:val="32"/>
          <w:szCs w:val="32"/>
          <w:shd w:val="clear" w:color="auto" w:fill="FFFFFF"/>
        </w:rPr>
      </w:pPr>
      <w:r>
        <w:rPr>
          <w:rFonts w:hint="eastAsia" w:ascii="Times New Roman" w:hAnsi="Times New Roman" w:cs="Times New Roman"/>
          <w:sz w:val="24"/>
          <w:lang w:val="en-US" w:eastAsia="zh-CN"/>
        </w:rPr>
        <w:br w:type="page"/>
      </w:r>
      <w:bookmarkStart w:id="150" w:name="_Toc4833"/>
      <w:bookmarkStart w:id="151" w:name="OLE_LINK10"/>
      <w:bookmarkStart w:id="152" w:name="_Toc3925"/>
      <w:r>
        <w:rPr>
          <w:rFonts w:hint="eastAsia" w:ascii="Times New Roman" w:hAnsi="Times New Roman" w:cs="Times New Roman"/>
          <w:b/>
          <w:bCs/>
          <w:sz w:val="32"/>
          <w:szCs w:val="32"/>
          <w:lang w:val="en-US" w:eastAsia="zh-CN"/>
        </w:rPr>
        <w:t>五、</w:t>
      </w:r>
      <w:r>
        <w:rPr>
          <w:rFonts w:hint="eastAsia" w:ascii="Times New Roman" w:hAnsi="Times New Roman"/>
          <w:b/>
          <w:bCs/>
          <w:color w:val="000000"/>
          <w:sz w:val="32"/>
          <w:szCs w:val="32"/>
          <w:shd w:val="clear" w:color="auto" w:fill="FFFFFF"/>
        </w:rPr>
        <w:t>彩礼返还规则完善建议</w:t>
      </w:r>
      <w:bookmarkEnd w:id="150"/>
      <w:bookmarkEnd w:id="151"/>
      <w:bookmarkEnd w:id="15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彩礼是带有浓厚中华传统文化色彩的婚俗，它包含着双方对于婚姻长久稳定的深厚情感。尽管《民法典》婚姻家庭编解释（一）第五条及《彩礼适用规定》已经对相关争议进行了初步的规范，但是在诉讼主体资格认定、财产范围界定以及返还比例确定等各方面仍然存在着法律适用上的模糊之处。因此本文以完善彩礼返还制度为研究对象，试图给司法裁判提供有实用价值的理论支持和决策参考。</w:t>
      </w:r>
    </w:p>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hint="eastAsia" w:ascii="Times New Roman" w:hAnsi="Times New Roman"/>
          <w:b/>
          <w:sz w:val="28"/>
          <w:szCs w:val="30"/>
          <w:shd w:val="clear" w:color="auto" w:fill="FFFFFF"/>
        </w:rPr>
      </w:pPr>
      <w:bookmarkStart w:id="153" w:name="_Toc13181"/>
      <w:bookmarkStart w:id="154" w:name="_Toc22371"/>
      <w:bookmarkStart w:id="155" w:name="_Toc13370"/>
      <w:bookmarkStart w:id="156" w:name="_Toc387"/>
      <w:bookmarkStart w:id="157" w:name="_Toc22844"/>
      <w:bookmarkStart w:id="158" w:name="_Toc28228"/>
      <w:bookmarkStart w:id="159" w:name="_Toc23535_WPSOffice_Level2"/>
      <w:bookmarkStart w:id="160" w:name="_Toc25882"/>
      <w:bookmarkStart w:id="161" w:name="_Toc890"/>
      <w:bookmarkStart w:id="162" w:name="_Toc24474"/>
      <w:r>
        <w:rPr>
          <w:rFonts w:hint="eastAsia" w:ascii="Times New Roman" w:hAnsi="Times New Roman"/>
          <w:b/>
          <w:sz w:val="28"/>
          <w:szCs w:val="30"/>
          <w:shd w:val="clear" w:color="auto" w:fill="FFFFFF"/>
        </w:rPr>
        <w:t>（一）</w:t>
      </w:r>
      <w:bookmarkEnd w:id="153"/>
      <w:bookmarkEnd w:id="154"/>
      <w:bookmarkEnd w:id="155"/>
      <w:bookmarkEnd w:id="156"/>
      <w:bookmarkEnd w:id="157"/>
      <w:bookmarkEnd w:id="158"/>
      <w:bookmarkEnd w:id="159"/>
      <w:bookmarkEnd w:id="160"/>
      <w:r>
        <w:rPr>
          <w:rFonts w:hint="eastAsia" w:ascii="Times New Roman" w:hAnsi="Times New Roman"/>
          <w:b/>
          <w:sz w:val="28"/>
          <w:szCs w:val="30"/>
          <w:shd w:val="clear" w:color="auto" w:fill="FFFFFF"/>
        </w:rPr>
        <w:t>扩大诉讼主体范围</w:t>
      </w:r>
      <w:bookmarkEnd w:id="161"/>
      <w:bookmarkEnd w:id="16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婚约的本质是男女双方自主订立的身份预约，彩礼给付是依附于婚约的目的性赠与，婚约的相对方仅为男女双方，父母并非婚约主体。若允许父母脱离婚约当事人单独参与诉讼，实质是变相认可“父母之命、媒妁之言”的优先效力，与《民法典》第1042条禁止包办婚姻、第1046条结婚应当男女双方完全自愿的规定直接冲突。</w:t>
      </w:r>
      <w:r>
        <w:rPr>
          <w:rStyle w:val="24"/>
          <w:rFonts w:hint="eastAsia" w:ascii="Times New Roman" w:hAnsi="Times New Roman" w:cs="Times New Roman"/>
          <w:sz w:val="24"/>
          <w:lang w:val="en-US" w:eastAsia="zh-CN"/>
        </w:rPr>
        <w:footnoteReference w:id="49"/>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彩礼纠纷规定》第4条未将诉讼主体扩大到除父母之外的其他亲属，是考虑到过多人涉诉会严重影响诉讼效率并激化社会矛盾，但并不意味着司法实践中绝对禁止其他近亲属作为彩礼的实际给付人及接收人参与诉讼。如果婚约一方父母早亡，其他亲属抚养长大并在彩礼给付接收中代行父母职责，可以参照适用《彩礼纠纷规定》第4条</w:t>
      </w:r>
      <w:r>
        <w:rPr>
          <w:rFonts w:hint="default" w:ascii="Times New Roman" w:hAnsi="Times New Roman" w:cs="Times New Roman"/>
          <w:sz w:val="24"/>
          <w:lang w:val="en-US" w:eastAsia="zh-CN"/>
        </w:rPr>
        <w:t>”</w:t>
      </w:r>
      <w:r>
        <w:rPr>
          <w:rStyle w:val="24"/>
          <w:rFonts w:hint="eastAsia" w:ascii="Times New Roman" w:hAnsi="Times New Roman" w:cs="Times New Roman"/>
          <w:sz w:val="24"/>
          <w:lang w:val="en-US" w:eastAsia="zh-CN"/>
        </w:rPr>
        <w:footnoteReference w:id="50"/>
      </w:r>
      <w:r>
        <w:rPr>
          <w:rFonts w:hint="eastAsia" w:ascii="Times New Roman" w:hAnsi="Times New Roman" w:cs="Times New Roman"/>
          <w:sz w:val="24"/>
          <w:lang w:val="en-US" w:eastAsia="zh-CN"/>
        </w:rPr>
        <w:t>。之所以将父母纳入共同主体，是基于习俗中父母参与给付接收的现实，而非承认其婚约主体地位。从主体适格的逻辑来看，婚约财产纠纷的请求权基础是婚约解除后的目的不达不当得利，而婚约的双方当事人是男女双方，父母仅为彩礼的实际给付或接收方，并非婚约关系的相对方。彩礼给付的意思表示是向婚约相对方作出，即便由父母代为交付，法律效果也归属于婚约当事人，父母并非法律关系的直接主体，仅在实际给付/接收且婚约当事人无行为能力等例外情形下，才可作为单独主体参与诉讼</w:t>
      </w:r>
      <w:r>
        <w:rPr>
          <w:rStyle w:val="24"/>
          <w:rFonts w:hint="eastAsia" w:ascii="Times New Roman" w:hAnsi="Times New Roman" w:cs="Times New Roman"/>
          <w:sz w:val="24"/>
          <w:lang w:val="en-US" w:eastAsia="zh-CN"/>
        </w:rPr>
        <w:footnoteReference w:id="51"/>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对于彩礼返还纠纷中诉讼主体的认定问题，要根据具体的案情事实作出相应的调整，以适应新的情况。主要涉及以下情况，在婚约当事人去世或者宣告失踪的时候，由于婚姻关系随着主体的消失而终止，如果彩礼的实际支配者是双方的父母，那么可以作为独立的原告主张权利；对于不满十八周岁或者丧失行为能力的当事人，法定代理人（父母）有权代为提起诉讼；如果彩礼款被近亲属非法占有，权利人下落不明无法维权的，可以通过司法程序确认其应当得到的份额，责令相关责任人承担连带赔偿责任；如果彩礼已经转给除配偶之外的其他人名下的，应当追加这些人作为共同被告，并根据各自的收益比例来确定具体的法律责任范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上，确立了原则性禁止、例外性许可的法律规范框架，即一般情况下诉讼主体为婚约当事人及其实际收受或者支付彩礼的父母，以共同原告身份参加诉讼；只有在特殊情况下，才可以将父母作为独立的诉讼主体。</w:t>
      </w:r>
    </w:p>
    <w:p>
      <w:pPr>
        <w:keepNext w:val="0"/>
        <w:keepLines w:val="0"/>
        <w:pageBreakBefore w:val="0"/>
        <w:widowControl w:val="0"/>
        <w:numPr>
          <w:ilvl w:val="0"/>
          <w:numId w:val="0"/>
        </w:numPr>
        <w:kinsoku/>
        <w:wordWrap/>
        <w:overflowPunct/>
        <w:topLinePunct w:val="0"/>
        <w:autoSpaceDE/>
        <w:autoSpaceDN/>
        <w:bidi w:val="0"/>
        <w:adjustRightInd/>
        <w:snapToGrid/>
        <w:spacing w:before="480" w:after="120" w:line="400" w:lineRule="exact"/>
        <w:ind w:left="0" w:leftChars="0" w:firstLine="562" w:firstLineChars="200"/>
        <w:textAlignment w:val="auto"/>
        <w:outlineLvl w:val="1"/>
        <w:rPr>
          <w:rFonts w:hint="eastAsia" w:ascii="Times New Roman" w:hAnsi="Times New Roman" w:eastAsia="宋体" w:cs="Times New Roman"/>
          <w:b/>
          <w:sz w:val="28"/>
          <w:szCs w:val="30"/>
          <w:shd w:val="clear" w:color="auto" w:fill="FFFFFF"/>
        </w:rPr>
      </w:pPr>
      <w:bookmarkStart w:id="163" w:name="_Toc29853"/>
      <w:bookmarkStart w:id="164" w:name="_Toc21483"/>
      <w:r>
        <w:rPr>
          <w:rFonts w:hint="eastAsia" w:ascii="Times New Roman" w:hAnsi="Times New Roman" w:eastAsia="宋体" w:cs="Times New Roman"/>
          <w:b/>
          <w:kern w:val="2"/>
          <w:sz w:val="28"/>
          <w:szCs w:val="30"/>
          <w:shd w:val="clear" w:color="auto" w:fill="FFFFFF"/>
          <w:lang w:val="en-US" w:eastAsia="zh-CN" w:bidi="ar-SA"/>
        </w:rPr>
        <w:t>（</w:t>
      </w:r>
      <w:r>
        <w:rPr>
          <w:rFonts w:hint="eastAsia" w:ascii="Times New Roman" w:hAnsi="Times New Roman" w:cs="Times New Roman"/>
          <w:b/>
          <w:kern w:val="2"/>
          <w:sz w:val="28"/>
          <w:szCs w:val="30"/>
          <w:shd w:val="clear" w:color="auto" w:fill="FFFFFF"/>
          <w:lang w:val="en-US" w:eastAsia="zh-CN" w:bidi="ar-SA"/>
        </w:rPr>
        <w:t>二</w:t>
      </w:r>
      <w:r>
        <w:rPr>
          <w:rFonts w:hint="eastAsia" w:ascii="Times New Roman" w:hAnsi="Times New Roman" w:eastAsia="宋体" w:cs="Times New Roman"/>
          <w:b/>
          <w:kern w:val="2"/>
          <w:sz w:val="28"/>
          <w:szCs w:val="30"/>
          <w:shd w:val="clear" w:color="auto" w:fill="FFFFFF"/>
          <w:lang w:val="en-US" w:eastAsia="zh-CN" w:bidi="ar-SA"/>
        </w:rPr>
        <w:t>）</w:t>
      </w:r>
      <w:r>
        <w:rPr>
          <w:rFonts w:hint="eastAsia" w:ascii="Times New Roman" w:hAnsi="Times New Roman" w:eastAsia="宋体" w:cs="Times New Roman"/>
          <w:b/>
          <w:sz w:val="28"/>
          <w:szCs w:val="30"/>
          <w:shd w:val="clear" w:color="auto" w:fill="FFFFFF"/>
        </w:rPr>
        <w:t>彩礼及返还范围的界定</w:t>
      </w:r>
      <w:bookmarkEnd w:id="163"/>
      <w:bookmarkEnd w:id="164"/>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将缔结婚姻为目的的行为属性作为彩礼认定标准受司法实践中普遍认可。如订婚仪式、迎亲活动或者双方家长协商婚约等传统习俗节点所支付的财物，一般会被认定为彩礼，除非当事人能够提供充分的证据证明其有其他的用途；因订立婚约而购买的价值较高、具有特殊纪念意义的物品（金银饰品、高端电子产品等），即使没有直接交给对方个人，但如果已经被对方家庭成员长期实际使用，那么就应该将其计入彩礼总额之中，并扣除合理的折旧费用后确定最终金额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对于缔结婚姻目的，应当界定为婚约中的男女双方建立家庭成员关系，形成稳定的共同生活体，而非缔结婚姻（登记结婚）</w:t>
      </w:r>
      <w:r>
        <w:rPr>
          <w:rStyle w:val="24"/>
          <w:rFonts w:hint="eastAsia" w:ascii="Times New Roman" w:hAnsi="Times New Roman" w:cs="Times New Roman"/>
          <w:sz w:val="24"/>
          <w:lang w:val="en-US" w:eastAsia="zh-CN"/>
        </w:rPr>
        <w:footnoteReference w:id="52"/>
      </w:r>
      <w:r>
        <w:rPr>
          <w:rFonts w:hint="eastAsia" w:ascii="Times New Roman" w:hAnsi="Times New Roman" w:cs="Times New Roman"/>
          <w:sz w:val="24"/>
          <w:lang w:val="en-US" w:eastAsia="zh-CN"/>
        </w:rPr>
        <w:t>。即婚姻目的不应被简单等同于“缔结婚姻”这一程序性瞬间，而应被理解为一种动态的、持续性的“共同生活共同体”建构过程。传统观念往往将婚姻目的窄化为完成结婚登记或举办婚礼，但现代婚姻的本质在于双方在情感互依、经济互助、家庭责任共担以及精神成长等多维度上实现深度融合。对于婚姻目的的实现应当看双方是否真正进入并维持着一种“共享生活、共担风险、共建命运”的实质性状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《彩礼</w:t>
      </w:r>
      <w:r>
        <w:rPr>
          <w:rFonts w:hint="eastAsia" w:ascii="Times New Roman" w:hAnsi="Times New Roman" w:cs="Times New Roman"/>
          <w:sz w:val="24"/>
          <w:lang w:val="en-US" w:eastAsia="zh-CN"/>
        </w:rPr>
        <w:t>适用</w:t>
      </w:r>
      <w:r>
        <w:rPr>
          <w:rFonts w:hint="default" w:ascii="Times New Roman" w:hAnsi="Times New Roman" w:cs="Times New Roman"/>
          <w:sz w:val="24"/>
          <w:lang w:val="en-US" w:eastAsia="zh-CN"/>
        </w:rPr>
        <w:t>规定》第三条明确三类财物不属于彩礼，实务中需</w:t>
      </w:r>
      <w:r>
        <w:rPr>
          <w:rFonts w:hint="eastAsia" w:ascii="Times New Roman" w:hAnsi="Times New Roman" w:cs="Times New Roman"/>
          <w:sz w:val="24"/>
          <w:lang w:val="en-US" w:eastAsia="zh-CN"/>
        </w:rPr>
        <w:t>基于2025年湖南居民人均可支配收入39545元</w:t>
      </w:r>
      <w:r>
        <w:rPr>
          <w:rStyle w:val="24"/>
          <w:rFonts w:hint="eastAsia" w:ascii="Times New Roman" w:hAnsi="Times New Roman" w:cs="Times New Roman"/>
          <w:sz w:val="24"/>
          <w:lang w:val="en-US" w:eastAsia="zh-CN"/>
        </w:rPr>
        <w:footnoteReference w:id="53"/>
      </w:r>
      <w:r>
        <w:rPr>
          <w:rFonts w:hint="default" w:ascii="Times New Roman" w:hAnsi="Times New Roman" w:cs="Times New Roman"/>
          <w:sz w:val="24"/>
          <w:lang w:val="en-US" w:eastAsia="zh-CN"/>
        </w:rPr>
        <w:t>设置量化上限，</w:t>
      </w:r>
      <w:r>
        <w:rPr>
          <w:rFonts w:hint="eastAsia" w:ascii="Times New Roman" w:hAnsi="Times New Roman" w:cs="Times New Roman"/>
          <w:sz w:val="24"/>
          <w:lang w:val="en-US" w:eastAsia="zh-CN"/>
        </w:rPr>
        <w:t>减少</w:t>
      </w:r>
      <w:r>
        <w:rPr>
          <w:rFonts w:hint="default" w:ascii="Times New Roman" w:hAnsi="Times New Roman" w:cs="Times New Roman"/>
          <w:sz w:val="24"/>
          <w:lang w:val="en-US" w:eastAsia="zh-CN"/>
        </w:rPr>
        <w:t>当事人举证</w:t>
      </w:r>
      <w:r>
        <w:rPr>
          <w:rFonts w:hint="eastAsia" w:ascii="Times New Roman" w:hAnsi="Times New Roman" w:cs="Times New Roman"/>
          <w:sz w:val="24"/>
          <w:lang w:val="en-US" w:eastAsia="zh-CN"/>
        </w:rPr>
        <w:t>压力</w:t>
      </w:r>
      <w:r>
        <w:rPr>
          <w:rFonts w:hint="default" w:ascii="Times New Roman" w:hAnsi="Times New Roman" w:cs="Times New Roman"/>
          <w:sz w:val="24"/>
          <w:lang w:val="en-US" w:eastAsia="zh-CN"/>
        </w:rPr>
        <w:t>，有效地解决案件审理过程中存在的事实认定难题；对于超过此标准的情形，要求相关当事人提交充分的证据来证明其具体的性质，以防止机械裁判所造成的法律风险。</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在某些情况下，如果转账行为主要是为了加强感情而并非是为了缔结婚姻目的，那么就很难符合传统彩礼法律关系的本质特征。对于小额转账的判断标准一般以客观条件为主，即单笔转账金额少于人民币2000元或者当地居民月均收入的50%，一般采取推定规则来认定不属于彩礼范围；反之，如果单笔转账金额超过这个标准，则需要接收方承担举证责任，证明该笔款项不是非金钱性质的情感赠与，否则会被认定为彩礼。日常小额转账也要遵循类似的逻辑分析，单笔转账不超过人民币1000元、年度累计总额不超过当地居民月平均收入的20%、全年接收总金额不超过5000元的情况一般不被认定为彩礼。对于某个时间段内的转账行为，如果单笔转账金额不超过人民币1000元，年度累计总额不超过当地居民月平均收入的20%，且全年收到总额不超过5000元，则一般认为是不属于彩礼范畴的。根据地方习俗形成的礼节性往来，即婚前见面礼、节日红包或者媒人酬金等，一般被视作双方自愿的表示善意，属于非彩礼范畴。夫妻共同生活期间因日常生活开销而产生的合理费用（住宿费、水电煤气费、餐饮费、小额购物等），由于双方均有分担义务且单次金额一般不会超过个人月收入的一定比例，因此不属于彩礼范围。而作为女方家庭对于新婚生活支持形式的嫁妆，在原定用途不能实现的时候，可以在评估彩礼总额的时候适当扣除相应的价值，防止出现过度的利益获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经由创建起“正面要素剖析-分类归纳整理-反向排除界定-数量上限划定”这一个层次的法律适用架构，司法人员可以较好地弄清彩礼概念的内涵，达成湖南省内同类案件裁判标准的一致性，而且有益于法律规范同社会伦理价值形成良好的互动。</w:t>
      </w:r>
    </w:p>
    <w:p>
      <w:pPr>
        <w:keepNext w:val="0"/>
        <w:keepLines w:val="0"/>
        <w:pageBreakBefore w:val="0"/>
        <w:widowControl w:val="0"/>
        <w:numPr>
          <w:ilvl w:val="0"/>
          <w:numId w:val="3"/>
        </w:numPr>
        <w:kinsoku/>
        <w:wordWrap/>
        <w:overflowPunct/>
        <w:topLinePunct w:val="0"/>
        <w:autoSpaceDE/>
        <w:autoSpaceDN/>
        <w:bidi w:val="0"/>
        <w:adjustRightInd/>
        <w:snapToGrid/>
        <w:spacing w:before="480" w:after="120" w:line="400" w:lineRule="exact"/>
        <w:ind w:left="0" w:leftChars="0" w:firstLine="562" w:firstLineChars="200"/>
        <w:textAlignment w:val="auto"/>
        <w:outlineLvl w:val="1"/>
        <w:rPr>
          <w:rFonts w:hint="eastAsia" w:ascii="Times New Roman" w:hAnsi="Times New Roman" w:cs="Times New Roman"/>
          <w:b/>
          <w:sz w:val="28"/>
          <w:szCs w:val="30"/>
          <w:shd w:val="clear" w:color="auto" w:fill="FFFFFF"/>
          <w:lang w:val="en-US" w:eastAsia="zh-CN"/>
        </w:rPr>
      </w:pPr>
      <w:bookmarkStart w:id="165" w:name="_Toc28953"/>
      <w:bookmarkStart w:id="166" w:name="_Toc16329"/>
      <w:r>
        <w:rPr>
          <w:rFonts w:hint="eastAsia" w:ascii="Times New Roman" w:hAnsi="Times New Roman" w:cs="Times New Roman"/>
          <w:b/>
          <w:sz w:val="28"/>
          <w:szCs w:val="30"/>
          <w:shd w:val="clear" w:color="auto" w:fill="FFFFFF"/>
          <w:lang w:val="en-US" w:eastAsia="zh-CN"/>
        </w:rPr>
        <w:t>彩礼返还的动态体系构建</w:t>
      </w:r>
      <w:bookmarkEnd w:id="165"/>
      <w:bookmarkEnd w:id="166"/>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我国现行彩礼返还制度的核心要义，主要依靠《民法典婚姻家庭编解释（一）》第5条所确定的基本规则，即以结婚登记为节点进行法律调整。虽然2024年颁布的《彩礼适用规定》对“未登记但共同生活”“已登记但共同生活较短”两类情形进行了规定，但是整体框架上仍然沿用了传统的以结婚登记为唯一判断标准的思想。动态体系构建的首要前提，是破除“结婚登记=彩礼给付目的实现”的形式主义逻辑，重新聚焦彩礼给付“组建稳定家庭共同体”的本质目的。</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r>
        <w:rPr>
          <w:rFonts w:hint="default" w:ascii="Times New Roman" w:hAnsi="Times New Roman" w:cs="Times New Roman"/>
          <w:sz w:val="24"/>
          <w:lang w:val="en-US" w:eastAsia="zh-CN"/>
        </w:rPr>
        <w:t>结婚登记是我国法律规定的婚姻关系生效的形式要件，但将其作为彩礼返还的唯一或首要前提，既不符合彩礼的习俗本质，也与司法实践的实际运行脱节。结婚登记并不等同于婚姻本身，应当以家庭成员要素重塑结婚登记要素，建立家庭成员和彩礼金额的双层构造模式</w:t>
      </w:r>
      <w:r>
        <w:rPr>
          <w:rFonts w:hint="default" w:ascii="Times New Roman" w:hAnsi="Times New Roman" w:cs="Times New Roman"/>
          <w:sz w:val="24"/>
          <w:vertAlign w:val="superscript"/>
          <w:lang w:val="en-US" w:eastAsia="zh-CN"/>
        </w:rPr>
        <w:fldChar w:fldCharType="begin"/>
      </w:r>
      <w:r>
        <w:rPr>
          <w:rFonts w:hint="default" w:ascii="Times New Roman" w:hAnsi="Times New Roman" w:cs="Times New Roman"/>
          <w:sz w:val="24"/>
          <w:vertAlign w:val="superscript"/>
          <w:lang w:val="en-US" w:eastAsia="zh-CN"/>
        </w:rPr>
        <w:instrText xml:space="preserve"> NOTEREF _Ref17563 \h </w:instrText>
      </w:r>
      <w:r>
        <w:rPr>
          <w:rFonts w:hint="default" w:ascii="Times New Roman" w:hAnsi="Times New Roman" w:cs="Times New Roman"/>
          <w:sz w:val="24"/>
          <w:vertAlign w:val="superscript"/>
          <w:lang w:val="en-US" w:eastAsia="zh-CN"/>
        </w:rPr>
        <w:fldChar w:fldCharType="separate"/>
      </w:r>
      <w:r>
        <w:rPr>
          <w:rFonts w:hint="default" w:ascii="Times New Roman" w:hAnsi="Times New Roman" w:cs="Times New Roman"/>
          <w:sz w:val="24"/>
          <w:vertAlign w:val="superscript"/>
          <w:lang w:val="en-US" w:eastAsia="zh-CN"/>
        </w:rPr>
        <w:t>①</w:t>
      </w:r>
      <w:r>
        <w:rPr>
          <w:rFonts w:hint="default" w:ascii="Times New Roman" w:hAnsi="Times New Roman" w:cs="Times New Roman"/>
          <w:sz w:val="24"/>
          <w:vertAlign w:val="superscript"/>
          <w:lang w:val="en-US" w:eastAsia="zh-CN"/>
        </w:rPr>
        <w:fldChar w:fldCharType="end"/>
      </w:r>
      <w:r>
        <w:rPr>
          <w:rFonts w:hint="eastAsia" w:ascii="Times New Roman" w:hAnsi="Times New Roman"/>
          <w:sz w:val="24"/>
          <w:lang w:val="en-US" w:eastAsia="zh-CN"/>
        </w:rPr>
        <w:t>。有观点认为彩礼给付的最终目的应仅限于“办理结婚登记”这一身份关系变动的决定性要件，“共同生活”不具备决定身份关系变动的效力，不应纳入彩礼给付目的范畴，否则会弱化结婚登记的法定效力，过度约束受领方</w:t>
      </w:r>
      <w:r>
        <w:rPr>
          <w:rStyle w:val="24"/>
          <w:rFonts w:hint="eastAsia" w:ascii="Times New Roman" w:hAnsi="Times New Roman"/>
          <w:sz w:val="24"/>
          <w:lang w:val="en-US" w:eastAsia="zh-CN"/>
        </w:rPr>
        <w:footnoteReference w:id="54"/>
      </w:r>
      <w:r>
        <w:rPr>
          <w:rFonts w:hint="eastAsia" w:ascii="Times New Roman" w:hAnsi="Times New Roman"/>
          <w:sz w:val="24"/>
          <w:lang w:val="en-US" w:eastAsia="zh-CN"/>
        </w:rPr>
        <w:t>。虽强调了登记的法定效力，但忽略了近年来我国非婚同居在一定范围内呈现上升趋势</w:t>
      </w:r>
      <w:r>
        <w:rPr>
          <w:rStyle w:val="24"/>
          <w:rFonts w:hint="eastAsia" w:ascii="Times New Roman" w:hAnsi="Times New Roman"/>
          <w:sz w:val="24"/>
          <w:lang w:val="en-US" w:eastAsia="zh-CN"/>
        </w:rPr>
        <w:footnoteReference w:id="55"/>
      </w:r>
      <w:r>
        <w:rPr>
          <w:rFonts w:hint="eastAsia" w:ascii="Times New Roman" w:hAnsi="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彩礼返还请求权的成立应以“双方是否长期共同生活”为核心，未办理结婚登记并非独立的成立要件，即使已办理结婚登记，若未长期共同生活，仍可触发返还请求权；反之若已长期共同生活，即使未登记，也可排除返还请求权</w:t>
      </w:r>
      <w:r>
        <w:rPr>
          <w:rStyle w:val="24"/>
          <w:rFonts w:hint="default" w:ascii="Times New Roman" w:hAnsi="Times New Roman"/>
          <w:sz w:val="24"/>
          <w:lang w:val="en-US" w:eastAsia="zh-CN"/>
        </w:rPr>
        <w:footnoteReference w:id="56"/>
      </w:r>
      <w:r>
        <w:rPr>
          <w:rFonts w:hint="default" w:ascii="Times New Roman" w:hAnsi="Times New Roman"/>
          <w:sz w:val="24"/>
          <w:lang w:val="en-US" w:eastAsia="zh-CN"/>
        </w:rPr>
        <w:t>。</w:t>
      </w:r>
      <w:r>
        <w:rPr>
          <w:rFonts w:hint="eastAsia" w:ascii="Times New Roman" w:hAnsi="Times New Roman"/>
          <w:sz w:val="24"/>
          <w:lang w:val="en-US" w:eastAsia="zh-CN"/>
        </w:rPr>
        <w:t>实践中，法官也并非机械性适用结婚登记这一法定前提，而是通过多方面因素考量。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放弃登记作为首要判断标准，并非完全否定登记的效力，而是构建以多要素协同的动态体系以适应现实生活中错综复杂的案件。共同生活及孕育情况因素作为第一顺位，具备稳定的家庭成员关系通常不再返还彩礼，此时判断标准包括共同生活、孕育情况、结婚登记情况等，仅在高额彩礼时例外成立返还请求权</w:t>
      </w:r>
      <w:bookmarkStart w:id="167" w:name="_Ref7242"/>
      <w:r>
        <w:rPr>
          <w:rStyle w:val="24"/>
          <w:rFonts w:hint="eastAsia" w:ascii="Times New Roman" w:hAnsi="Times New Roman"/>
          <w:sz w:val="24"/>
          <w:lang w:val="en-US" w:eastAsia="zh-CN"/>
        </w:rPr>
        <w:footnoteReference w:id="57"/>
      </w:r>
      <w:bookmarkEnd w:id="167"/>
      <w:r>
        <w:rPr>
          <w:rFonts w:hint="eastAsia" w:ascii="Times New Roman" w:hAnsi="Times New Roman"/>
          <w:sz w:val="24"/>
          <w:lang w:val="en-US" w:eastAsia="zh-CN"/>
        </w:rPr>
        <w:t>。作为一种例外情况赋予法官一定自由裁量权，结合具体情况确定返还比例。从案例来看，高于当地人均收入3倍的彩礼即属于高价彩礼。若彩礼数额远超当地居民人均可支配收入或给付方家庭经济承受能力时，其性质往往会异化，从“资助”变成了“剥削”，因此，将彩礼数额因素作为第二顺位，使得法官可以对其矫正。与“家庭成员关系”和“高额彩礼”相比，“双方过错”这一要素的权重应被置于最低层级，即第三顺位。其功能应当被严格限定在“返还比例”的调整上，而不能作为确定“是否返还”的依据。过错要素具有高度的主观性和不确定性。何为“过错”？悔婚是否算过错？性格不合是否算过错？不同的认知会导致截然不同的判决。若允许过错要素独立影响返还请求权的成立，极易与“婚姻自由”原则产生冲突，因为婚姻自由本身就包含了“悔婚”的自由</w:t>
      </w:r>
      <w:r>
        <w:rPr>
          <w:rFonts w:hint="eastAsia" w:ascii="Times New Roman" w:hAnsi="Times New Roman"/>
          <w:sz w:val="24"/>
          <w:vertAlign w:val="superscript"/>
          <w:lang w:val="en-US" w:eastAsia="zh-CN"/>
        </w:rPr>
        <w:fldChar w:fldCharType="begin"/>
      </w:r>
      <w:r>
        <w:rPr>
          <w:rFonts w:hint="eastAsia" w:ascii="Times New Roman" w:hAnsi="Times New Roman"/>
          <w:sz w:val="24"/>
          <w:vertAlign w:val="superscript"/>
          <w:lang w:val="en-US" w:eastAsia="zh-CN"/>
        </w:rPr>
        <w:instrText xml:space="preserve"> NOTEREF _Ref7242 \h </w:instrText>
      </w:r>
      <w:r>
        <w:rPr>
          <w:rFonts w:hint="eastAsia" w:ascii="Times New Roman" w:hAnsi="Times New Roman"/>
          <w:sz w:val="24"/>
          <w:vertAlign w:val="superscript"/>
          <w:lang w:val="en-US" w:eastAsia="zh-CN"/>
        </w:rPr>
        <w:fldChar w:fldCharType="separate"/>
      </w:r>
      <w:r>
        <w:rPr>
          <w:rFonts w:hint="eastAsia" w:ascii="Times New Roman" w:hAnsi="Times New Roman"/>
          <w:sz w:val="24"/>
          <w:vertAlign w:val="superscript"/>
          <w:lang w:val="en-US" w:eastAsia="zh-CN"/>
        </w:rPr>
        <w:t>①</w:t>
      </w:r>
      <w:r>
        <w:rPr>
          <w:rFonts w:hint="eastAsia" w:ascii="Times New Roman" w:hAnsi="Times New Roman"/>
          <w:sz w:val="24"/>
          <w:vertAlign w:val="superscript"/>
          <w:lang w:val="en-US" w:eastAsia="zh-CN"/>
        </w:rPr>
        <w:fldChar w:fldCharType="end"/>
      </w:r>
      <w:r>
        <w:rPr>
          <w:rFonts w:hint="eastAsia" w:ascii="Times New Roman" w:hAnsi="Times New Roman"/>
          <w:sz w:val="24"/>
          <w:lang w:val="en-US" w:eastAsia="zh-CN"/>
        </w:rPr>
        <w:t>。若给付方存在重大过错（如家庭暴力、恶意隐瞒重大疾病等），应当降低其应得的返还比例，甚至不予返还。若接受方存在重大过错（如借婚姻骗取大额彩礼后携款潜逃、在短期内与多人订立婚约等），应当提高返还比例。反之，若双方均无显著过错，或只有一般性摩擦，则应当按照其他要素（如共同生活时长、孕育情况）所决定的基准比例进行返还，无过错介入的余地。</w:t>
      </w: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left="0" w:leftChars="0" w:firstLine="643" w:firstLineChars="200"/>
        <w:textAlignment w:val="auto"/>
        <w:outlineLvl w:val="0"/>
        <w:rPr>
          <w:rFonts w:hint="eastAsia" w:ascii="Times New Roman" w:hAnsi="Times New Roman" w:eastAsia="宋体" w:cs="Times New Roman"/>
          <w:b/>
          <w:bCs/>
          <w:kern w:val="2"/>
          <w:sz w:val="32"/>
          <w:szCs w:val="32"/>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firstLine="643" w:firstLineChars="200"/>
        <w:textAlignment w:val="auto"/>
        <w:outlineLvl w:val="0"/>
        <w:rPr>
          <w:rFonts w:hint="eastAsia" w:ascii="Times New Roman" w:hAnsi="Times New Roman"/>
          <w:b/>
          <w:bCs/>
          <w:sz w:val="32"/>
          <w:szCs w:val="32"/>
          <w:lang w:val="en-US" w:eastAsia="zh-CN"/>
        </w:rPr>
      </w:pPr>
      <w:r>
        <w:rPr>
          <w:rFonts w:hint="eastAsia" w:ascii="Times New Roman" w:hAnsi="Times New Roman" w:eastAsia="宋体" w:cs="Times New Roman"/>
          <w:b/>
          <w:bCs/>
          <w:kern w:val="2"/>
          <w:sz w:val="32"/>
          <w:szCs w:val="32"/>
          <w:lang w:val="en-US" w:eastAsia="zh-CN" w:bidi="ar-SA"/>
        </w:rPr>
        <w:br w:type="page"/>
      </w:r>
      <w:bookmarkStart w:id="168" w:name="_Toc31025"/>
      <w:r>
        <w:rPr>
          <w:rFonts w:hint="eastAsia" w:ascii="Times New Roman" w:hAnsi="Times New Roman" w:cs="Times New Roman"/>
          <w:b/>
          <w:bCs/>
          <w:kern w:val="2"/>
          <w:sz w:val="32"/>
          <w:szCs w:val="32"/>
          <w:lang w:val="en-US" w:eastAsia="zh-CN" w:bidi="ar-SA"/>
        </w:rPr>
        <w:t>六</w:t>
      </w:r>
      <w:r>
        <w:rPr>
          <w:rFonts w:hint="eastAsia" w:ascii="Times New Roman" w:hAnsi="Times New Roman" w:eastAsia="宋体" w:cs="Times New Roman"/>
          <w:b/>
          <w:bCs/>
          <w:kern w:val="2"/>
          <w:sz w:val="32"/>
          <w:szCs w:val="32"/>
          <w:lang w:val="en-US" w:eastAsia="zh-CN" w:bidi="ar-SA"/>
        </w:rPr>
        <w:t>、</w:t>
      </w:r>
      <w:r>
        <w:rPr>
          <w:rFonts w:hint="eastAsia" w:ascii="Times New Roman" w:hAnsi="Times New Roman"/>
          <w:b/>
          <w:bCs/>
          <w:sz w:val="32"/>
          <w:szCs w:val="32"/>
          <w:lang w:val="en-US" w:eastAsia="zh-CN"/>
        </w:rPr>
        <w:t>结论</w:t>
      </w:r>
      <w:bookmarkEnd w:id="168"/>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彩礼是中国传统文化中不可缺少的一部分，它既有着丰富的文化内涵，又带有明显的财产交易性质。近些年来，由于彩礼纠纷案件数量急剧增多，在司法实践中也出现了裁判标准不统一的现象，因此建立符合本土特色的规范化制度势在必行。本文以湖南省2025年公开审判的78份婚约财产纠纷判决书为样本，就诉讼主体资格确认、彩礼范围界定和返还额度确定这三个主要问题进行实证分析。经过研究发现，目前湖南地区的法院对于此类案件一般都把共同生活的时间作为主要依据，再结合双方的过错程度、彩礼的实际用途、嫁妆的价值等来做出综合的判断；同时存在彩礼返还诉讼主体范围偏小、彩礼的认定混乱、彩礼返还比例的认定标准模糊等问题。就以上问题而言，本文有如下几点建议，即设置例外情形对主体范围作适当的扩大、彩礼的婚姻目的实现标准，为不属于彩礼的三类财物设置量化上限、建立动态返还体系要素顺位。由于本研究样本主要是从湖南省域内裁判文书数据库中抽取的，所以结论可能存在着一定的局限性，不能完全适用于其他地区类似案件的研究。法官在处理有关案件时，应该考虑到法律规定和地方民俗习惯，在保证当事人合法权益的基础上，对人情关系进行考虑。通过广泛的调研工作来制定出更加有针对性的地方性司法指导意见，使同类型案件的裁判尺度趋于一致，从而达到社会公平正义的目的。</w:t>
      </w:r>
    </w:p>
    <w:p>
      <w:commentRangeStart w:id="2"/>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leftChars="0" w:firstLine="0" w:firstLineChars="0"/>
        <w:jc w:val="center"/>
        <w:textAlignment w:val="auto"/>
        <w:outlineLvl w:val="0"/>
        <w:rPr>
          <w:rFonts w:hint="default" w:ascii="Times New Roman" w:hAnsi="Times New Roman"/>
          <w:b/>
          <w:bCs/>
          <w:sz w:val="32"/>
          <w:szCs w:val="32"/>
          <w:lang w:val="en-US" w:eastAsia="zh-CN"/>
        </w:rPr>
      </w:pPr>
      <w:r>
        <w:rPr>
          <w:rFonts w:hint="eastAsia" w:ascii="Times New Roman" w:hAnsi="Times New Roman"/>
          <w:b/>
          <w:bCs/>
          <w:sz w:val="32"/>
          <w:szCs w:val="32"/>
          <w:lang w:val="en-US" w:eastAsia="zh-CN"/>
        </w:rPr>
        <w:br w:type="page"/>
      </w:r>
      <w:bookmarkStart w:id="169" w:name="_Toc4001"/>
      <w:r>
        <w:rPr>
          <w:rFonts w:hint="eastAsia" w:ascii="Times New Roman" w:hAnsi="Times New Roman"/>
          <w:b/>
          <w:bCs/>
          <w:sz w:val="32"/>
          <w:szCs w:val="32"/>
          <w:lang w:val="en-US" w:eastAsia="zh-CN"/>
        </w:rPr>
        <w:t xml:space="preserve">参考文</w:t>
      </w:r>
      <w:commentRangeEnd w:id="2"/>
      <w:r>
        <w:rPr>
          <w:rStyle w:val="CommentReference"/>
        </w:rPr>
        <w:commentReference w:id="2"/>
      </w:r>
      <w:r>
        <w:rPr>
          <w:rFonts w:hint="eastAsia" w:ascii="Times New Roman" w:hAnsi="Times New Roman"/>
          <w:b/>
          <w:bCs/>
          <w:sz w:val="32"/>
          <w:szCs w:val="32"/>
          <w:lang w:val="en-US" w:eastAsia="zh-CN"/>
        </w:rPr>
        <w:t xml:space="preserve">献</w:t>
      </w:r>
      <w:bookmarkEnd w:id="169"/>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刘清生,谢梅</w:t>
      </w:r>
      <w:r>
        <w:rPr>
          <w:rFonts w:hint="eastAsia" w:ascii="Times New Roman" w:hAnsi="Times New Roman"/>
          <w:sz w:val="24"/>
          <w:lang w:val="en-US" w:eastAsia="zh-CN"/>
        </w:rPr>
        <w:t>：《</w:t>
      </w:r>
      <w:r>
        <w:rPr>
          <w:rFonts w:hint="default" w:ascii="Times New Roman" w:hAnsi="Times New Roman"/>
          <w:sz w:val="24"/>
          <w:lang w:val="en-US" w:eastAsia="zh-CN"/>
        </w:rPr>
        <w:t>论婚约彩礼的返还</w:t>
      </w:r>
      <w:r>
        <w:rPr>
          <w:rFonts w:hint="eastAsia" w:ascii="Times New Roman" w:hAnsi="Times New Roman"/>
          <w:sz w:val="24"/>
          <w:lang w:val="en-US" w:eastAsia="zh-CN"/>
        </w:rPr>
        <w:t>》，载《</w:t>
      </w:r>
      <w:r>
        <w:rPr>
          <w:rFonts w:hint="default" w:ascii="Times New Roman" w:hAnsi="Times New Roman"/>
          <w:sz w:val="24"/>
          <w:lang w:val="en-US" w:eastAsia="zh-CN"/>
        </w:rPr>
        <w:t>西南交通大学学报(社会科学版)</w:t>
      </w:r>
      <w:r>
        <w:rPr>
          <w:rFonts w:hint="eastAsia" w:ascii="Times New Roman" w:hAnsi="Times New Roman"/>
          <w:sz w:val="24"/>
          <w:lang w:val="en-US" w:eastAsia="zh-CN"/>
        </w:rPr>
        <w:t>》</w:t>
      </w:r>
      <w:r>
        <w:rPr>
          <w:rFonts w:hint="default" w:ascii="Times New Roman" w:hAnsi="Times New Roman"/>
          <w:sz w:val="24"/>
          <w:lang w:val="en-US" w:eastAsia="zh-CN"/>
        </w:rPr>
        <w:t>2011</w:t>
      </w:r>
      <w:r>
        <w:rPr>
          <w:rFonts w:hint="eastAsia" w:ascii="Times New Roman" w:hAnsi="Times New Roman"/>
          <w:sz w:val="24"/>
          <w:lang w:val="en-US" w:eastAsia="zh-CN"/>
        </w:rPr>
        <w:t>年第</w:t>
      </w:r>
      <w:r>
        <w:rPr>
          <w:rFonts w:hint="default" w:ascii="Times New Roman" w:hAnsi="Times New Roman"/>
          <w:sz w:val="24"/>
          <w:lang w:val="en-US" w:eastAsia="zh-CN"/>
        </w:rPr>
        <w:t>1</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薛宁兰,崔丹</w:t>
      </w:r>
      <w:r>
        <w:rPr>
          <w:rFonts w:hint="eastAsia" w:ascii="Times New Roman" w:hAnsi="Times New Roman"/>
          <w:sz w:val="24"/>
          <w:lang w:val="en-US" w:eastAsia="zh-CN"/>
        </w:rPr>
        <w:t>：《</w:t>
      </w:r>
      <w:r>
        <w:rPr>
          <w:rFonts w:hint="default" w:ascii="Times New Roman" w:hAnsi="Times New Roman"/>
          <w:sz w:val="24"/>
          <w:lang w:val="en-US" w:eastAsia="zh-CN"/>
        </w:rPr>
        <w:t>论彩礼的给付性质与返还规则</w:t>
      </w:r>
      <w:r>
        <w:rPr>
          <w:rFonts w:hint="eastAsia" w:ascii="Times New Roman" w:hAnsi="Times New Roman"/>
          <w:sz w:val="24"/>
          <w:lang w:val="en-US" w:eastAsia="zh-CN"/>
        </w:rPr>
        <w:t>》，载《</w:t>
      </w:r>
      <w:r>
        <w:rPr>
          <w:rFonts w:hint="default" w:ascii="Times New Roman" w:hAnsi="Times New Roman"/>
          <w:sz w:val="24"/>
          <w:lang w:val="en-US" w:eastAsia="zh-CN"/>
        </w:rPr>
        <w:t>妇女研究论丛</w:t>
      </w:r>
      <w:r>
        <w:rPr>
          <w:rFonts w:hint="eastAsia" w:ascii="Times New Roman" w:hAnsi="Times New Roman"/>
          <w:sz w:val="24"/>
          <w:lang w:val="en-US" w:eastAsia="zh-CN"/>
        </w:rPr>
        <w:t>》</w:t>
      </w:r>
      <w:r>
        <w:rPr>
          <w:rFonts w:hint="default" w:ascii="Times New Roman" w:hAnsi="Times New Roman"/>
          <w:sz w:val="24"/>
          <w:lang w:val="en-US" w:eastAsia="zh-CN"/>
        </w:rPr>
        <w:t>2024</w:t>
      </w:r>
      <w:r>
        <w:rPr>
          <w:rFonts w:hint="eastAsia" w:ascii="Times New Roman" w:hAnsi="Times New Roman"/>
          <w:sz w:val="24"/>
          <w:lang w:val="en-US" w:eastAsia="zh-CN"/>
        </w:rPr>
        <w:t>年第</w:t>
      </w:r>
      <w:r>
        <w:rPr>
          <w:rFonts w:hint="default" w:ascii="Times New Roman" w:hAnsi="Times New Roman"/>
          <w:sz w:val="24"/>
          <w:lang w:val="en-US" w:eastAsia="zh-CN"/>
        </w:rPr>
        <w:t>5</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姚明斌,刘亦婷</w:t>
      </w:r>
      <w:r>
        <w:rPr>
          <w:rFonts w:hint="eastAsia" w:ascii="Times New Roman" w:hAnsi="Times New Roman"/>
          <w:sz w:val="24"/>
          <w:lang w:val="en-US" w:eastAsia="zh-CN"/>
        </w:rPr>
        <w:t>：《</w:t>
      </w:r>
      <w:r>
        <w:rPr>
          <w:rFonts w:hint="default" w:ascii="Times New Roman" w:hAnsi="Times New Roman"/>
          <w:sz w:val="24"/>
          <w:lang w:val="en-US" w:eastAsia="zh-CN"/>
        </w:rPr>
        <w:t>彩礼返还请求权的规范构造</w:t>
      </w:r>
      <w:r>
        <w:rPr>
          <w:rFonts w:hint="eastAsia" w:ascii="Times New Roman" w:hAnsi="Times New Roman"/>
          <w:sz w:val="24"/>
          <w:lang w:val="en-US" w:eastAsia="zh-CN"/>
        </w:rPr>
        <w:t>》，载《</w:t>
      </w:r>
      <w:r>
        <w:rPr>
          <w:rFonts w:hint="default" w:ascii="Times New Roman" w:hAnsi="Times New Roman"/>
          <w:sz w:val="24"/>
          <w:lang w:val="en-US" w:eastAsia="zh-CN"/>
        </w:rPr>
        <w:t>南大法学</w:t>
      </w:r>
      <w:r>
        <w:rPr>
          <w:rFonts w:hint="eastAsia" w:ascii="Times New Roman" w:hAnsi="Times New Roman"/>
          <w:sz w:val="24"/>
          <w:lang w:val="en-US" w:eastAsia="zh-CN"/>
        </w:rPr>
        <w:t>》</w:t>
      </w:r>
      <w:r>
        <w:rPr>
          <w:rFonts w:hint="default" w:ascii="Times New Roman" w:hAnsi="Times New Roman"/>
          <w:sz w:val="24"/>
          <w:lang w:val="en-US" w:eastAsia="zh-CN"/>
        </w:rPr>
        <w:t>2023</w:t>
      </w:r>
      <w:r>
        <w:rPr>
          <w:rFonts w:hint="eastAsia" w:ascii="Times New Roman" w:hAnsi="Times New Roman"/>
          <w:sz w:val="24"/>
          <w:lang w:val="en-US" w:eastAsia="zh-CN"/>
        </w:rPr>
        <w:t>年第</w:t>
      </w:r>
      <w:r>
        <w:rPr>
          <w:rFonts w:hint="default" w:ascii="Times New Roman" w:hAnsi="Times New Roman"/>
          <w:sz w:val="24"/>
          <w:lang w:val="en-US" w:eastAsia="zh-CN"/>
        </w:rPr>
        <w:t>4</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汪洋</w:t>
      </w:r>
      <w:r>
        <w:rPr>
          <w:rFonts w:hint="eastAsia" w:ascii="Times New Roman" w:hAnsi="Times New Roman"/>
          <w:sz w:val="24"/>
          <w:lang w:val="en-US" w:eastAsia="zh-CN"/>
        </w:rPr>
        <w:t>：《</w:t>
      </w:r>
      <w:r>
        <w:rPr>
          <w:rFonts w:hint="default" w:ascii="Times New Roman" w:hAnsi="Times New Roman"/>
          <w:sz w:val="24"/>
          <w:lang w:val="en-US" w:eastAsia="zh-CN"/>
        </w:rPr>
        <w:t>彩礼范围与返还事由的体系再造——最高人民法院《彩礼纠纷规定》释评</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妇女研究论丛</w:t>
      </w:r>
      <w:r>
        <w:rPr>
          <w:rFonts w:hint="eastAsia" w:ascii="Times New Roman" w:hAnsi="Times New Roman"/>
          <w:sz w:val="24"/>
          <w:lang w:val="en-US" w:eastAsia="zh-CN"/>
        </w:rPr>
        <w:t>》</w:t>
      </w:r>
      <w:r>
        <w:rPr>
          <w:rFonts w:hint="default" w:ascii="Times New Roman" w:hAnsi="Times New Roman"/>
          <w:sz w:val="24"/>
          <w:lang w:val="en-US" w:eastAsia="zh-CN"/>
        </w:rPr>
        <w:t>2024年第2期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王宝庆</w:t>
      </w:r>
      <w:r>
        <w:rPr>
          <w:rFonts w:hint="eastAsia" w:ascii="Times New Roman" w:hAnsi="Times New Roman"/>
          <w:sz w:val="24"/>
          <w:lang w:val="en-US" w:eastAsia="zh-CN"/>
        </w:rPr>
        <w:t>：《</w:t>
      </w:r>
      <w:r>
        <w:rPr>
          <w:rFonts w:hint="default" w:ascii="Times New Roman" w:hAnsi="Times New Roman"/>
          <w:sz w:val="24"/>
          <w:lang w:val="en-US" w:eastAsia="zh-CN"/>
        </w:rPr>
        <w:t>彩礼的法律性质及返还规则探析</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法制与社会</w:t>
      </w:r>
      <w:r>
        <w:rPr>
          <w:rFonts w:hint="eastAsia" w:ascii="Times New Roman" w:hAnsi="Times New Roman"/>
          <w:sz w:val="24"/>
          <w:lang w:val="en-US" w:eastAsia="zh-CN"/>
        </w:rPr>
        <w:t>》</w:t>
      </w:r>
      <w:r>
        <w:rPr>
          <w:rFonts w:hint="default" w:ascii="Times New Roman" w:hAnsi="Times New Roman"/>
          <w:sz w:val="24"/>
          <w:lang w:val="en-US" w:eastAsia="zh-CN"/>
        </w:rPr>
        <w:t>2015年第16期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金眉</w:t>
      </w:r>
      <w:r>
        <w:rPr>
          <w:rFonts w:hint="eastAsia" w:ascii="Times New Roman" w:hAnsi="Times New Roman"/>
          <w:sz w:val="24"/>
          <w:lang w:val="en-US" w:eastAsia="zh-CN"/>
        </w:rPr>
        <w:t>：《</w:t>
      </w:r>
      <w:r>
        <w:rPr>
          <w:rFonts w:hint="default" w:ascii="Times New Roman" w:hAnsi="Times New Roman"/>
          <w:sz w:val="24"/>
          <w:lang w:val="en-US" w:eastAsia="zh-CN"/>
        </w:rPr>
        <w:t>论彩礼返还的请求权基础重建</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政法论坛</w:t>
      </w:r>
      <w:r>
        <w:rPr>
          <w:rFonts w:hint="eastAsia" w:ascii="Times New Roman" w:hAnsi="Times New Roman"/>
          <w:sz w:val="24"/>
          <w:lang w:val="en-US" w:eastAsia="zh-CN"/>
        </w:rPr>
        <w:t>》</w:t>
      </w:r>
      <w:r>
        <w:rPr>
          <w:rFonts w:hint="default" w:ascii="Times New Roman" w:hAnsi="Times New Roman"/>
          <w:sz w:val="24"/>
          <w:lang w:val="en-US" w:eastAsia="zh-CN"/>
        </w:rPr>
        <w:t>2019年第5</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刘凝</w:t>
      </w:r>
      <w:r>
        <w:rPr>
          <w:rFonts w:hint="eastAsia" w:ascii="Times New Roman" w:hAnsi="Times New Roman"/>
          <w:sz w:val="24"/>
          <w:lang w:val="en-US" w:eastAsia="zh-CN"/>
        </w:rPr>
        <w:t>：《</w:t>
      </w:r>
      <w:r>
        <w:rPr>
          <w:rFonts w:hint="default" w:ascii="Times New Roman" w:hAnsi="Times New Roman"/>
          <w:sz w:val="24"/>
          <w:lang w:val="en-US" w:eastAsia="zh-CN"/>
        </w:rPr>
        <w:t>情事变更视角下彩礼返还规则的重构</w:t>
      </w:r>
      <w:r>
        <w:rPr>
          <w:rFonts w:hint="eastAsia" w:ascii="Times New Roman" w:hAnsi="Times New Roman"/>
          <w:sz w:val="24"/>
          <w:lang w:val="en-US" w:eastAsia="zh-CN"/>
        </w:rPr>
        <w:t>》，载《</w:t>
      </w:r>
      <w:r>
        <w:rPr>
          <w:rFonts w:hint="default" w:ascii="Times New Roman" w:hAnsi="Times New Roman"/>
          <w:sz w:val="24"/>
          <w:lang w:val="en-US" w:eastAsia="zh-CN"/>
        </w:rPr>
        <w:t>政治与法律</w:t>
      </w:r>
      <w:r>
        <w:rPr>
          <w:rFonts w:hint="eastAsia" w:ascii="Times New Roman" w:hAnsi="Times New Roman"/>
          <w:sz w:val="24"/>
          <w:lang w:val="en-US" w:eastAsia="zh-CN"/>
        </w:rPr>
        <w:t>》</w:t>
      </w:r>
      <w:r>
        <w:rPr>
          <w:rFonts w:hint="default" w:ascii="Times New Roman" w:hAnsi="Times New Roman"/>
          <w:sz w:val="24"/>
          <w:lang w:val="en-US" w:eastAsia="zh-CN"/>
        </w:rPr>
        <w:t>2025年第5期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项焱,隋欣鸿</w:t>
      </w:r>
      <w:r>
        <w:rPr>
          <w:rFonts w:hint="eastAsia" w:ascii="Times New Roman" w:hAnsi="Times New Roman"/>
          <w:sz w:val="24"/>
          <w:lang w:val="en-US" w:eastAsia="zh-CN"/>
        </w:rPr>
        <w:t>：《</w:t>
      </w:r>
      <w:r>
        <w:rPr>
          <w:rFonts w:hint="default" w:ascii="Times New Roman" w:hAnsi="Times New Roman"/>
          <w:sz w:val="24"/>
          <w:lang w:val="en-US" w:eastAsia="zh-CN"/>
        </w:rPr>
        <w:t>过错主义在婚约财产纠纷领域的司法适用——以《彩礼返还规定》第6条为视角</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北京理工大学学报(社会科学版)</w:t>
      </w:r>
      <w:r>
        <w:rPr>
          <w:rFonts w:hint="eastAsia" w:ascii="Times New Roman" w:hAnsi="Times New Roman"/>
          <w:sz w:val="24"/>
          <w:lang w:val="en-US" w:eastAsia="zh-CN"/>
        </w:rPr>
        <w:t>》</w:t>
      </w:r>
      <w:r>
        <w:rPr>
          <w:rFonts w:hint="default" w:ascii="Times New Roman" w:hAnsi="Times New Roman"/>
          <w:sz w:val="24"/>
          <w:lang w:val="en-US" w:eastAsia="zh-CN"/>
        </w:rPr>
        <w:t>2025年第5期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胡云红,宋天一</w:t>
      </w:r>
      <w:r>
        <w:rPr>
          <w:rFonts w:hint="eastAsia" w:ascii="Times New Roman" w:hAnsi="Times New Roman"/>
          <w:sz w:val="24"/>
          <w:lang w:val="en-US" w:eastAsia="zh-CN"/>
        </w:rPr>
        <w:t>：《</w:t>
      </w:r>
      <w:r>
        <w:rPr>
          <w:rFonts w:hint="default" w:ascii="Times New Roman" w:hAnsi="Times New Roman"/>
          <w:sz w:val="24"/>
          <w:lang w:val="en-US" w:eastAsia="zh-CN"/>
        </w:rPr>
        <w:t>彩礼返还纠纷法律适用研究——以全国法院158份问卷调查和相关裁判文书为对象</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中国政法大学学报</w:t>
      </w:r>
      <w:r>
        <w:rPr>
          <w:rFonts w:hint="eastAsia" w:ascii="Times New Roman" w:hAnsi="Times New Roman"/>
          <w:sz w:val="24"/>
          <w:lang w:val="en-US" w:eastAsia="zh-CN"/>
        </w:rPr>
        <w:t>》</w:t>
      </w:r>
      <w:r>
        <w:rPr>
          <w:rFonts w:hint="default" w:ascii="Times New Roman" w:hAnsi="Times New Roman"/>
          <w:sz w:val="24"/>
          <w:lang w:val="en-US" w:eastAsia="zh-CN"/>
        </w:rPr>
        <w:t>2022年第6期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Nwatu,SamuelIhuoma;Nwogugu,EdwinIfeanyi</w:t>
      </w:r>
      <w:r>
        <w:rPr>
          <w:rFonts w:hint="eastAsia" w:ascii="Times New Roman" w:hAnsi="Times New Roman"/>
          <w:sz w:val="24"/>
          <w:lang w:val="en-US" w:eastAsia="zh-CN"/>
        </w:rPr>
        <w:t>,CommonwealthLawBulletin,44Commw.L.Bull,182(2018)</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HindAhmedZaki,Law,Culture,andMobilization:LegalPluralismandWomen'sAccesstoDivorceinEgypt,MuslimWorldJournalofHumanRights,p.1(2017)</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BarbaraFrazier,ButICan'tMarryYou:WhoisEntitledtotheEngagementRingwhentheConditionalPerformanceFallsShortoftheAltar,JournaloftheAmericanAcademyofMatrimonialLawyers,p.419</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王璨</w:t>
      </w:r>
      <w:r>
        <w:rPr>
          <w:rFonts w:hint="eastAsia" w:ascii="Times New Roman" w:hAnsi="Times New Roman"/>
          <w:sz w:val="24"/>
          <w:lang w:val="en-US" w:eastAsia="zh-CN"/>
        </w:rPr>
        <w:t>：《</w:t>
      </w:r>
      <w:r>
        <w:rPr>
          <w:rFonts w:hint="default" w:ascii="Times New Roman" w:hAnsi="Times New Roman"/>
          <w:sz w:val="24"/>
          <w:lang w:val="en-US" w:eastAsia="zh-CN"/>
        </w:rPr>
        <w:t>《民法典》下的彩礼返还规则研究</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鞍山师范学院学报</w:t>
      </w:r>
      <w:r>
        <w:rPr>
          <w:rFonts w:hint="eastAsia" w:ascii="Times New Roman" w:hAnsi="Times New Roman"/>
          <w:sz w:val="24"/>
          <w:lang w:val="en-US" w:eastAsia="zh-CN"/>
        </w:rPr>
        <w:t>》</w:t>
      </w:r>
      <w:r>
        <w:rPr>
          <w:rFonts w:hint="default" w:ascii="Times New Roman" w:hAnsi="Times New Roman"/>
          <w:sz w:val="24"/>
          <w:lang w:val="en-US" w:eastAsia="zh-CN"/>
        </w:rPr>
        <w:t>2023年第5期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何政泉,何琴</w:t>
      </w:r>
      <w:r>
        <w:rPr>
          <w:rFonts w:hint="eastAsia" w:ascii="Times New Roman" w:hAnsi="Times New Roman"/>
          <w:sz w:val="24"/>
          <w:lang w:val="en-US" w:eastAsia="zh-CN"/>
        </w:rPr>
        <w:t>：《</w:t>
      </w:r>
      <w:r>
        <w:rPr>
          <w:rFonts w:hint="default" w:ascii="Times New Roman" w:hAnsi="Times New Roman"/>
          <w:sz w:val="24"/>
          <w:lang w:val="en-US" w:eastAsia="zh-CN"/>
        </w:rPr>
        <w:t>彩礼返还规则司法适用的困境与突破</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西南石油大学学报(社会科学版)</w:t>
      </w:r>
      <w:r>
        <w:rPr>
          <w:rFonts w:hint="eastAsia" w:ascii="Times New Roman" w:hAnsi="Times New Roman"/>
          <w:sz w:val="24"/>
          <w:lang w:val="en-US" w:eastAsia="zh-CN"/>
        </w:rPr>
        <w:t>》</w:t>
      </w:r>
      <w:r>
        <w:rPr>
          <w:rFonts w:hint="default" w:ascii="Times New Roman" w:hAnsi="Times New Roman"/>
          <w:sz w:val="24"/>
          <w:lang w:val="en-US" w:eastAsia="zh-CN"/>
        </w:rPr>
        <w:t>2024年第2期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张学军</w:t>
      </w:r>
      <w:r>
        <w:rPr>
          <w:rFonts w:hint="eastAsia" w:ascii="Times New Roman" w:hAnsi="Times New Roman"/>
          <w:sz w:val="24"/>
          <w:lang w:val="en-US" w:eastAsia="zh-CN"/>
        </w:rPr>
        <w:t>：《</w:t>
      </w:r>
      <w:r>
        <w:rPr>
          <w:rFonts w:hint="default" w:ascii="Times New Roman" w:hAnsi="Times New Roman"/>
          <w:sz w:val="24"/>
          <w:lang w:val="en-US" w:eastAsia="zh-CN"/>
        </w:rPr>
        <w:t>彩礼返还制度研究——兼论禁止买卖婚姻和禁止借婚姻索取财物</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中外法学</w:t>
      </w:r>
      <w:r>
        <w:rPr>
          <w:rFonts w:hint="eastAsia" w:ascii="Times New Roman" w:hAnsi="Times New Roman"/>
          <w:sz w:val="24"/>
          <w:lang w:val="en-US" w:eastAsia="zh-CN"/>
        </w:rPr>
        <w:t>》</w:t>
      </w:r>
      <w:r>
        <w:rPr>
          <w:rFonts w:hint="default" w:ascii="Times New Roman" w:hAnsi="Times New Roman"/>
          <w:sz w:val="24"/>
          <w:lang w:val="en-US" w:eastAsia="zh-CN"/>
        </w:rPr>
        <w:t>2006年第5期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李霞</w:t>
      </w:r>
      <w:r>
        <w:rPr>
          <w:rFonts w:hint="eastAsia" w:ascii="Times New Roman" w:hAnsi="Times New Roman"/>
          <w:sz w:val="24"/>
          <w:lang w:val="en-US" w:eastAsia="zh-CN"/>
        </w:rPr>
        <w:t>：《</w:t>
      </w:r>
      <w:r>
        <w:rPr>
          <w:rFonts w:hint="default" w:ascii="Times New Roman" w:hAnsi="Times New Roman"/>
          <w:sz w:val="24"/>
          <w:lang w:val="en-US" w:eastAsia="zh-CN"/>
        </w:rPr>
        <w:t>民间习俗中的彩礼及其流变</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民俗研究</w:t>
      </w:r>
      <w:r>
        <w:rPr>
          <w:rFonts w:hint="eastAsia" w:ascii="Times New Roman" w:hAnsi="Times New Roman"/>
          <w:sz w:val="24"/>
          <w:lang w:val="en-US" w:eastAsia="zh-CN"/>
        </w:rPr>
        <w:t>》</w:t>
      </w:r>
      <w:r>
        <w:rPr>
          <w:rFonts w:hint="default" w:ascii="Times New Roman" w:hAnsi="Times New Roman"/>
          <w:sz w:val="24"/>
          <w:lang w:val="en-US" w:eastAsia="zh-CN"/>
        </w:rPr>
        <w:t>2008年第3期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景汉朝</w:t>
      </w:r>
      <w:r>
        <w:rPr>
          <w:rFonts w:hint="eastAsia" w:ascii="Times New Roman" w:hAnsi="Times New Roman"/>
          <w:sz w:val="24"/>
          <w:lang w:val="en-US" w:eastAsia="zh-CN"/>
        </w:rPr>
        <w:t>：《</w:t>
      </w:r>
      <w:r>
        <w:rPr>
          <w:rFonts w:hint="default" w:ascii="Times New Roman" w:hAnsi="Times New Roman"/>
          <w:sz w:val="24"/>
          <w:lang w:val="en-US" w:eastAsia="zh-CN"/>
        </w:rPr>
        <w:t>民事案件案由新释新解与适用指南</w:t>
      </w:r>
      <w:r>
        <w:rPr>
          <w:rFonts w:hint="eastAsia" w:ascii="Times New Roman" w:hAnsi="Times New Roman"/>
          <w:sz w:val="24"/>
          <w:lang w:val="en-US" w:eastAsia="zh-CN"/>
        </w:rPr>
        <w:t>》</w:t>
      </w:r>
      <w:bookmarkStart w:id="170" w:name="OLE_LINK13"/>
      <w:r>
        <w:rPr>
          <w:rFonts w:hint="eastAsia" w:ascii="Times New Roman" w:hAnsi="Times New Roman"/>
          <w:sz w:val="24"/>
          <w:lang w:val="en-US" w:eastAsia="zh-CN"/>
        </w:rPr>
        <w:t>，</w:t>
      </w:r>
      <w:r>
        <w:rPr>
          <w:rFonts w:hint="default" w:ascii="Times New Roman" w:hAnsi="Times New Roman"/>
          <w:sz w:val="24"/>
          <w:lang w:val="en-US" w:eastAsia="zh-CN"/>
        </w:rPr>
        <w:t>中国法制出版社</w:t>
      </w:r>
      <w:bookmarkEnd w:id="170"/>
      <w:r>
        <w:rPr>
          <w:rFonts w:hint="default" w:ascii="Times New Roman" w:hAnsi="Times New Roman"/>
          <w:sz w:val="24"/>
          <w:lang w:val="en-US" w:eastAsia="zh-CN"/>
        </w:rPr>
        <w:t>2018</w:t>
      </w:r>
      <w:r>
        <w:rPr>
          <w:rFonts w:hint="eastAsia" w:ascii="Times New Roman" w:hAnsi="Times New Roman"/>
          <w:sz w:val="24"/>
          <w:lang w:val="en-US" w:eastAsia="zh-CN"/>
        </w:rPr>
        <w:t>年版</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滕佳一</w:t>
      </w:r>
      <w:r>
        <w:rPr>
          <w:rFonts w:hint="eastAsia" w:ascii="Times New Roman" w:hAnsi="Times New Roman"/>
          <w:sz w:val="24"/>
          <w:lang w:val="en-US" w:eastAsia="zh-CN"/>
        </w:rPr>
        <w:t>：《</w:t>
      </w:r>
      <w:r>
        <w:rPr>
          <w:rFonts w:hint="default" w:ascii="Times New Roman" w:hAnsi="Times New Roman"/>
          <w:sz w:val="24"/>
          <w:lang w:val="en-US" w:eastAsia="zh-CN"/>
        </w:rPr>
        <w:t>彩礼返还要素的动态调整</w:t>
      </w:r>
      <w:r>
        <w:rPr>
          <w:rFonts w:hint="eastAsia" w:ascii="Times New Roman" w:hAnsi="Times New Roman"/>
          <w:sz w:val="24"/>
          <w:lang w:val="en-US" w:eastAsia="zh-CN"/>
        </w:rPr>
        <w:t>》，载《</w:t>
      </w:r>
      <w:r>
        <w:rPr>
          <w:rFonts w:hint="default" w:ascii="Times New Roman" w:hAnsi="Times New Roman"/>
          <w:sz w:val="24"/>
          <w:lang w:val="en-US" w:eastAsia="zh-CN"/>
        </w:rPr>
        <w:t>中国法律评论</w:t>
      </w:r>
      <w:r>
        <w:rPr>
          <w:rFonts w:hint="eastAsia" w:ascii="Times New Roman" w:hAnsi="Times New Roman"/>
          <w:sz w:val="24"/>
          <w:lang w:val="en-US" w:eastAsia="zh-CN"/>
        </w:rPr>
        <w:t>》</w:t>
      </w:r>
      <w:r>
        <w:rPr>
          <w:rFonts w:hint="default" w:ascii="Times New Roman" w:hAnsi="Times New Roman"/>
          <w:sz w:val="24"/>
          <w:lang w:val="en-US" w:eastAsia="zh-CN"/>
        </w:rPr>
        <w:t>2026</w:t>
      </w:r>
      <w:r>
        <w:rPr>
          <w:rFonts w:hint="eastAsia" w:ascii="Times New Roman" w:hAnsi="Times New Roman"/>
          <w:sz w:val="24"/>
          <w:lang w:val="en-US" w:eastAsia="zh-CN"/>
        </w:rPr>
        <w:t>年第</w:t>
      </w:r>
      <w:r>
        <w:rPr>
          <w:rFonts w:hint="default" w:ascii="Times New Roman" w:hAnsi="Times New Roman"/>
          <w:sz w:val="24"/>
          <w:lang w:val="en-US" w:eastAsia="zh-CN"/>
        </w:rPr>
        <w:t>5</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王丹</w:t>
      </w:r>
      <w:r>
        <w:rPr>
          <w:rFonts w:hint="eastAsia" w:ascii="Times New Roman" w:hAnsi="Times New Roman"/>
          <w:sz w:val="24"/>
          <w:lang w:val="en-US" w:eastAsia="zh-CN"/>
        </w:rPr>
        <w:t>：《</w:t>
      </w:r>
      <w:r>
        <w:rPr>
          <w:rFonts w:hint="default" w:ascii="Times New Roman" w:hAnsi="Times New Roman"/>
          <w:sz w:val="24"/>
          <w:lang w:val="en-US" w:eastAsia="zh-CN"/>
        </w:rPr>
        <w:t>新形势下彩礼纠纷的司法应对</w:t>
      </w:r>
      <w:r>
        <w:rPr>
          <w:rFonts w:hint="eastAsia" w:ascii="Times New Roman" w:hAnsi="Times New Roman"/>
          <w:sz w:val="24"/>
          <w:lang w:val="en-US" w:eastAsia="zh-CN"/>
        </w:rPr>
        <w:t>》，载《</w:t>
      </w:r>
      <w:r>
        <w:rPr>
          <w:rFonts w:hint="default" w:ascii="Times New Roman" w:hAnsi="Times New Roman"/>
          <w:sz w:val="24"/>
          <w:lang w:val="en-US" w:eastAsia="zh-CN"/>
        </w:rPr>
        <w:t>中国应用法学</w:t>
      </w:r>
      <w:r>
        <w:rPr>
          <w:rFonts w:hint="eastAsia" w:ascii="Times New Roman" w:hAnsi="Times New Roman"/>
          <w:sz w:val="24"/>
          <w:lang w:val="en-US" w:eastAsia="zh-CN"/>
        </w:rPr>
        <w:t>》</w:t>
      </w:r>
      <w:r>
        <w:rPr>
          <w:rFonts w:hint="default" w:ascii="Times New Roman" w:hAnsi="Times New Roman"/>
          <w:sz w:val="24"/>
          <w:lang w:val="en-US" w:eastAsia="zh-CN"/>
        </w:rPr>
        <w:t>2024</w:t>
      </w:r>
      <w:r>
        <w:rPr>
          <w:rFonts w:hint="eastAsia" w:ascii="Times New Roman" w:hAnsi="Times New Roman"/>
          <w:sz w:val="24"/>
          <w:lang w:val="en-US" w:eastAsia="zh-CN"/>
        </w:rPr>
        <w:t>年第</w:t>
      </w:r>
      <w:r>
        <w:rPr>
          <w:rFonts w:hint="default" w:ascii="Times New Roman" w:hAnsi="Times New Roman"/>
          <w:sz w:val="24"/>
          <w:lang w:val="en-US" w:eastAsia="zh-CN"/>
        </w:rPr>
        <w:t>1</w:t>
      </w:r>
      <w:r>
        <w:rPr>
          <w:rFonts w:hint="eastAsia" w:ascii="Times New Roman" w:hAnsi="Times New Roman"/>
          <w:sz w:val="24"/>
          <w:lang w:val="en-US" w:eastAsia="zh-CN"/>
        </w:rPr>
        <w:t>期</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p>
    <w:sectPr>
      <w:footerReference r:id="rId7" w:type="default"/>
      <w:footnotePr>
        <w:numFmt w:val="decimalEnclosedCircleChinese"/>
        <w:numRestart w:val="eachPage"/>
      </w:footnotePr>
      <w:pgSz w:w="11906" w:h="16838"/>
      <w:pgMar w:top="1440" w:right="1800" w:bottom="1440" w:left="1800" w:header="851" w:footer="992" w:gutter="0"/>
      <w:pgNumType w:fmt="decimal"/>
      <w:cols w:space="720" w:num="1"/>
      <w:docGrid w:type="lines" w:linePitch="31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9T08:35:34Z" w14:paraId="28AE94BE">
    <w:p w14:paraId="28AE94BE">
      <w:r>
        <w:t xml:space="preserve">【论证深度】【致命】该句缺少谓语动词，结构不完整，存在语病，影响论文的专业性和可读性。 → 修改为：'例如，可通过设置例外情形适当扩大主体范围、明确彩礼的婚姻目的实现标准、为不属于彩礼的三类财物设置量化上限……'</w:t>
      </w:r>
      <w:r>
        <w:br/>
      </w:r>
      <w:r>
        <w:t xml:space="preserve">其他建议：</w:t>
      </w:r>
      <w:r>
        <w:br/>
      </w:r>
      <w:r>
        <w:t xml:space="preserve">  · 建议在定稿前逐句通读全文，排查类似语病问题。</w:t>
      </w:r>
      <w:r>
        <w:br/>
      </w:r>
      <w:r>
        <w:t xml:space="preserve">[id: thesis-argumentation-001]</w:t>
      </w:r>
    </w:p>
  </w:comment>
  <w:comment w:id="1" w:author="张老师的agent" w:initials="ZA" w:date="2026-05-19T08:35:34Z" w14:paraId="D17DFB66">
    <w:p w14:paraId="D17DFB66">
      <w:r>
        <w:t xml:space="preserve">【论证深度】【致命】仅选取湖南省78份裁判文书作为分析样本，未说明样本的选取标准、时间跨度、法院层级分布等关键信息，样本代表性存疑。 → 明确说明样本来源（如中国裁判文书网）、检索关键词、筛选标准</w:t>
      </w:r>
      <w:r>
        <w:br/>
      </w:r>
      <w:r>
        <w:t xml:space="preserve">其他建议：</w:t>
      </w:r>
      <w:r>
        <w:br/>
      </w:r>
      <w:r>
        <w:t xml:space="preserve">  · 报告样本的时间分布（如2020-2025年）、地域分布（湖南省内各市县）、法院层级分布（基层法院/中级法院）</w:t>
      </w:r>
      <w:r>
        <w:br/>
      </w:r>
      <w:r>
        <w:t xml:space="preserve">  · 讨论样本局限性，说明78份样本能否代表湖南省彩礼纠纷裁判的整体情况</w:t>
      </w:r>
      <w:r>
        <w:br/>
      </w:r>
      <w:r>
        <w:t xml:space="preserve">[id: thesis-argumentation-002]</w:t>
      </w:r>
    </w:p>
  </w:comment>
  <w:comment w:id="2" w:author="张老师的agent" w:initials="ZA" w:date="2026-05-19T08:35:34Z" w14:paraId="AAD40689">
    <w:p w14:paraId="AAD40689">
      <w:r>
        <w:t xml:space="preserve">【引注格式】【重要】参考文献列表中部分条目缺少出版年份、页码等关键信息，格式未完全遵循GB/T 7714-2015标准。 → 按照GB/T 7714-2015标准逐条核对参考文献格式</w:t>
      </w:r>
      <w:r>
        <w:br/>
      </w:r>
      <w:r>
        <w:t xml:space="preserve">其他建议：</w:t>
      </w:r>
      <w:r>
        <w:br/>
      </w:r>
      <w:r>
        <w:t xml:space="preserve">  · 确保每条文献包含：作者、题名、文献类型标志、出版地、出版者、出版年、引文页码</w:t>
      </w:r>
      <w:r>
        <w:br/>
      </w:r>
      <w:r>
        <w:t xml:space="preserve">  · 统一英文文献的大小写和标点符号使用规范</w:t>
      </w:r>
      <w:r>
        <w:br/>
      </w:r>
      <w:r>
        <w:t xml:space="preserve">[id: citation-citation-format-009]</w:t>
      </w:r>
    </w:p>
  </w:comment>
  <w:comment w:id="3" w:author="张老师的agent" w:initials="ZA" w:date="2026-05-19T08:35:34Z" w14:paraId="448A3DAF">
    <w:p w14:paraId="448A3DAF">
      <w:r>
        <w:t xml:space="preserve">【文献综述】【重要】文献综述主要引用了两部规范性文件，但对学界关于彩礼返还的学术论文引用较少，特别是近三年（2023-2025年）的核心期刊论文覆盖不足。 → 补充检索中国知网等数据库，增加对近三年CSSCI来源期刊中彩礼返还相关论文的引用和评述</w:t>
      </w:r>
      <w:r>
        <w:br/>
      </w:r>
      <w:r>
        <w:t xml:space="preserve">其他建议：</w:t>
      </w:r>
      <w:r>
        <w:br/>
      </w:r>
      <w:r>
        <w:t xml:space="preserve">  · 特别关注2024年司法解释出台后的最新研究成果</w:t>
      </w:r>
      <w:r>
        <w:br/>
      </w:r>
      <w:r>
        <w:t xml:space="preserve">  · 在文献综述末尾增设'研究述评'段落，明确指出现有研究的不足和本文要填补的空白</w:t>
      </w:r>
      <w:r>
        <w:br/>
      </w:r>
      <w:r>
        <w:t xml:space="preserve">[id: thesis-literature-review-005]</w:t>
      </w:r>
    </w:p>
  </w:comment>
  <w:comment w:id="4" w:author="张老师的agent" w:initials="ZA" w:date="2026-05-19T08:35:34Z" w14:paraId="D7326D49">
    <w:p w14:paraId="D7326D49">
      <w:r>
        <w:t xml:space="preserve">【结构】【重要】绪论部分篇幅过长，包含研究背景、文献综述、研究方法等多个板块，但部分内容与核心论证关联度不高，导致绪论与正文比例失衡。 → 压缩绪论中与核心论证关联不紧密的历史背景叙述</w:t>
      </w:r>
      <w:r>
        <w:br/>
      </w:r>
      <w:r>
        <w:t xml:space="preserve">其他建议：</w:t>
      </w:r>
      <w:r>
        <w:br/>
      </w:r>
      <w:r>
        <w:t xml:space="preserve">  · 将文献综述中已充分讨论的内容适当精简</w:t>
      </w:r>
      <w:r>
        <w:br/>
      </w:r>
      <w:r>
        <w:t xml:space="preserve">  · 将更多篇幅分配给实证分析和对策建议部分</w:t>
      </w:r>
      <w:r>
        <w:br/>
      </w:r>
      <w:r>
        <w:t xml:space="preserve">[id: thesis-structure-004]</w:t>
      </w:r>
    </w:p>
  </w:comment>
  <w:comment w:id="5" w:author="张老师的agent" w:initials="ZA" w:date="2026-05-19T08:35:34Z" w14:paraId="F175D603">
    <w:p w14:paraId="F175D603">
      <w:r>
        <w:t xml:space="preserve">【学术不端线索】【重要】正文中部分观点（如关于彩礼历史沿革的叙述）未标注出处，可能参考了既有文献但未注明来源，存在引用不规范的风险。 → 逐段检查正文中非原创性观点和数据的引用标注</w:t>
      </w:r>
      <w:r>
        <w:br/>
      </w:r>
      <w:r>
        <w:t xml:space="preserve">其他建议：</w:t>
      </w:r>
      <w:r>
        <w:br/>
      </w:r>
      <w:r>
        <w:t xml:space="preserve">  · 确保每处引用都有对应的脚注或参考文献</w:t>
      </w:r>
      <w:r>
        <w:br/>
      </w:r>
      <w:r>
        <w:t xml:space="preserve">  · 特别注意历史背景、统计数据、学术观点等非原创性内容的出处标注</w:t>
      </w:r>
      <w:r>
        <w:br/>
      </w:r>
      <w:r>
        <w:t xml:space="preserve">[id: thesis-academic-integrity-008]</w:t>
      </w:r>
    </w:p>
  </w:comment>
  <w:comment w:id="6" w:author="张老师的agent" w:initials="ZA" w:date="2026-05-19T08:35:34Z" w14:paraId="9C405176">
    <w:p w14:paraId="9C405176">
      <w:r>
        <w:t xml:space="preserve">【论证深度】【重要】将'同案不同判'现象直接归因于'返还比例参考因素权重不同'，但未排除其他可能的解释变量（如地区经济发展水平差异、法官自由裁量权的合理行使范围等），因果关系论证不够严密。 → 在分析'同案不同判'原因时，增加对控制变量的讨论</w:t>
      </w:r>
      <w:r>
        <w:br/>
      </w:r>
      <w:r>
        <w:t xml:space="preserve">其他建议：</w:t>
      </w:r>
      <w:r>
        <w:br/>
      </w:r>
      <w:r>
        <w:t xml:space="preserve">  · 说明在控制案件相似性的前提下，哪些因素真正导致了裁判差异</w:t>
      </w:r>
      <w:r>
        <w:br/>
      </w:r>
      <w:r>
        <w:t xml:space="preserve">  · 可考虑使用简单的回归分析检验变量之间的统计关系</w:t>
      </w:r>
      <w:r>
        <w:br/>
      </w:r>
      <w:r>
        <w:t xml:space="preserve">[id: thesis-argumentation-003]</w:t>
      </w:r>
    </w:p>
  </w:comment>
  <w:comment w:id="7" w:author="张老师的agent" w:initials="ZA" w:date="2026-05-19T08:35:34Z" w14:paraId="8E8A05AC">
    <w:p w14:paraId="8E8A05AC">
      <w:r>
        <w:t xml:space="preserve">【对策】【重要】提出'构建多要素协同的动态体系'的建议，但未具体说明该体系的运作机制、各要素的权重如何确定、法官如何在个案中操作该体系等关键问题，可操作性不足。 → 以表格或流程图形式呈现'动态返还体系'的具体操作步骤</w:t>
      </w:r>
      <w:r>
        <w:br/>
      </w:r>
      <w:r>
        <w:t xml:space="preserve">其他建议：</w:t>
      </w:r>
      <w:r>
        <w:br/>
      </w:r>
      <w:r>
        <w:t xml:space="preserve">  · 明确要素识别清单和各要素的权重赋值建议</w:t>
      </w:r>
      <w:r>
        <w:br/>
      </w:r>
      <w:r>
        <w:t xml:space="preserve">  · 提供综合计算返还比例的公式或参考区间</w:t>
      </w:r>
      <w:r>
        <w:br/>
      </w:r>
      <w:r>
        <w:t xml:space="preserve">  · 增加对建议可能产生的负面效应的讨论，提出配套措施或例外规则</w:t>
      </w:r>
      <w:r>
        <w:br/>
      </w:r>
      <w:r>
        <w:t xml:space="preserve">[id: thesis-policy-007]</w:t>
      </w:r>
    </w:p>
  </w:comment>
  <w:comment w:id="8" w:author="张老师的agent" w:initials="ZA" w:date="2026-05-19T08:35:34Z" w14:paraId="B233E1B9">
    <w:p w14:paraId="B233E1B9">
      <w:r>
        <w:t xml:space="preserve">【实证】【重要】实证分析主要采用描述性统计（频数、百分比），未使用任何推断性统计方法（如回归分析、卡方检验等）来检验变量之间的关联性，数据分析方法过于简单。 → 增加交叉分析或简单的回归分析</w:t>
      </w:r>
      <w:r>
        <w:br/>
      </w:r>
      <w:r>
        <w:t xml:space="preserve">其他建议：</w:t>
      </w:r>
      <w:r>
        <w:br/>
      </w:r>
      <w:r>
        <w:t xml:space="preserve">  · 检验关键变量（如彩礼金额、共同生活时间、是否登记结婚等）与返还比例之间的统计关系</w:t>
      </w:r>
      <w:r>
        <w:br/>
      </w:r>
      <w:r>
        <w:t xml:space="preserve">  · 在附录中提供数据统计表，列出每份裁判文书的关键变量编码，便于核查</w:t>
      </w:r>
      <w:r>
        <w:br/>
      </w:r>
      <w:r>
        <w:t xml:space="preserve">[id: thesis-empirical-006]</w:t>
      </w:r>
    </w:p>
  </w:comment>
  <w:comment w:id="9" w:author="张老师的agent" w:initials="ZA" w:date="2026-05-19T08:35:34Z" w14:paraId="08EBE7A0">
    <w:p w14:paraId="08EBE7A0">
      <w:r>
        <w:t xml:space="preserve">⚠️ 精确定位失败, 挂到文档开头: 【引注信息】【轻微】脚注中部分引用缺少出版地、出版社、页码等必要信息，不符合GB/T 7714顺序编码制的要求。 → 按照'作者.题名[文献类型标志].出版地:出版者,出版年:引文页码.'的格式逐条修正</w:t>
      </w:r>
      <w:r>
        <w:br/>
      </w:r>
      <w:r>
        <w:t xml:space="preserve">其他建议：</w:t>
      </w:r>
      <w:r>
        <w:br/>
      </w:r>
      <w:r>
        <w:t xml:space="preserve">  · 检查脚注序号是否与正文引用位置对应</w:t>
      </w:r>
      <w:r>
        <w:br/>
      </w:r>
      <w:r>
        <w:t xml:space="preserve">[id: citation-citation-missing-info-010]</w:t>
      </w:r>
    </w:p>
  </w:comment>
  <w:comment w:id="10" w:author="张老师的agent" w:initials="ZA" w:date="2026-05-19T08:35:34Z" w14:paraId="572713FE">
    <w:p w14:paraId="572713FE">
      <w:r>
        <w:t xml:space="preserve">【语言】【轻微】论文中交替使用'彩礼返还''彩礼返还规则''彩礼返还机制'等术语，部分语境下含义不完全一致，术语使用不够统一。 → 建议统一核心术语的使用，在首次定义后保持一致性</w:t>
      </w:r>
      <w:r>
        <w:br/>
      </w:r>
      <w:r>
        <w:t xml:space="preserve">其他建议：</w:t>
      </w:r>
      <w:r>
        <w:br/>
      </w:r>
      <w:r>
        <w:t xml:space="preserve">  · 在引言中明确界定各术语的含义和适用范围</w:t>
      </w:r>
      <w:r>
        <w:br/>
      </w:r>
      <w:r>
        <w:t xml:space="preserve">[id: thesis-language-011]</w:t>
      </w:r>
    </w:p>
  </w:comment>
  <w:comment w:id="11" w:author="张老师的agent" w:initials="ZA" w:date="2026-05-19T08:35:34Z" w14:paraId="44E9B50F">
    <w:p w14:paraId="44E9B50F">
      <w:r>
        <w:t xml:space="preserve">【论证深度】【轻微】论文的选题创新性不足，'扩大诉讼主体范围、量化彩礼认定标准、构建多要素协同的动态体系'等建议在既有文献中已有较多讨论，缺乏原创性贡献。 → 在引言中增设'研究创新点'段落，明确说明本文相较于既有研究的独特贡献</w:t>
      </w:r>
      <w:r>
        <w:br/>
      </w:r>
      <w:r>
        <w:t xml:space="preserve">其他建议：</w:t>
      </w:r>
      <w:r>
        <w:br/>
      </w:r>
      <w:r>
        <w:t xml:space="preserve">  · 强调湖南省特定地域的裁判数据分析是否揭示了与全国其他地区不同的裁判倾向</w:t>
      </w:r>
      <w:r>
        <w:br/>
      </w:r>
      <w:r>
        <w:t xml:space="preserve">  · 说明是否发现了司法解释适用中的新问题</w:t>
      </w:r>
      <w:r>
        <w:br/>
      </w:r>
      <w:r>
        <w:t xml:space="preserve">[id: thesis-argumentation-012]</w:t>
      </w:r>
    </w:p>
  </w:comment>
</w:comments>
</file>

<file path=word/commentsExtended.xml><?xml version="1.0" encoding="utf-8"?>
<w15:commentsEx xmlns:w15="http://schemas.microsoft.com/office/word/2012/wordml">
  <w15:commentEx w15:paraId="28AE94BE" w15:done="0"/>
  <w15:commentEx w15:paraId="D17DFB66" w15:done="0"/>
  <w15:commentEx w15:paraId="AAD40689" w15:done="0"/>
  <w15:commentEx w15:paraId="448A3DAF" w15:done="0"/>
  <w15:commentEx w15:paraId="D7326D49" w15:done="0"/>
  <w15:commentEx w15:paraId="F175D603" w15:done="0"/>
  <w15:commentEx w15:paraId="9C405176" w15:done="0"/>
  <w15:commentEx w15:paraId="8E8A05AC" w15:done="0"/>
  <w15:commentEx w15:paraId="B233E1B9" w15:done="0"/>
  <w15:commentEx w15:paraId="08EBE7A0" w15:done="0"/>
  <w15:commentEx w15:paraId="572713FE" w15:done="0"/>
  <w15:commentEx w15:paraId="44E9B50F" w15:done="0"/>
</w15:commentsEx>
</file>

<file path=word/commentsIds.xml><?xml version="1.0" encoding="utf-8"?>
<w16cid:commentsIds xmlns:w16cid="http://schemas.microsoft.com/office/word/2016/wordml/cid">
  <w16cid:commentId w16cid:paraId="28AE94BE" w16cid:durableId="1514001D"/>
  <w16cid:commentId w16cid:paraId="D17DFB66" w16cid:durableId="9BCC3017"/>
  <w16cid:commentId w16cid:paraId="AAD40689" w16cid:durableId="F2EA5EAD"/>
  <w16cid:commentId w16cid:paraId="448A3DAF" w16cid:durableId="C0D248B6"/>
  <w16cid:commentId w16cid:paraId="D7326D49" w16cid:durableId="8CD1D765"/>
  <w16cid:commentId w16cid:paraId="F175D603" w16cid:durableId="24CD5D7B"/>
  <w16cid:commentId w16cid:paraId="9C405176" w16cid:durableId="5DDA8FBB"/>
  <w16cid:commentId w16cid:paraId="8E8A05AC" w16cid:durableId="6AD1E3FB"/>
  <w16cid:commentId w16cid:paraId="B233E1B9" w16cid:durableId="7A401908"/>
  <w16cid:commentId w16cid:paraId="08EBE7A0" w16cid:durableId="53B479B9"/>
  <w16cid:commentId w16cid:paraId="572713FE" w16cid:durableId="4221A6BB"/>
  <w16cid:commentId w16cid:paraId="44E9B50F" w16cid:durableId="56C893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wps:txbx>
                    <wps:bodyPr vert="horz" wrap="none" lIns="0" tIns="0" rIns="0" bIns="0" anchor="t" anchorCtr="0" upright="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In3a/TAAAABQEAAA8A&#10;AAAAAAAAAQAgAAAAIgAAAGRycy9kb3ducmV2LnhtbFBLAQIUABQAAAAIAIdO4kDhQc1/4wEAAMkD&#10;AAAOAAAAAAAAAAEAIAAAACIBAABkcnMvZTJvRG9jLnhtbFBLBQYAAAAABgAGAFkBAAB3BQAAAAA=&#10;">
              <v:fill on="f" focussize="0,0"/>
              <v:stroke on="f" weight="1pt"/>
              <v:imagedata o:title=""/>
              <o:lock v:ext="edit" aspectratio="f"/>
              <v:textbox inset="0mm,0mm,0mm,0mm" style="mso-fit-shape-to-text:t;">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cifdr9MAAAAFAQAADwAAAAAAAAABACAAAAAiAAAAZHJz&#10;L2Rvd25yZXYueG1sUEsBAhQAFAAAAAgAh07iQCleuB7QAQAApAMAAA4AAAAAAAAAAQAgAAAAIgEA&#10;AGRycy9lMm9Eb2MueG1sUEsFBgAAAAAGAAYAWQEAAGQFAAAAAA==&#10;">
              <v:fill on="f" focussize="0,0"/>
              <v:stroke on="f" weight="1pt"/>
              <v:imagedata o:title=""/>
              <o:lock v:ext="edit" aspectratio="f"/>
              <v:textbox inset="0mm,0mm,0mm,0mm" style="mso-fit-shape-to-text:t;">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&#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In3a/TAAAABQEAAA8AAAAAAAAAAQAgAAAAIgAAAGRy&#10;cy9kb3ducmV2LnhtbFBLAQIUABQAAAAIAIdO4kCo+Zw70QEAAKQDAAAOAAAAAAAAAAEAIAAAACIB&#10;AABkcnMvZTJvRG9jLnhtbFBLBQYAAAAABgAGAFkBAABlBQAAAAA=&#10;">
              <v:fill on="f" focussize="0,0"/>
              <v:stroke on="f" weight="1pt"/>
              <v:imagedata o:title=""/>
              <o:lock v:ext="edit" aspectratio="f"/>
              <v:textbox inset="0mm,0mm,0mm,0mm" style="mso-fit-shape-to-text:t;">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6">
    <w:p>
      <w:r>
        <w:separator/>
      </w:r>
    </w:p>
  </w:footnote>
  <w:footnote w:type="continuationSeparator" w:id="117">
    <w:p>
      <w:r>
        <w:continuationSeparator/>
      </w:r>
    </w:p>
  </w:footnote>
  <w:footnote w:id="0">
    <w:p>
      <w:pPr>
        <w:pStyle w:val="17"/>
        <w:snapToGrid w:val="0"/>
      </w:pPr>
      <w:r>
        <w:rPr>
          <w:rStyle w:val="24"/>
        </w:rPr>
        <w:footnoteRef/>
      </w:r>
      <w:r>
        <w:rPr>
          <w:rFonts w:hint="eastAsia"/>
        </w:rPr>
        <w:t>刘清生,谢梅：《论婚约彩礼的返还》，载《西南交通大学学报(社会科学版)》2011年第1期。</w:t>
      </w:r>
    </w:p>
  </w:footnote>
  <w:footnote w:id="1">
    <w:p>
      <w:pPr>
        <w:pStyle w:val="17"/>
        <w:snapToGrid w:val="0"/>
      </w:pPr>
      <w:r>
        <w:rPr>
          <w:rStyle w:val="24"/>
        </w:rPr>
        <w:footnoteRef/>
      </w:r>
      <w:r>
        <w:rPr>
          <w:rFonts w:hint="eastAsia"/>
        </w:rPr>
        <w:t>薛宁兰,崔丹：《论彩礼的给付性质与返还规则》，载《妇女研究论丛》2024年第5期。</w:t>
      </w:r>
    </w:p>
  </w:footnote>
  <w:footnote w:id="2">
    <w:p>
      <w:pPr>
        <w:pStyle w:val="17"/>
        <w:snapToGrid w:val="0"/>
      </w:pPr>
      <w:r>
        <w:rPr>
          <w:rStyle w:val="24"/>
        </w:rPr>
        <w:footnoteRef/>
      </w:r>
      <w:r>
        <w:rPr>
          <w:rFonts w:hint="eastAsia"/>
        </w:rPr>
        <w:t>姚明斌,刘亦婷：《彩礼返还请求权的规范构造》，载《南大法学》2023年第4期。</w:t>
      </w:r>
    </w:p>
  </w:footnote>
  <w:footnote w:id="3">
    <w:p>
      <w:pPr>
        <w:pStyle w:val="17"/>
        <w:snapToGrid w:val="0"/>
      </w:pPr>
      <w:r>
        <w:rPr>
          <w:rStyle w:val="24"/>
        </w:rPr>
        <w:footnoteRef/>
      </w:r>
      <w:r>
        <w:rPr>
          <w:rFonts w:hint="eastAsia"/>
        </w:rPr>
        <w:t>薛宁兰,崔丹：《论彩礼的给付性质与返还规则》，载《妇女研究论丛》2024年第5期。</w:t>
      </w:r>
    </w:p>
  </w:footnote>
  <w:footnote w:id="4">
    <w:p>
      <w:pPr>
        <w:pStyle w:val="17"/>
        <w:snapToGrid w:val="0"/>
      </w:pPr>
      <w:r>
        <w:rPr>
          <w:rStyle w:val="24"/>
        </w:rPr>
        <w:footnoteRef/>
      </w:r>
      <w:r>
        <w:rPr>
          <w:rFonts w:hint="eastAsia"/>
        </w:rPr>
        <w:t>汪洋：《彩礼范围与返还事由的体系再造——最高人民法院《彩礼纠纷规定》释评》，载《妇女研究论丛》2024年第2期</w:t>
      </w:r>
      <w:r>
        <w:rPr>
          <w:rFonts w:hint="eastAsia"/>
          <w:lang w:eastAsia="zh-CN"/>
        </w:rPr>
        <w:t>。</w:t>
      </w:r>
    </w:p>
  </w:footnote>
  <w:footnote w:id="5">
    <w:p>
      <w:pPr>
        <w:pStyle w:val="17"/>
        <w:snapToGrid w:val="0"/>
      </w:pPr>
      <w:r>
        <w:rPr>
          <w:rStyle w:val="24"/>
        </w:rPr>
        <w:footnoteRef/>
      </w:r>
      <w:r>
        <w:rPr>
          <w:rFonts w:hint="eastAsia"/>
        </w:rPr>
        <w:t>王宝庆：《彩礼的法律性质及返还规则探析》，载《法制与社会》2015年第16期。</w:t>
      </w:r>
    </w:p>
  </w:footnote>
  <w:footnote w:id="6">
    <w:p>
      <w:pPr>
        <w:pStyle w:val="17"/>
        <w:snapToGrid w:val="0"/>
      </w:pPr>
      <w:r>
        <w:rPr>
          <w:rStyle w:val="24"/>
        </w:rPr>
        <w:footnoteRef/>
      </w:r>
      <w:r>
        <w:rPr>
          <w:rFonts w:hint="eastAsia"/>
        </w:rPr>
        <w:t>金眉：《论彩礼返还的请求权基础重建》，载《政法论坛》2019年第5期。</w:t>
      </w:r>
    </w:p>
  </w:footnote>
  <w:footnote w:id="7">
    <w:p>
      <w:pPr>
        <w:pStyle w:val="17"/>
        <w:snapToGrid w:val="0"/>
      </w:pPr>
      <w:r>
        <w:rPr>
          <w:rStyle w:val="24"/>
        </w:rPr>
        <w:footnoteRef/>
      </w:r>
      <w:r>
        <w:rPr>
          <w:rFonts w:hint="eastAsia"/>
        </w:rPr>
        <w:t>刘凝：《情事变更视角下彩礼返还规则的重构》，载《政治与法律》2025年第5期。</w:t>
      </w:r>
    </w:p>
  </w:footnote>
  <w:footnote w:id="8">
    <w:p>
      <w:pPr>
        <w:pStyle w:val="17"/>
        <w:snapToGrid w:val="0"/>
      </w:pPr>
      <w:r>
        <w:rPr>
          <w:rStyle w:val="24"/>
        </w:rPr>
        <w:footnoteRef/>
      </w:r>
      <w:r>
        <w:rPr>
          <w:rFonts w:hint="eastAsia"/>
        </w:rPr>
        <w:t>胡云红,宋天一：《彩礼返还纠纷法律适用研究——以全国法院158份问卷调查和相关裁判文书为对象》，载《中国政法大学学报》2022年第6期。</w:t>
      </w:r>
    </w:p>
  </w:footnote>
  <w:footnote w:id="9">
    <w:p>
      <w:pPr>
        <w:pStyle w:val="17"/>
        <w:snapToGrid w:val="0"/>
      </w:pPr>
      <w:r>
        <w:rPr>
          <w:rStyle w:val="24"/>
        </w:rPr>
        <w:footnoteRef/>
      </w:r>
      <w:r>
        <w:rPr>
          <w:rFonts w:hint="eastAsia"/>
        </w:rPr>
        <w:t>Nwatu,SamuelIhuoma;Nwogugu,EdwinIfeanyi,CommonwealthLawBulletin,44Commw.L.Bull,p.182(2018).</w:t>
      </w:r>
    </w:p>
  </w:footnote>
  <w:footnote w:id="10">
    <w:p>
      <w:pPr>
        <w:pStyle w:val="17"/>
        <w:snapToGrid w:val="0"/>
        <w:rPr>
          <w:rFonts w:hint="default"/>
          <w:lang w:val="en-US"/>
        </w:rPr>
      </w:pPr>
      <w:r>
        <w:rPr>
          <w:rStyle w:val="24"/>
        </w:rPr>
        <w:footnoteRef/>
      </w:r>
      <w:r>
        <w:rPr>
          <w:rFonts w:hint="eastAsia"/>
        </w:rPr>
        <w:t>HindAhmedZaki,Law,Culture,andMobilization:LegalPluralismandWomen'sAccesstoDivorceinEgypt</w:t>
      </w:r>
      <w:r>
        <w:rPr>
          <w:rFonts w:hint="eastAsia"/>
          <w:lang w:val="en-US" w:eastAsia="zh-CN"/>
        </w:rPr>
        <w:t>,MuslimWorldJournalofHumanRights,p.1(2017).</w:t>
      </w:r>
    </w:p>
  </w:footnote>
  <w:footnote w:id="11">
    <w:p>
      <w:pPr>
        <w:pStyle w:val="17"/>
        <w:snapToGrid w:val="0"/>
      </w:pPr>
      <w:r>
        <w:rPr>
          <w:rStyle w:val="24"/>
        </w:rPr>
        <w:footnoteRef/>
      </w:r>
      <w:r>
        <w:rPr>
          <w:rFonts w:hint="default"/>
          <w:lang w:val="en-US"/>
        </w:rPr>
        <w:t>BarbaraFrazier,ButICan'tMarryYou:WhoisEntitledtotheEngagementRingwhentheConditionalPerformanceFallsShortoftheAltar,JournaloftheAmericanAcademyofMatrimonialLawyers,p.419.</w:t>
      </w:r>
    </w:p>
  </w:footnote>
  <w:footnote w:id="12">
    <w:p>
      <w:pPr>
        <w:pStyle w:val="17"/>
        <w:snapToGrid w:val="0"/>
      </w:pPr>
      <w:r>
        <w:rPr>
          <w:rStyle w:val="24"/>
        </w:rPr>
        <w:footnoteRef/>
      </w:r>
      <w:r>
        <w:rPr>
          <w:rFonts w:hint="eastAsia"/>
        </w:rPr>
        <w:t>王璨：民法典视域下彩礼返还规则的理论探究，载于鞍山师范学院学报2023年5期</w:t>
      </w:r>
    </w:p>
  </w:footnote>
  <w:footnote w:id="13">
    <w:p>
      <w:pPr>
        <w:pStyle w:val="17"/>
        <w:snapToGrid w:val="0"/>
      </w:pPr>
      <w:r>
        <w:rPr>
          <w:rStyle w:val="24"/>
        </w:rPr>
        <w:footnoteRef/>
      </w:r>
      <w:r>
        <w:rPr>
          <w:rFonts w:hint="eastAsia"/>
        </w:rPr>
        <w:t>何政泉、何琴：论我国现行法律框架下的彩礼返还机制，载于西南石油大学学报（社会科学版），2024年第二期</w:t>
      </w:r>
    </w:p>
  </w:footnote>
  <w:footnote w:id="14">
    <w:p>
      <w:pPr>
        <w:pStyle w:val="17"/>
        <w:snapToGrid w:val="0"/>
        <w:rPr>
          <w:rFonts w:hint="eastAsia" w:eastAsia="宋体"/>
          <w:lang w:eastAsia="zh-CN"/>
        </w:rPr>
      </w:pPr>
      <w:r>
        <w:rPr>
          <w:rStyle w:val="24"/>
        </w:rPr>
        <w:footnoteRef/>
      </w:r>
      <w:r>
        <w:rPr>
          <w:rFonts w:hint="eastAsia"/>
        </w:rPr>
        <w:t>张学军：《彩礼返还制度研究——兼论禁止买卖婚姻和禁止借婚姻索取财物》，载《中外法学》2006年第5期</w:t>
      </w:r>
      <w:r>
        <w:rPr>
          <w:rFonts w:hint="eastAsia"/>
          <w:lang w:eastAsia="zh-CN"/>
        </w:rPr>
        <w:t>。</w:t>
      </w:r>
    </w:p>
  </w:footnote>
  <w:footnote w:id="15">
    <w:p>
      <w:pPr>
        <w:pStyle w:val="17"/>
        <w:snapToGrid w:val="0"/>
        <w:rPr>
          <w:rFonts w:hint="eastAsia" w:eastAsia="宋体"/>
          <w:lang w:eastAsia="zh-CN"/>
        </w:rPr>
      </w:pPr>
      <w:r>
        <w:rPr>
          <w:rStyle w:val="24"/>
        </w:rPr>
        <w:footnoteRef/>
      </w:r>
      <w:r>
        <w:rPr>
          <w:rFonts w:hint="eastAsia"/>
        </w:rPr>
        <w:t>李霞：《民间习俗中的彩礼及其流变》，载《民俗研究》2008年第3期</w:t>
      </w:r>
      <w:r>
        <w:rPr>
          <w:rFonts w:hint="eastAsia"/>
          <w:lang w:eastAsia="zh-CN"/>
        </w:rPr>
        <w:t>。</w:t>
      </w:r>
    </w:p>
  </w:footnote>
  <w:footnote w:id="16">
    <w:p>
      <w:pPr>
        <w:pStyle w:val="17"/>
        <w:snapToGrid w:val="0"/>
        <w:rPr>
          <w:rFonts w:hint="default" w:eastAsia="宋体"/>
          <w:lang w:val="en-US" w:eastAsia="zh-CN"/>
        </w:rPr>
      </w:pPr>
      <w:r>
        <w:rPr>
          <w:rStyle w:val="24"/>
        </w:rPr>
        <w:footnoteRef/>
      </w:r>
      <w:r>
        <w:rPr>
          <w:rFonts w:hint="eastAsia"/>
        </w:rPr>
        <w:t>景汉朝：《民事案件案由新释新解与适用指南》，中国法制出版社2018年版</w:t>
      </w:r>
      <w:r>
        <w:rPr>
          <w:rFonts w:hint="eastAsia"/>
          <w:lang w:eastAsia="zh-CN"/>
        </w:rPr>
        <w:t>，</w:t>
      </w:r>
      <w:r>
        <w:rPr>
          <w:rFonts w:hint="eastAsia"/>
          <w:lang w:val="en-US" w:eastAsia="zh-CN"/>
        </w:rPr>
        <w:t>第99页。</w:t>
      </w:r>
    </w:p>
  </w:footnote>
  <w:footnote w:id="17">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（2025）湘11民终3459号</w:t>
      </w:r>
      <w:r>
        <w:rPr>
          <w:rFonts w:hint="eastAsia"/>
          <w:lang w:val="en-US" w:eastAsia="zh-CN"/>
        </w:rPr>
        <w:t>判决书</w:t>
      </w:r>
    </w:p>
  </w:footnote>
  <w:footnote w:id="18">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（2024）湘11民终4087号</w:t>
      </w:r>
      <w:r>
        <w:rPr>
          <w:rFonts w:hint="eastAsia"/>
          <w:lang w:val="en-US" w:eastAsia="zh-CN"/>
        </w:rPr>
        <w:t>判决书</w:t>
      </w:r>
    </w:p>
  </w:footnote>
  <w:footnote w:id="19">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（2025）湘0182民初10808号</w:t>
      </w:r>
      <w:r>
        <w:rPr>
          <w:rFonts w:hint="eastAsia"/>
          <w:lang w:val="en-US" w:eastAsia="zh-CN"/>
        </w:rPr>
        <w:t>判决书</w:t>
      </w:r>
    </w:p>
  </w:footnote>
  <w:footnote w:id="20">
    <w:p>
      <w:pPr>
        <w:pStyle w:val="17"/>
        <w:snapToGrid w:val="0"/>
        <w:rPr>
          <w:rFonts w:hint="default" w:eastAsia="宋体"/>
          <w:lang w:val="en-US" w:eastAsia="zh-CN"/>
        </w:rPr>
      </w:pPr>
      <w:r>
        <w:rPr>
          <w:rStyle w:val="24"/>
        </w:rPr>
        <w:footnoteRef/>
      </w:r>
      <w:r>
        <w:rPr>
          <w:rFonts w:hint="eastAsia"/>
          <w:lang w:val="en-US" w:eastAsia="zh-CN"/>
        </w:rPr>
        <w:t>参见（2024）湘0602民初8096号判决书</w:t>
      </w:r>
    </w:p>
  </w:footnote>
  <w:footnote w:id="21">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（2025）湘0482民初2254号</w:t>
      </w:r>
      <w:r>
        <w:rPr>
          <w:rFonts w:hint="eastAsia"/>
          <w:lang w:val="en-US" w:eastAsia="zh-CN"/>
        </w:rPr>
        <w:t>判决书</w:t>
      </w:r>
    </w:p>
  </w:footnote>
  <w:footnote w:id="22">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（2025）湘0424民初358号</w:t>
      </w:r>
      <w:r>
        <w:rPr>
          <w:rFonts w:hint="eastAsia"/>
          <w:lang w:val="en-US" w:eastAsia="zh-CN"/>
        </w:rPr>
        <w:t>判决书</w:t>
      </w:r>
    </w:p>
  </w:footnote>
  <w:footnote w:id="23">
    <w:p>
      <w:pPr>
        <w:pStyle w:val="17"/>
        <w:snapToGrid w:val="0"/>
        <w:rPr>
          <w:rFonts w:hint="default"/>
          <w:lang w:val="en-US"/>
        </w:rPr>
      </w:pPr>
      <w:r>
        <w:rPr>
          <w:rStyle w:val="24"/>
        </w:rPr>
        <w:footnoteRef/>
      </w:r>
      <w:r>
        <w:rPr>
          <w:rFonts w:hint="eastAsia"/>
          <w:lang w:val="en-US" w:eastAsia="zh-CN"/>
        </w:rPr>
        <w:t>参见（2024）湘0923民初4413号判决书</w:t>
      </w:r>
    </w:p>
  </w:footnote>
  <w:footnote w:id="24">
    <w:p>
      <w:pPr>
        <w:pStyle w:val="17"/>
        <w:snapToGrid w:val="0"/>
        <w:rPr>
          <w:rFonts w:hint="default" w:eastAsia="宋体"/>
          <w:lang w:val="en-US" w:eastAsia="zh-CN"/>
        </w:rPr>
      </w:pPr>
      <w:r>
        <w:rPr>
          <w:rStyle w:val="24"/>
        </w:rPr>
        <w:footnoteRef/>
      </w:r>
      <w:r>
        <w:rPr>
          <w:rFonts w:hint="eastAsia"/>
          <w:lang w:val="en-US" w:eastAsia="zh-CN"/>
        </w:rPr>
        <w:t>参见（2024）湘1124民初5079号判决书</w:t>
      </w:r>
    </w:p>
  </w:footnote>
  <w:footnote w:id="25">
    <w:p>
      <w:pPr>
        <w:pStyle w:val="17"/>
        <w:snapToGrid w:val="0"/>
        <w:rPr>
          <w:rFonts w:hint="default"/>
          <w:lang w:val="en-US"/>
        </w:rPr>
      </w:pPr>
      <w:r>
        <w:rPr>
          <w:rStyle w:val="24"/>
        </w:rPr>
        <w:footnoteRef/>
      </w:r>
      <w:r>
        <w:rPr>
          <w:rFonts w:hint="eastAsia"/>
          <w:lang w:val="en-US" w:eastAsia="zh-CN"/>
        </w:rPr>
        <w:t>参见（2025）湘3130民初999号判决书</w:t>
      </w:r>
    </w:p>
  </w:footnote>
  <w:footnote w:id="26">
    <w:p>
      <w:pPr>
        <w:pStyle w:val="17"/>
        <w:snapToGrid w:val="0"/>
        <w:rPr>
          <w:rFonts w:hint="default" w:eastAsia="宋体"/>
          <w:lang w:val="en-US" w:eastAsia="zh-CN"/>
        </w:rPr>
      </w:pPr>
      <w:r>
        <w:rPr>
          <w:rStyle w:val="24"/>
        </w:rPr>
        <w:footnoteRef/>
      </w:r>
      <w:r>
        <w:rPr>
          <w:rFonts w:hint="eastAsia"/>
          <w:lang w:val="en-US" w:eastAsia="zh-CN"/>
        </w:rPr>
        <w:t>参见（2024）湘1103民初9319号判决书</w:t>
      </w:r>
    </w:p>
  </w:footnote>
  <w:footnote w:id="27">
    <w:p>
      <w:pPr>
        <w:pStyle w:val="17"/>
        <w:snapToGrid w:val="0"/>
        <w:rPr>
          <w:rFonts w:hint="default"/>
          <w:lang w:val="en-US"/>
        </w:rPr>
      </w:pPr>
      <w:r>
        <w:rPr>
          <w:rStyle w:val="24"/>
        </w:rPr>
        <w:footnoteRef/>
      </w:r>
      <w:r>
        <w:rPr>
          <w:rFonts w:hint="eastAsia"/>
          <w:lang w:val="en-US" w:eastAsia="zh-CN"/>
        </w:rPr>
        <w:t>参见（2024）湘1022民初4360号判决书</w:t>
      </w:r>
    </w:p>
  </w:footnote>
  <w:footnote w:id="28">
    <w:p>
      <w:pPr>
        <w:pStyle w:val="17"/>
        <w:snapToGrid w:val="0"/>
        <w:rPr>
          <w:rFonts w:hint="default" w:eastAsia="宋体"/>
          <w:lang w:val="en-US" w:eastAsia="zh-CN"/>
        </w:rPr>
      </w:pPr>
      <w:r>
        <w:rPr>
          <w:rStyle w:val="24"/>
        </w:rPr>
        <w:footnoteRef/>
      </w:r>
      <w:r>
        <w:rPr>
          <w:rFonts w:hint="eastAsia"/>
          <w:lang w:val="en-US" w:eastAsia="zh-CN"/>
        </w:rPr>
        <w:t>参见（2025）湘0581民初1314号判决书</w:t>
      </w:r>
    </w:p>
  </w:footnote>
  <w:footnote w:id="29">
    <w:p>
      <w:pPr>
        <w:pStyle w:val="17"/>
        <w:snapToGrid w:val="0"/>
        <w:rPr>
          <w:rFonts w:hint="default"/>
          <w:lang w:val="en-US"/>
        </w:rPr>
      </w:pPr>
      <w:r>
        <w:rPr>
          <w:rStyle w:val="24"/>
        </w:rPr>
        <w:footnoteRef/>
      </w:r>
      <w:r>
        <w:rPr>
          <w:rFonts w:hint="eastAsia"/>
          <w:lang w:val="en-US" w:eastAsia="zh-CN"/>
        </w:rPr>
        <w:t>参见（2025）湘1103民初2663号判决书</w:t>
      </w:r>
    </w:p>
  </w:footnote>
  <w:footnote w:id="30">
    <w:p>
      <w:pPr>
        <w:pStyle w:val="17"/>
        <w:snapToGrid w:val="0"/>
        <w:rPr>
          <w:rFonts w:hint="default" w:eastAsia="宋体"/>
          <w:lang w:val="en-US" w:eastAsia="zh-CN"/>
        </w:rPr>
      </w:pPr>
      <w:r>
        <w:rPr>
          <w:rStyle w:val="24"/>
        </w:rPr>
        <w:footnoteRef/>
      </w:r>
      <w:r>
        <w:rPr>
          <w:rFonts w:hint="eastAsia"/>
          <w:lang w:val="en-US" w:eastAsia="zh-CN"/>
        </w:rPr>
        <w:t>参见（2025）湘1021民初2073号判决书</w:t>
      </w:r>
    </w:p>
  </w:footnote>
  <w:footnote w:id="31">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（2024）湘11民终4213号</w:t>
      </w:r>
      <w:r>
        <w:rPr>
          <w:rFonts w:hint="eastAsia"/>
          <w:lang w:val="en-US" w:eastAsia="zh-CN"/>
        </w:rPr>
        <w:t>判决书</w:t>
      </w:r>
    </w:p>
  </w:footnote>
  <w:footnote w:id="32">
    <w:p>
      <w:pPr>
        <w:pStyle w:val="17"/>
        <w:snapToGrid w:val="0"/>
        <w:rPr>
          <w:rFonts w:hint="default" w:eastAsia="宋体"/>
          <w:lang w:val="en-US" w:eastAsia="zh-CN"/>
        </w:rPr>
      </w:pPr>
      <w:r>
        <w:rPr>
          <w:rStyle w:val="24"/>
        </w:rPr>
        <w:footnoteRef/>
      </w:r>
      <w:r>
        <w:rPr>
          <w:rFonts w:hint="eastAsia"/>
          <w:lang w:val="en-US" w:eastAsia="zh-CN"/>
        </w:rPr>
        <w:t>参见（2024）湘0426民初 4033号判决书</w:t>
      </w:r>
    </w:p>
  </w:footnote>
  <w:footnote w:id="33">
    <w:p>
      <w:pPr>
        <w:pStyle w:val="17"/>
        <w:snapToGrid w:val="0"/>
        <w:rPr>
          <w:rFonts w:hint="default"/>
          <w:lang w:val="en-US"/>
        </w:rPr>
      </w:pPr>
      <w:r>
        <w:rPr>
          <w:rStyle w:val="24"/>
        </w:rPr>
        <w:footnoteRef/>
      </w:r>
      <w:r>
        <w:rPr>
          <w:rFonts w:hint="eastAsia"/>
          <w:lang w:val="en-US" w:eastAsia="zh-CN"/>
        </w:rPr>
        <w:t>参见（2024）湘10民终3367号判决书</w:t>
      </w:r>
    </w:p>
  </w:footnote>
  <w:footnote w:id="34">
    <w:p>
      <w:pPr>
        <w:pStyle w:val="17"/>
        <w:snapToGrid w:val="0"/>
        <w:rPr>
          <w:rFonts w:hint="default" w:eastAsia="宋体"/>
          <w:lang w:val="en-US" w:eastAsia="zh-CN"/>
        </w:rPr>
      </w:pPr>
      <w:r>
        <w:rPr>
          <w:rStyle w:val="24"/>
        </w:rPr>
        <w:footnoteRef/>
      </w:r>
      <w:r>
        <w:rPr>
          <w:rFonts w:hint="eastAsia"/>
          <w:lang w:val="en-US" w:eastAsia="zh-CN"/>
        </w:rPr>
        <w:t>参见（2024）湘11民终4087号判决书</w:t>
      </w:r>
    </w:p>
  </w:footnote>
  <w:footnote w:id="35">
    <w:p>
      <w:pPr>
        <w:pStyle w:val="17"/>
        <w:snapToGrid w:val="0"/>
        <w:rPr>
          <w:rFonts w:hint="default"/>
          <w:lang w:val="en-US"/>
        </w:rPr>
      </w:pPr>
      <w:r>
        <w:rPr>
          <w:rStyle w:val="24"/>
        </w:rPr>
        <w:footnoteRef/>
      </w:r>
      <w:r>
        <w:rPr>
          <w:rFonts w:hint="eastAsia"/>
          <w:lang w:val="en-US" w:eastAsia="zh-CN"/>
        </w:rPr>
        <w:t>参见（2025）湘0182民初10808号判决书</w:t>
      </w:r>
    </w:p>
  </w:footnote>
  <w:footnote w:id="36">
    <w:p>
      <w:pPr>
        <w:pStyle w:val="17"/>
        <w:snapToGrid w:val="0"/>
        <w:rPr>
          <w:rFonts w:hint="default" w:eastAsia="宋体"/>
          <w:lang w:val="en-US" w:eastAsia="zh-CN"/>
        </w:rPr>
      </w:pPr>
      <w:r>
        <w:rPr>
          <w:rStyle w:val="24"/>
        </w:rPr>
        <w:footnoteRef/>
      </w:r>
      <w:r>
        <w:rPr>
          <w:rFonts w:hint="eastAsia"/>
          <w:lang w:val="en-US" w:eastAsia="zh-CN"/>
        </w:rPr>
        <w:t>参见（2025）湘1225民初1129号判决书</w:t>
      </w:r>
    </w:p>
  </w:footnote>
  <w:footnote w:id="37">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（2025）湘1322民初5976号</w:t>
      </w:r>
      <w:r>
        <w:rPr>
          <w:rFonts w:hint="eastAsia"/>
          <w:lang w:val="en-US" w:eastAsia="zh-CN"/>
        </w:rPr>
        <w:t>判决书</w:t>
      </w:r>
    </w:p>
  </w:footnote>
  <w:footnote w:id="38">
    <w:p>
      <w:pPr>
        <w:pStyle w:val="17"/>
        <w:snapToGrid w:val="0"/>
        <w:rPr>
          <w:rFonts w:hint="default"/>
          <w:lang w:val="en-US"/>
        </w:rPr>
      </w:pPr>
      <w:r>
        <w:rPr>
          <w:rStyle w:val="24"/>
        </w:rPr>
        <w:footnoteRef/>
      </w:r>
      <w:r>
        <w:rPr>
          <w:rFonts w:hint="eastAsia"/>
          <w:lang w:val="en-US" w:eastAsia="zh-CN"/>
        </w:rPr>
        <w:t>参见（2024）湘11民终4087号判决书</w:t>
      </w:r>
    </w:p>
  </w:footnote>
  <w:footnote w:id="39">
    <w:p>
      <w:pPr>
        <w:pStyle w:val="17"/>
        <w:snapToGrid w:val="0"/>
        <w:rPr>
          <w:rFonts w:hint="default" w:eastAsia="宋体"/>
          <w:lang w:val="en-US" w:eastAsia="zh-CN"/>
        </w:rPr>
      </w:pPr>
      <w:r>
        <w:rPr>
          <w:rStyle w:val="24"/>
        </w:rPr>
        <w:footnoteRef/>
      </w:r>
      <w:r>
        <w:rPr>
          <w:rFonts w:hint="eastAsia"/>
          <w:lang w:val="en-US" w:eastAsia="zh-CN"/>
        </w:rPr>
        <w:t>参见（2025）湘11民终1450号判决书</w:t>
      </w:r>
    </w:p>
  </w:footnote>
  <w:footnote w:id="40">
    <w:p>
      <w:pPr>
        <w:pStyle w:val="17"/>
        <w:snapToGrid w:val="0"/>
        <w:rPr>
          <w:rFonts w:hint="default"/>
          <w:lang w:val="en-US"/>
        </w:rPr>
      </w:pPr>
      <w:r>
        <w:rPr>
          <w:rStyle w:val="24"/>
        </w:rPr>
        <w:footnoteRef/>
      </w:r>
      <w:r>
        <w:rPr>
          <w:rFonts w:hint="eastAsia"/>
          <w:lang w:val="en-US" w:eastAsia="zh-CN"/>
        </w:rPr>
        <w:t>参见（2025）湘0182民初10808号判决书</w:t>
      </w:r>
    </w:p>
  </w:footnote>
  <w:footnote w:id="41">
    <w:p>
      <w:pPr>
        <w:pStyle w:val="17"/>
        <w:snapToGrid w:val="0"/>
        <w:rPr>
          <w:rFonts w:hint="default" w:eastAsia="宋体"/>
          <w:lang w:val="en-US" w:eastAsia="zh-CN"/>
        </w:rPr>
      </w:pPr>
      <w:r>
        <w:rPr>
          <w:rStyle w:val="24"/>
        </w:rPr>
        <w:footnoteRef/>
      </w:r>
      <w:r>
        <w:rPr>
          <w:rFonts w:hint="eastAsia"/>
          <w:lang w:val="en-US" w:eastAsia="zh-CN"/>
        </w:rPr>
        <w:t>参见（2025）湘1225民初1129号判决书</w:t>
      </w:r>
    </w:p>
  </w:footnote>
  <w:footnote w:id="42">
    <w:p>
      <w:pPr>
        <w:pStyle w:val="17"/>
        <w:snapToGrid w:val="0"/>
        <w:rPr>
          <w:rFonts w:hint="default"/>
          <w:lang w:val="en-US"/>
        </w:rPr>
      </w:pPr>
      <w:r>
        <w:rPr>
          <w:rStyle w:val="24"/>
        </w:rPr>
        <w:footnoteRef/>
      </w:r>
      <w:r>
        <w:rPr>
          <w:rFonts w:hint="eastAsia"/>
          <w:lang w:val="en-US" w:eastAsia="zh-CN"/>
        </w:rPr>
        <w:t>参见（2024）湘1124民初5079号判决书</w:t>
      </w:r>
    </w:p>
  </w:footnote>
  <w:footnote w:id="43">
    <w:p>
      <w:pPr>
        <w:pStyle w:val="17"/>
        <w:snapToGrid w:val="0"/>
        <w:rPr>
          <w:rFonts w:hint="default" w:eastAsia="宋体"/>
          <w:lang w:val="en-US" w:eastAsia="zh-CN"/>
        </w:rPr>
      </w:pPr>
      <w:r>
        <w:rPr>
          <w:rStyle w:val="24"/>
        </w:rPr>
        <w:footnoteRef/>
      </w:r>
      <w:r>
        <w:rPr>
          <w:rFonts w:hint="eastAsia"/>
          <w:lang w:val="en-US" w:eastAsia="zh-CN"/>
        </w:rPr>
        <w:t>参见（2025）湘3130民初999号判决书</w:t>
      </w:r>
    </w:p>
  </w:footnote>
  <w:footnote w:id="44">
    <w:p>
      <w:pPr>
        <w:pStyle w:val="17"/>
        <w:snapToGrid w:val="0"/>
        <w:rPr>
          <w:rFonts w:hint="default"/>
          <w:lang w:val="en-US"/>
        </w:rPr>
      </w:pPr>
      <w:r>
        <w:rPr>
          <w:rStyle w:val="24"/>
        </w:rPr>
        <w:footnoteRef/>
      </w:r>
      <w:r>
        <w:rPr>
          <w:rFonts w:hint="eastAsia"/>
          <w:lang w:val="en-US" w:eastAsia="zh-CN"/>
        </w:rPr>
        <w:t>参见（2024）湘0923民初4413号判决书</w:t>
      </w:r>
    </w:p>
  </w:footnote>
  <w:footnote w:id="45">
    <w:p>
      <w:pPr>
        <w:pStyle w:val="17"/>
        <w:snapToGrid w:val="0"/>
        <w:rPr>
          <w:rFonts w:hint="default" w:eastAsia="宋体"/>
          <w:lang w:val="en-US" w:eastAsia="zh-CN"/>
        </w:rPr>
      </w:pPr>
      <w:r>
        <w:rPr>
          <w:rStyle w:val="24"/>
        </w:rPr>
        <w:footnoteRef/>
      </w:r>
      <w:r>
        <w:rPr>
          <w:rFonts w:hint="eastAsia"/>
          <w:lang w:val="en-US" w:eastAsia="zh-CN"/>
        </w:rPr>
        <w:t>参见（2024）湘1322民初8960号判决书</w:t>
      </w:r>
    </w:p>
  </w:footnote>
  <w:footnote w:id="46">
    <w:p>
      <w:pPr>
        <w:pStyle w:val="17"/>
        <w:snapToGrid w:val="0"/>
        <w:rPr>
          <w:rFonts w:hint="default"/>
          <w:lang w:val="en-US"/>
        </w:rPr>
      </w:pPr>
      <w:r>
        <w:rPr>
          <w:rStyle w:val="24"/>
        </w:rPr>
        <w:footnoteRef/>
      </w:r>
      <w:r>
        <w:rPr>
          <w:rFonts w:hint="default" w:eastAsia="宋体"/>
          <w:lang w:val="en-US" w:eastAsia="zh-CN"/>
        </w:rPr>
        <w:t>参见（2024）湘1322民初7785号判决书</w:t>
      </w:r>
    </w:p>
  </w:footnote>
  <w:footnote w:id="47">
    <w:p>
      <w:pPr>
        <w:pStyle w:val="17"/>
        <w:snapToGrid w:val="0"/>
        <w:rPr>
          <w:rFonts w:hint="default" w:eastAsia="宋体"/>
          <w:lang w:val="en-US" w:eastAsia="zh-CN"/>
        </w:rPr>
      </w:pPr>
      <w:r>
        <w:rPr>
          <w:rStyle w:val="24"/>
        </w:rPr>
        <w:footnoteRef/>
      </w:r>
      <w:r>
        <w:rPr>
          <w:rFonts w:hint="eastAsia"/>
          <w:lang w:val="en-US" w:eastAsia="zh-CN"/>
        </w:rPr>
        <w:t>参见（2025）湘1021民初2073号判决书</w:t>
      </w:r>
    </w:p>
  </w:footnote>
  <w:footnote w:id="48">
    <w:p>
      <w:pPr>
        <w:pStyle w:val="17"/>
        <w:snapToGrid w:val="0"/>
        <w:rPr>
          <w:rFonts w:hint="default"/>
          <w:lang w:val="en-US"/>
        </w:rPr>
      </w:pPr>
      <w:r>
        <w:rPr>
          <w:rStyle w:val="24"/>
        </w:rPr>
        <w:footnoteRef/>
      </w:r>
      <w:r>
        <w:rPr>
          <w:rFonts w:hint="eastAsia"/>
          <w:lang w:val="en-US" w:eastAsia="zh-CN"/>
        </w:rPr>
        <w:t>参见（2025）湘13民终384号判决书</w:t>
      </w:r>
    </w:p>
  </w:footnote>
  <w:footnote w:id="49">
    <w:p>
      <w:pPr>
        <w:pStyle w:val="17"/>
        <w:snapToGrid w:val="0"/>
        <w:rPr>
          <w:rFonts w:hint="eastAsia" w:eastAsia="宋体"/>
          <w:lang w:eastAsia="zh-CN"/>
        </w:rPr>
      </w:pPr>
      <w:r>
        <w:rPr>
          <w:rStyle w:val="24"/>
        </w:rPr>
        <w:footnoteRef/>
      </w:r>
      <w:r>
        <w:rPr>
          <w:rFonts w:hint="eastAsia"/>
        </w:rPr>
        <w:t>薛宁兰,崔丹：《论彩礼的给付性质与返还规则》，载《妇女研究论丛》2024年第5期</w:t>
      </w:r>
      <w:r>
        <w:rPr>
          <w:rFonts w:hint="eastAsia"/>
          <w:lang w:eastAsia="zh-CN"/>
        </w:rPr>
        <w:t>。</w:t>
      </w:r>
    </w:p>
  </w:footnote>
  <w:footnote w:id="50">
    <w:p>
      <w:pPr>
        <w:pStyle w:val="17"/>
        <w:snapToGrid w:val="0"/>
        <w:rPr>
          <w:rFonts w:hint="eastAsia" w:eastAsia="宋体"/>
          <w:lang w:eastAsia="zh-CN"/>
        </w:rPr>
      </w:pPr>
      <w:r>
        <w:rPr>
          <w:rStyle w:val="24"/>
        </w:rPr>
        <w:footnoteRef/>
      </w:r>
      <w:r>
        <w:rPr>
          <w:rFonts w:hint="eastAsia"/>
        </w:rPr>
        <w:t>汪洋：《彩礼范围与返还事由的体系再造——最高人民法院《彩礼纠纷规定》释评》，载《妇女研究论丛》2024年第2期</w:t>
      </w:r>
      <w:r>
        <w:rPr>
          <w:rFonts w:hint="eastAsia"/>
          <w:lang w:eastAsia="zh-CN"/>
        </w:rPr>
        <w:t>。</w:t>
      </w:r>
    </w:p>
  </w:footnote>
  <w:footnote w:id="51">
    <w:p>
      <w:pPr>
        <w:pStyle w:val="17"/>
        <w:snapToGrid w:val="0"/>
        <w:rPr>
          <w:rFonts w:hint="eastAsia" w:eastAsia="宋体"/>
          <w:lang w:eastAsia="zh-CN"/>
        </w:rPr>
      </w:pPr>
      <w:r>
        <w:rPr>
          <w:rStyle w:val="24"/>
        </w:rPr>
        <w:footnoteRef/>
      </w:r>
      <w:r>
        <w:rPr>
          <w:rFonts w:hint="eastAsia"/>
        </w:rPr>
        <w:t>姚明斌,刘亦婷：《彩礼返还请求权的规范构造》，载《南大法学》2023年第4期</w:t>
      </w:r>
      <w:r>
        <w:rPr>
          <w:rFonts w:hint="eastAsia"/>
          <w:lang w:eastAsia="zh-CN"/>
        </w:rPr>
        <w:t>。</w:t>
      </w:r>
    </w:p>
  </w:footnote>
  <w:footnote w:id="52">
    <w:p>
      <w:pPr>
        <w:pStyle w:val="17"/>
        <w:snapToGrid w:val="0"/>
      </w:pPr>
      <w:r>
        <w:rPr>
          <w:rStyle w:val="24"/>
        </w:rPr>
        <w:footnoteRef/>
      </w:r>
      <w:r>
        <w:rPr>
          <w:rFonts w:hint="eastAsia" w:eastAsia="宋体"/>
          <w:lang w:eastAsia="zh-CN"/>
        </w:rPr>
        <w:t>滕佳一：《彩礼返还要素的动态调整》，载《中国法律评论》2026年第5期。</w:t>
      </w:r>
    </w:p>
  </w:footnote>
  <w:footnote w:id="53">
    <w:p>
      <w:pPr>
        <w:pStyle w:val="17"/>
        <w:snapToGrid w:val="0"/>
        <w:rPr>
          <w:rFonts w:hint="default" w:eastAsia="宋体"/>
          <w:lang w:val="en-US" w:eastAsia="zh-CN"/>
        </w:rPr>
      </w:pPr>
      <w:r>
        <w:rPr>
          <w:rStyle w:val="24"/>
        </w:rPr>
        <w:footnoteRef/>
      </w:r>
      <w:r>
        <w:rPr>
          <w:rFonts w:hint="eastAsia"/>
          <w:lang w:eastAsia="zh-CN"/>
        </w:rPr>
        <w:t>《</w:t>
      </w:r>
      <w:r>
        <w:rPr>
          <w:rFonts w:hint="eastAsia"/>
          <w:lang w:val="en-US" w:eastAsia="zh-CN"/>
        </w:rPr>
        <w:t>900字速读湖南省政府工作报告要点</w:t>
      </w:r>
      <w:r>
        <w:rPr>
          <w:rFonts w:hint="eastAsia"/>
          <w:lang w:eastAsia="zh-CN"/>
        </w:rPr>
        <w:t>》</w:t>
      </w:r>
      <w:r>
        <w:rPr>
          <w:rFonts w:hint="eastAsia"/>
          <w:lang w:val="en-US" w:eastAsia="zh-CN"/>
        </w:rPr>
        <w:t>，载湖南省人民政府服务网站，https://www.hunan.gov.cn/topic/2026slh/slhdbg/2026bgjd/202602/t20260203_33908801.html，2026年5月7日访问。</w:t>
      </w:r>
    </w:p>
  </w:footnote>
  <w:footnote w:id="54">
    <w:p>
      <w:pPr>
        <w:pStyle w:val="17"/>
        <w:snapToGrid w:val="0"/>
        <w:rPr>
          <w:rFonts w:hint="eastAsia" w:eastAsia="宋体"/>
          <w:lang w:eastAsia="zh-CN"/>
        </w:rPr>
      </w:pPr>
      <w:r>
        <w:rPr>
          <w:rStyle w:val="24"/>
        </w:rPr>
        <w:footnoteRef/>
      </w:r>
      <w:r>
        <w:rPr>
          <w:rFonts w:hint="eastAsia"/>
        </w:rPr>
        <w:t>薛宁兰,崔丹：《论彩礼的给付性质与返还规则》，载《妇女研究论丛》2024年第5期</w:t>
      </w:r>
      <w:r>
        <w:rPr>
          <w:rFonts w:hint="eastAsia"/>
          <w:lang w:eastAsia="zh-CN"/>
        </w:rPr>
        <w:t>。</w:t>
      </w:r>
    </w:p>
  </w:footnote>
  <w:footnote w:id="55">
    <w:p>
      <w:pPr>
        <w:pStyle w:val="17"/>
        <w:snapToGrid w:val="0"/>
        <w:rPr>
          <w:rFonts w:hint="default" w:eastAsia="宋体"/>
          <w:lang w:val="en-US" w:eastAsia="zh-CN"/>
        </w:rPr>
      </w:pPr>
      <w:r>
        <w:rPr>
          <w:rStyle w:val="24"/>
        </w:rPr>
        <w:footnoteRef/>
      </w:r>
      <w:r>
        <w:rPr>
          <w:rFonts w:hint="eastAsia"/>
        </w:rPr>
        <w:t>《</w:t>
      </w:r>
      <w:bookmarkStart w:id="171" w:name="OLE_LINK14"/>
      <w:r>
        <w:rPr>
          <w:rFonts w:hint="eastAsia"/>
        </w:rPr>
        <w:t>育娲人口研究：中国婚姻家庭报告（2023版）</w:t>
      </w:r>
      <w:bookmarkEnd w:id="171"/>
      <w:r>
        <w:rPr>
          <w:rFonts w:hint="eastAsia"/>
        </w:rPr>
        <w:t>》，载中国社会保障学会网2024年3月28日，https://caoss.org.cn/news/html?id=14155</w:t>
      </w:r>
      <w:r>
        <w:rPr>
          <w:rFonts w:hint="eastAsia"/>
          <w:lang w:eastAsia="zh-CN"/>
        </w:rPr>
        <w:t>，</w:t>
      </w:r>
      <w:r>
        <w:rPr>
          <w:rFonts w:hint="eastAsia"/>
          <w:lang w:val="en-US" w:eastAsia="zh-CN"/>
        </w:rPr>
        <w:t>2026年5月7日访问。</w:t>
      </w:r>
    </w:p>
  </w:footnote>
  <w:footnote w:id="56">
    <w:p>
      <w:pPr>
        <w:pStyle w:val="17"/>
        <w:snapToGrid w:val="0"/>
        <w:rPr>
          <w:rFonts w:hint="eastAsia" w:eastAsia="宋体"/>
          <w:lang w:eastAsia="zh-CN"/>
        </w:rPr>
      </w:pPr>
      <w:r>
        <w:rPr>
          <w:rStyle w:val="24"/>
        </w:rPr>
        <w:footnoteRef/>
      </w:r>
      <w:r>
        <w:rPr>
          <w:rFonts w:hint="eastAsia"/>
        </w:rPr>
        <w:t>刘凝：《情事变更视角下彩礼返还规则的重构》，载《政治与法律》2025年第5期</w:t>
      </w:r>
      <w:r>
        <w:rPr>
          <w:rFonts w:hint="eastAsia"/>
          <w:lang w:eastAsia="zh-CN"/>
        </w:rPr>
        <w:t>。</w:t>
      </w:r>
    </w:p>
  </w:footnote>
  <w:footnote w:id="57">
    <w:p>
      <w:pPr>
        <w:pStyle w:val="17"/>
        <w:snapToGrid w:val="0"/>
        <w:rPr>
          <w:rFonts w:hint="eastAsia" w:eastAsia="宋体"/>
          <w:lang w:eastAsia="zh-CN"/>
        </w:rPr>
      </w:pPr>
      <w:r>
        <w:rPr>
          <w:rStyle w:val="24"/>
        </w:rPr>
        <w:footnoteRef/>
      </w:r>
      <w:r>
        <w:rPr>
          <w:rFonts w:hint="eastAsia"/>
        </w:rPr>
        <w:t>滕佳一：《彩礼返还要素的动态调整》，载《中国法律评论》2026年第5期</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96518"/>
    <w:multiLevelType w:val="multilevel"/>
    <w:tmpl w:val="AF596518"/>
    <w:lvl w:ilvl="0" w:tentative="0">
      <w:start w:val="1"/>
      <w:numFmt w:val="chineseCounting"/>
      <w:pStyle w:val="2"/>
      <w:suff w:val="nothing"/>
      <w:lvlText w:val="%1、"/>
      <w:lvlJc w:val="left"/>
      <w:pPr>
        <w:ind w:left="0" w:firstLine="0"/>
      </w:pPr>
      <w:rPr>
        <w:rFonts w:hint="eastAsia"/>
      </w:rPr>
    </w:lvl>
    <w:lvl w:ilvl="1" w:tentative="0">
      <w:start w:val="1"/>
      <w:numFmt w:val="chineseCounting"/>
      <w:pStyle w:val="4"/>
      <w:suff w:val="nothing"/>
      <w:lvlText w:val="（%2）"/>
      <w:lvlJc w:val="left"/>
      <w:pPr>
        <w:ind w:left="0" w:firstLine="0"/>
      </w:pPr>
      <w:rPr>
        <w:rFonts w:hint="eastAsia"/>
      </w:rPr>
    </w:lvl>
    <w:lvl w:ilvl="2" w:tentative="0">
      <w:start w:val="1"/>
      <w:numFmt w:val="decimal"/>
      <w:pStyle w:val="5"/>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
    <w:nsid w:val="B7F36FBB"/>
    <w:multiLevelType w:val="singleLevel"/>
    <w:tmpl w:val="B7F36FBB"/>
    <w:lvl w:ilvl="0" w:tentative="0">
      <w:start w:val="2"/>
      <w:numFmt w:val="chineseCounting"/>
      <w:suff w:val="nothing"/>
      <w:lvlText w:val="（%1）"/>
      <w:lvlJc w:val="left"/>
      <w:rPr>
        <w:rFonts w:hint="eastAsia"/>
      </w:rPr>
    </w:lvl>
  </w:abstractNum>
  <w:abstractNum w:abstractNumId="2">
    <w:nsid w:val="166D5CCF"/>
    <w:multiLevelType w:val="singleLevel"/>
    <w:tmpl w:val="166D5CCF"/>
    <w:lvl w:ilvl="0" w:tentative="0">
      <w:start w:val="1"/>
      <w:numFmt w:val="chineseCounting"/>
      <w:suff w:val="nothing"/>
      <w:lvlText w:val="第%1，"/>
      <w:lvlJc w:val="left"/>
      <w:rPr>
        <w:rFonts w:hint="eastAsia"/>
      </w:rPr>
    </w:lvl>
  </w:abstractNum>
  <w:abstractNum w:abstractNumId="3">
    <w:nsid w:val="2BF0C1C2"/>
    <w:multiLevelType w:val="singleLevel"/>
    <w:tmpl w:val="2BF0C1C2"/>
    <w:lvl w:ilvl="0" w:tentative="0">
      <w:start w:val="1"/>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numFmt w:val="decimalEnclosedCircleChinese"/>
    <w:numRestart w:val="eachPage"/>
    <w:footnote w:id="116"/>
    <w:footnote w:id="117"/>
  </w:foot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zOTU1YjY3OGYwOWI2MzBjOWZmMDJkNmIyMmViNTgifQ=="/>
  </w:docVars>
  <w:rsids>
    <w:rsidRoot w:val="34491075"/>
    <w:rsid w:val="0065590E"/>
    <w:rsid w:val="01203FAE"/>
    <w:rsid w:val="02474342"/>
    <w:rsid w:val="026305B0"/>
    <w:rsid w:val="02B70AD3"/>
    <w:rsid w:val="02DA719F"/>
    <w:rsid w:val="03425CD6"/>
    <w:rsid w:val="038424E0"/>
    <w:rsid w:val="049B7A0A"/>
    <w:rsid w:val="050E5965"/>
    <w:rsid w:val="05824251"/>
    <w:rsid w:val="05B46D70"/>
    <w:rsid w:val="063842C8"/>
    <w:rsid w:val="0645753C"/>
    <w:rsid w:val="081E45D5"/>
    <w:rsid w:val="083E11BD"/>
    <w:rsid w:val="08DA17EF"/>
    <w:rsid w:val="08FE21A7"/>
    <w:rsid w:val="09D72C99"/>
    <w:rsid w:val="0A7F50C0"/>
    <w:rsid w:val="0B670BE4"/>
    <w:rsid w:val="0D217F39"/>
    <w:rsid w:val="0D44684D"/>
    <w:rsid w:val="0D7A67F4"/>
    <w:rsid w:val="0D9A3652"/>
    <w:rsid w:val="0E741495"/>
    <w:rsid w:val="0E747D3C"/>
    <w:rsid w:val="0FEA384E"/>
    <w:rsid w:val="1078530F"/>
    <w:rsid w:val="109D1778"/>
    <w:rsid w:val="11B57E6D"/>
    <w:rsid w:val="132342B1"/>
    <w:rsid w:val="150A2030"/>
    <w:rsid w:val="153E0E58"/>
    <w:rsid w:val="16626ABB"/>
    <w:rsid w:val="16AE2943"/>
    <w:rsid w:val="16DC43DA"/>
    <w:rsid w:val="16E2365D"/>
    <w:rsid w:val="16EA46F2"/>
    <w:rsid w:val="16F070E1"/>
    <w:rsid w:val="18017EF2"/>
    <w:rsid w:val="181D674E"/>
    <w:rsid w:val="185E22F3"/>
    <w:rsid w:val="187D53EA"/>
    <w:rsid w:val="198C4CB3"/>
    <w:rsid w:val="19923117"/>
    <w:rsid w:val="199E1ABC"/>
    <w:rsid w:val="19E40F30"/>
    <w:rsid w:val="1A0965FD"/>
    <w:rsid w:val="1A8279C0"/>
    <w:rsid w:val="1BC7503C"/>
    <w:rsid w:val="1BDF60C0"/>
    <w:rsid w:val="1C166281"/>
    <w:rsid w:val="1CA13D9D"/>
    <w:rsid w:val="1D5C0E05"/>
    <w:rsid w:val="1D664248"/>
    <w:rsid w:val="1DA2006A"/>
    <w:rsid w:val="1DDF7481"/>
    <w:rsid w:val="1E580B9C"/>
    <w:rsid w:val="1F15637C"/>
    <w:rsid w:val="1F900D6B"/>
    <w:rsid w:val="20323FE8"/>
    <w:rsid w:val="20FB6E64"/>
    <w:rsid w:val="217C74D1"/>
    <w:rsid w:val="218B501C"/>
    <w:rsid w:val="21AB39AD"/>
    <w:rsid w:val="22963C78"/>
    <w:rsid w:val="22A77BBE"/>
    <w:rsid w:val="237301CA"/>
    <w:rsid w:val="256F3770"/>
    <w:rsid w:val="25B26A4D"/>
    <w:rsid w:val="25F67216"/>
    <w:rsid w:val="260A6A19"/>
    <w:rsid w:val="266122C8"/>
    <w:rsid w:val="269B3DD9"/>
    <w:rsid w:val="269F7882"/>
    <w:rsid w:val="26BA7419"/>
    <w:rsid w:val="27E4741B"/>
    <w:rsid w:val="282910BD"/>
    <w:rsid w:val="28640F56"/>
    <w:rsid w:val="287E4ED6"/>
    <w:rsid w:val="29634188"/>
    <w:rsid w:val="296827A1"/>
    <w:rsid w:val="29D50780"/>
    <w:rsid w:val="2AA622C8"/>
    <w:rsid w:val="2CDC497D"/>
    <w:rsid w:val="2CFD444F"/>
    <w:rsid w:val="2E581465"/>
    <w:rsid w:val="2ECF496E"/>
    <w:rsid w:val="2FEF0859"/>
    <w:rsid w:val="302451C4"/>
    <w:rsid w:val="30521352"/>
    <w:rsid w:val="30E23DDF"/>
    <w:rsid w:val="31422495"/>
    <w:rsid w:val="323A4620"/>
    <w:rsid w:val="323A6AAC"/>
    <w:rsid w:val="32401441"/>
    <w:rsid w:val="32F40571"/>
    <w:rsid w:val="3324253C"/>
    <w:rsid w:val="33614469"/>
    <w:rsid w:val="342B36C9"/>
    <w:rsid w:val="34491075"/>
    <w:rsid w:val="348257DA"/>
    <w:rsid w:val="350937FA"/>
    <w:rsid w:val="35A42914"/>
    <w:rsid w:val="35B5357D"/>
    <w:rsid w:val="361E145A"/>
    <w:rsid w:val="38155D5E"/>
    <w:rsid w:val="3881268B"/>
    <w:rsid w:val="38B3265D"/>
    <w:rsid w:val="39360C44"/>
    <w:rsid w:val="398272A4"/>
    <w:rsid w:val="39A21008"/>
    <w:rsid w:val="3AB45179"/>
    <w:rsid w:val="3AF42518"/>
    <w:rsid w:val="3C3A5E97"/>
    <w:rsid w:val="3CFF3E0D"/>
    <w:rsid w:val="3D09391C"/>
    <w:rsid w:val="3D6E2140"/>
    <w:rsid w:val="3D700368"/>
    <w:rsid w:val="3D754664"/>
    <w:rsid w:val="3D9E20F3"/>
    <w:rsid w:val="3DA15887"/>
    <w:rsid w:val="3DD811ED"/>
    <w:rsid w:val="3E4753E9"/>
    <w:rsid w:val="3EEB052E"/>
    <w:rsid w:val="40662181"/>
    <w:rsid w:val="408565BE"/>
    <w:rsid w:val="40C84C03"/>
    <w:rsid w:val="41142046"/>
    <w:rsid w:val="411D38F5"/>
    <w:rsid w:val="422C4DD0"/>
    <w:rsid w:val="43051503"/>
    <w:rsid w:val="444C12D1"/>
    <w:rsid w:val="44DE0615"/>
    <w:rsid w:val="44F06345"/>
    <w:rsid w:val="45017BA9"/>
    <w:rsid w:val="467E3F85"/>
    <w:rsid w:val="4697181E"/>
    <w:rsid w:val="48090381"/>
    <w:rsid w:val="48671089"/>
    <w:rsid w:val="494F0FD7"/>
    <w:rsid w:val="49A1275B"/>
    <w:rsid w:val="4A376617"/>
    <w:rsid w:val="4A587278"/>
    <w:rsid w:val="4A9F6F4F"/>
    <w:rsid w:val="4C794A22"/>
    <w:rsid w:val="4CEC2E7A"/>
    <w:rsid w:val="4DE87F32"/>
    <w:rsid w:val="4E6C5D89"/>
    <w:rsid w:val="4E8C5DAC"/>
    <w:rsid w:val="4EBE6F47"/>
    <w:rsid w:val="4F075EDA"/>
    <w:rsid w:val="4F6651D6"/>
    <w:rsid w:val="4FF07700"/>
    <w:rsid w:val="501C199C"/>
    <w:rsid w:val="5026588C"/>
    <w:rsid w:val="506024DD"/>
    <w:rsid w:val="5089752D"/>
    <w:rsid w:val="50F80683"/>
    <w:rsid w:val="5246052D"/>
    <w:rsid w:val="52A34680"/>
    <w:rsid w:val="53132DCE"/>
    <w:rsid w:val="53B724FA"/>
    <w:rsid w:val="53EC109A"/>
    <w:rsid w:val="53F50B69"/>
    <w:rsid w:val="552D54D2"/>
    <w:rsid w:val="55637D1E"/>
    <w:rsid w:val="55C30E9C"/>
    <w:rsid w:val="576378C6"/>
    <w:rsid w:val="57EC79AC"/>
    <w:rsid w:val="5A41272F"/>
    <w:rsid w:val="5AB64868"/>
    <w:rsid w:val="5ACF3815"/>
    <w:rsid w:val="5B647B21"/>
    <w:rsid w:val="5B7D7ED2"/>
    <w:rsid w:val="5BE417F7"/>
    <w:rsid w:val="5CB32488"/>
    <w:rsid w:val="5CDE7060"/>
    <w:rsid w:val="5E5B645C"/>
    <w:rsid w:val="5F69359F"/>
    <w:rsid w:val="6017456C"/>
    <w:rsid w:val="60742EAF"/>
    <w:rsid w:val="60A63F94"/>
    <w:rsid w:val="60B855D1"/>
    <w:rsid w:val="60FB0586"/>
    <w:rsid w:val="612043C7"/>
    <w:rsid w:val="61425A64"/>
    <w:rsid w:val="61C277CE"/>
    <w:rsid w:val="61FC694D"/>
    <w:rsid w:val="62047DD1"/>
    <w:rsid w:val="628C1CFD"/>
    <w:rsid w:val="62974B39"/>
    <w:rsid w:val="62B80F09"/>
    <w:rsid w:val="6425175A"/>
    <w:rsid w:val="64377583"/>
    <w:rsid w:val="646E6E53"/>
    <w:rsid w:val="64A3595F"/>
    <w:rsid w:val="65AD479D"/>
    <w:rsid w:val="65DA6491"/>
    <w:rsid w:val="66384FBC"/>
    <w:rsid w:val="664C5ED4"/>
    <w:rsid w:val="6684624E"/>
    <w:rsid w:val="66ED0F5A"/>
    <w:rsid w:val="66F43114"/>
    <w:rsid w:val="67331453"/>
    <w:rsid w:val="678737D1"/>
    <w:rsid w:val="6901614A"/>
    <w:rsid w:val="693B477C"/>
    <w:rsid w:val="6A1A2D92"/>
    <w:rsid w:val="6A4164EE"/>
    <w:rsid w:val="6A904B65"/>
    <w:rsid w:val="6B581FC0"/>
    <w:rsid w:val="6B897CF7"/>
    <w:rsid w:val="6BCA1E8D"/>
    <w:rsid w:val="6C6F75E5"/>
    <w:rsid w:val="6D0A67BB"/>
    <w:rsid w:val="6E4A26B1"/>
    <w:rsid w:val="6E7B6FD2"/>
    <w:rsid w:val="6F7107B4"/>
    <w:rsid w:val="703457C4"/>
    <w:rsid w:val="73713B6D"/>
    <w:rsid w:val="74761AE1"/>
    <w:rsid w:val="75190908"/>
    <w:rsid w:val="75A902EB"/>
    <w:rsid w:val="767E1BCE"/>
    <w:rsid w:val="76D42084"/>
    <w:rsid w:val="773A0904"/>
    <w:rsid w:val="780905FC"/>
    <w:rsid w:val="785A5AA3"/>
    <w:rsid w:val="78F624EE"/>
    <w:rsid w:val="790F1795"/>
    <w:rsid w:val="792038E5"/>
    <w:rsid w:val="793D0B96"/>
    <w:rsid w:val="79C66CD5"/>
    <w:rsid w:val="79CE33EF"/>
    <w:rsid w:val="79F87406"/>
    <w:rsid w:val="7A7B7385"/>
    <w:rsid w:val="7A944A4B"/>
    <w:rsid w:val="7B5C2F6E"/>
    <w:rsid w:val="7C225452"/>
    <w:rsid w:val="7C8B3315"/>
    <w:rsid w:val="7CE756A5"/>
    <w:rsid w:val="7D415375"/>
    <w:rsid w:val="7D467080"/>
    <w:rsid w:val="7DBF1FAA"/>
    <w:rsid w:val="7E265B09"/>
    <w:rsid w:val="7F0B0B56"/>
    <w:rsid w:val="7F0D421A"/>
    <w:rsid w:val="7F463E9F"/>
    <w:rsid w:val="7FA81F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link w:val="25"/>
    <w:qFormat/>
    <w:uiPriority w:val="0"/>
    <w:pPr>
      <w:keepNext/>
      <w:keepLines/>
      <w:numPr>
        <w:ilvl w:val="0"/>
        <w:numId w:val="1"/>
      </w:numPr>
      <w:spacing w:line="400" w:lineRule="exact"/>
      <w:ind w:left="0" w:firstLine="0" w:firstLineChars="0"/>
      <w:outlineLvl w:val="0"/>
    </w:pPr>
    <w:rPr>
      <w:rFonts w:ascii="等线" w:hAnsi="等线" w:eastAsia="宋体"/>
      <w:b w:val="0"/>
      <w:bCs/>
      <w:kern w:val="44"/>
      <w:szCs w:val="44"/>
    </w:rPr>
  </w:style>
  <w:style w:type="paragraph" w:styleId="4">
    <w:name w:val="heading 2"/>
    <w:basedOn w:val="2"/>
    <w:next w:val="1"/>
    <w:unhideWhenUsed/>
    <w:qFormat/>
    <w:uiPriority w:val="0"/>
    <w:pPr>
      <w:keepNext/>
      <w:keepLines/>
      <w:numPr>
        <w:ilvl w:val="1"/>
      </w:numPr>
      <w:spacing w:before="480" w:beforeLines="0" w:beforeAutospacing="0" w:after="120" w:afterLines="0" w:afterAutospacing="0" w:line="400" w:lineRule="exact"/>
      <w:ind w:left="573" w:firstLine="0" w:firstLineChars="0"/>
      <w:outlineLvl w:val="1"/>
    </w:pPr>
    <w:rPr>
      <w:rFonts w:eastAsia="黑体"/>
      <w:sz w:val="28"/>
    </w:rPr>
  </w:style>
  <w:style w:type="paragraph" w:styleId="5">
    <w:name w:val="heading 3"/>
    <w:basedOn w:val="2"/>
    <w:next w:val="1"/>
    <w:link w:val="26"/>
    <w:unhideWhenUsed/>
    <w:qFormat/>
    <w:uiPriority w:val="0"/>
    <w:pPr>
      <w:keepNext/>
      <w:keepLines/>
      <w:numPr>
        <w:ilvl w:val="2"/>
      </w:numPr>
      <w:spacing w:beforeLines="0" w:beforeAutospacing="0" w:afterLines="0" w:afterAutospacing="0" w:line="360" w:lineRule="auto"/>
      <w:ind w:left="0" w:firstLine="643" w:firstLineChars="200"/>
      <w:jc w:val="left"/>
      <w:outlineLvl w:val="2"/>
    </w:pPr>
    <w:rPr>
      <w:b/>
      <w:sz w:val="24"/>
    </w:rPr>
  </w:style>
  <w:style w:type="paragraph" w:styleId="6">
    <w:name w:val="heading 4"/>
    <w:basedOn w:val="1"/>
    <w:next w:val="1"/>
    <w:unhideWhenUsed/>
    <w:qFormat/>
    <w:uiPriority w:val="0"/>
    <w:pPr>
      <w:keepNext/>
      <w:keepLines/>
      <w:numPr>
        <w:ilvl w:val="3"/>
        <w:numId w:val="1"/>
      </w:numPr>
      <w:spacing w:beforeLines="0" w:beforeAutospacing="0" w:afterLines="0" w:afterAutospacing="0" w:line="360" w:lineRule="auto"/>
      <w:ind w:left="0" w:firstLine="402" w:firstLineChars="0"/>
      <w:outlineLvl w:val="3"/>
    </w:pPr>
    <w:rPr>
      <w:b/>
    </w:rPr>
  </w:style>
  <w:style w:type="paragraph" w:styleId="7">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0" w:firstLine="402" w:firstLineChars="0"/>
      <w:outlineLvl w:val="4"/>
    </w:pPr>
    <w:rPr>
      <w:b/>
      <w:sz w:val="28"/>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0" w:firstLine="402" w:firstLineChars="0"/>
      <w:outlineLvl w:val="5"/>
    </w:pPr>
    <w:rPr>
      <w:rFonts w:ascii="Arial" w:hAnsi="Arial" w:eastAsia="黑体"/>
      <w:b/>
      <w:sz w:val="24"/>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0" w:firstLine="402" w:firstLineChars="0"/>
      <w:outlineLvl w:val="6"/>
    </w:pPr>
    <w:rPr>
      <w:b/>
      <w:sz w:val="24"/>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0" w:firstLine="402" w:firstLineChars="0"/>
      <w:outlineLvl w:val="7"/>
    </w:pPr>
    <w:rPr>
      <w:rFonts w:ascii="Arial" w:hAnsi="Arial" w:eastAsia="黑体"/>
      <w:sz w:val="24"/>
    </w:rPr>
  </w:style>
  <w:style w:type="paragraph" w:styleId="11">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0" w:firstLine="402" w:firstLineChars="0"/>
      <w:outlineLvl w:val="8"/>
    </w:pPr>
    <w:rPr>
      <w:rFonts w:ascii="Arial" w:hAnsi="Arial" w:eastAsia="黑体"/>
      <w:sz w:val="21"/>
    </w:rPr>
  </w:style>
  <w:style w:type="character" w:default="1" w:styleId="21">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12">
    <w:name w:val="annotation text"/>
    <w:link w:val="27"/>
    <w:qFormat/>
    <w:uiPriority w:val="0"/>
    <w:pPr>
      <w:widowControl w:val="0"/>
      <w:jc w:val="left"/>
    </w:pPr>
    <w:rPr>
      <w:rFonts w:ascii="Times New Roman" w:hAnsi="Times New Roman" w:eastAsia="宋体" w:cs="Times New Roman"/>
      <w:kern w:val="2"/>
      <w:sz w:val="21"/>
      <w:szCs w:val="24"/>
      <w:lang w:val="en-US" w:eastAsia="zh-CN" w:bidi="ar-SA"/>
    </w:rPr>
  </w:style>
  <w:style w:type="paragraph" w:styleId="13">
    <w:name w:val="toc 3"/>
    <w:basedOn w:val="1"/>
    <w:next w:val="1"/>
    <w:qFormat/>
    <w:uiPriority w:val="0"/>
    <w:pPr>
      <w:ind w:left="840" w:leftChars="400"/>
    </w:pPr>
  </w:style>
  <w:style w:type="paragraph" w:styleId="14">
    <w:name w:val="footer"/>
    <w:qFormat/>
    <w:uiPriority w:val="0"/>
    <w:pPr>
      <w:widowControl w:val="0"/>
      <w:tabs>
        <w:tab w:val="center" w:pos="4153"/>
        <w:tab w:val="right" w:pos="8306"/>
      </w:tabs>
      <w:snapToGrid w:val="0"/>
      <w:jc w:val="left"/>
    </w:pPr>
    <w:rPr>
      <w:rFonts w:ascii="Calibri" w:hAnsi="Calibri" w:eastAsia="宋体" w:cs="Times New Roman"/>
      <w:kern w:val="2"/>
      <w:sz w:val="18"/>
      <w:szCs w:val="18"/>
      <w:lang w:val="en-US" w:eastAsia="zh-CN" w:bidi="ar-SA"/>
    </w:rPr>
  </w:style>
  <w:style w:type="paragraph" w:styleId="15">
    <w:name w:val="header"/>
    <w:qFormat/>
    <w:uiPriority w:val="0"/>
    <w:pPr>
      <w:widowControl w:val="0"/>
      <w:pBdr>
        <w:bottom w:val="single" w:color="auto" w:sz="6" w:space="1"/>
      </w:pBdr>
      <w:tabs>
        <w:tab w:val="center" w:pos="4153"/>
        <w:tab w:val="right" w:pos="8306"/>
      </w:tabs>
      <w:snapToGrid w:val="0"/>
      <w:jc w:val="center"/>
    </w:pPr>
    <w:rPr>
      <w:rFonts w:ascii="Calibri" w:hAnsi="Calibri" w:eastAsia="宋体" w:cs="Times New Roman"/>
      <w:kern w:val="2"/>
      <w:sz w:val="18"/>
      <w:szCs w:val="18"/>
      <w:lang w:val="en-US" w:eastAsia="zh-CN" w:bidi="ar-SA"/>
    </w:rPr>
  </w:style>
  <w:style w:type="paragraph" w:styleId="16">
    <w:name w:val="toc 1"/>
    <w:basedOn w:val="1"/>
    <w:next w:val="1"/>
    <w:qFormat/>
    <w:uiPriority w:val="0"/>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character" w:styleId="22">
    <w:name w:val="Hyperlink"/>
    <w:basedOn w:val="21"/>
    <w:qFormat/>
    <w:uiPriority w:val="0"/>
    <w:rPr>
      <w:color w:val="0000FF"/>
      <w:u w:val="single"/>
    </w:rPr>
  </w:style>
  <w:style w:type="character" w:styleId="23">
    <w:name w:val="annotation reference"/>
    <w:qFormat/>
    <w:uiPriority w:val="0"/>
    <w:rPr>
      <w:sz w:val="21"/>
      <w:szCs w:val="21"/>
    </w:rPr>
  </w:style>
  <w:style w:type="character" w:styleId="24">
    <w:name w:val="footnote reference"/>
    <w:basedOn w:val="21"/>
    <w:qFormat/>
    <w:uiPriority w:val="0"/>
    <w:rPr>
      <w:vertAlign w:val="superscript"/>
    </w:rPr>
  </w:style>
  <w:style w:type="character" w:customStyle="1" w:styleId="25">
    <w:name w:val="标题 1 字符"/>
    <w:link w:val="2"/>
    <w:qFormat/>
    <w:uiPriority w:val="0"/>
    <w:rPr>
      <w:rFonts w:ascii="Times New Roman" w:hAnsi="Times New Roman" w:eastAsia="宋体" w:cs="Times New Roman"/>
      <w:b/>
      <w:bCs/>
      <w:kern w:val="44"/>
      <w:sz w:val="24"/>
      <w:szCs w:val="44"/>
    </w:rPr>
  </w:style>
  <w:style w:type="character" w:customStyle="1" w:styleId="26">
    <w:name w:val="标题 3 Char"/>
    <w:link w:val="5"/>
    <w:qFormat/>
    <w:uiPriority w:val="0"/>
    <w:rPr>
      <w:rFonts w:ascii="等线" w:hAnsi="等线" w:eastAsia="宋体"/>
      <w:b/>
      <w:sz w:val="24"/>
    </w:rPr>
  </w:style>
  <w:style w:type="character" w:customStyle="1" w:styleId="27">
    <w:name w:val="批注文字 字符"/>
    <w:basedOn w:val="21"/>
    <w:link w:val="12"/>
    <w:qFormat/>
    <w:uiPriority w:val="0"/>
    <w:rPr>
      <w:kern w:val="2"/>
      <w:sz w:val="21"/>
      <w:szCs w:val="24"/>
    </w:rPr>
  </w:style>
  <w:style w:type="paragraph" w:customStyle="1" w:styleId="28">
    <w:name w:val="_Style 2"/>
    <w:qFormat/>
    <w:uiPriority w:val="99"/>
    <w:pPr>
      <w:widowControl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 /><Relationship Id="rId8" Type="http://schemas.openxmlformats.org/officeDocument/2006/relationships/theme" Target="theme/theme1.xml" /><Relationship Id="rId7" Type="http://schemas.openxmlformats.org/officeDocument/2006/relationships/footer" Target="footer3.xml" /><Relationship Id="rId6" Type="http://schemas.openxmlformats.org/officeDocument/2006/relationships/footer" Target="footer2.xml" /><Relationship Id="rId5" Type="http://schemas.openxmlformats.org/officeDocument/2006/relationships/footer" Target="footer1.xml" /><Relationship Id="rId4" Type="http://schemas.openxmlformats.org/officeDocument/2006/relationships/header" Target="header1.xml" /><Relationship Id="rId3" Type="http://schemas.openxmlformats.org/officeDocument/2006/relationships/footnotes" Target="footnotes.xml" /><Relationship Id="rId2" Type="http://schemas.openxmlformats.org/officeDocument/2006/relationships/settings" Target="settings.xml" /><Relationship Id="rId11" Type="http://schemas.openxmlformats.org/officeDocument/2006/relationships/fontTable" Target="fontTable.xml" /><Relationship Id="rId10" Type="http://schemas.openxmlformats.org/officeDocument/2006/relationships/numbering" Target="numbering.xml" /><Relationship Id="rId1" Type="http://schemas.openxmlformats.org/officeDocument/2006/relationships/styles" Target="styles.xml" /><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6/09/relationships/commentsIds" Target="commentsId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24018</Words>
  <Characters>27322</Characters>
  <Lines>0</Lines>
  <Paragraphs>0</Paragraphs>
  <TotalTime>6</TotalTime>
  <ScaleCrop>false</ScaleCrop>
  <LinksUpToDate>false</LinksUpToDate>
  <CharactersWithSpaces>27988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2026-04-12T14:01:00Z</dcterms:created>
  <dc:creator>歆爨嶝</dc:creator>
  <cp:lastModifiedBy>歆爨嶝</cp:lastModifiedBy>
  <dcterms:modified xsi:type="dcterms:W3CDTF">2026-05-17T12:58:45Z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5840C6A9CF614AAE815972960D9630A1_13</vt:lpwstr>
  </property>
</Properties>
</file>