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E50AE" w14:textId="77777777" w:rsidR="00670262" w:rsidRDefault="00F62DEF">
      <w:pPr>
        <w:pStyle w:val="Title"/>
      </w:pPr>
      <w:r>
        <w:t>Electric Vehicle Adoption and Insights</w:t>
      </w:r>
    </w:p>
    <w:p w14:paraId="4984F1EF" w14:textId="29C49AE9" w:rsidR="00B309B9" w:rsidRDefault="00B309B9" w:rsidP="00B309B9">
      <w:pPr>
        <w:pStyle w:val="Heading1"/>
      </w:pPr>
      <w:r>
        <w:t xml:space="preserve">Team Members: Tanvi </w:t>
      </w:r>
    </w:p>
    <w:p w14:paraId="01E7D8C5" w14:textId="2E5A8092" w:rsidR="00B309B9" w:rsidRDefault="00B309B9" w:rsidP="00B309B9">
      <w:pPr>
        <w:pStyle w:val="ListParagraph"/>
        <w:numPr>
          <w:ilvl w:val="0"/>
          <w:numId w:val="10"/>
        </w:numPr>
      </w:pPr>
      <w:r>
        <w:t xml:space="preserve">Gurjot </w:t>
      </w:r>
    </w:p>
    <w:p w14:paraId="53052646" w14:textId="69DBEF52" w:rsidR="00B309B9" w:rsidRDefault="00B309B9" w:rsidP="00B309B9">
      <w:pPr>
        <w:pStyle w:val="ListParagraph"/>
        <w:numPr>
          <w:ilvl w:val="0"/>
          <w:numId w:val="10"/>
        </w:numPr>
      </w:pPr>
      <w:r>
        <w:t>Jasleen</w:t>
      </w:r>
    </w:p>
    <w:p w14:paraId="590507D6" w14:textId="56855729" w:rsidR="00B309B9" w:rsidRDefault="00B309B9" w:rsidP="00B309B9">
      <w:pPr>
        <w:pStyle w:val="ListParagraph"/>
        <w:numPr>
          <w:ilvl w:val="0"/>
          <w:numId w:val="10"/>
        </w:numPr>
      </w:pPr>
      <w:r>
        <w:t>Vivek</w:t>
      </w:r>
    </w:p>
    <w:p w14:paraId="7EF8D4DE" w14:textId="622DA976" w:rsidR="00B309B9" w:rsidRDefault="00B309B9" w:rsidP="00B309B9">
      <w:pPr>
        <w:pStyle w:val="ListParagraph"/>
        <w:numPr>
          <w:ilvl w:val="0"/>
          <w:numId w:val="10"/>
        </w:numPr>
      </w:pPr>
      <w:r>
        <w:t>Riya</w:t>
      </w:r>
    </w:p>
    <w:p w14:paraId="5BD0C3B8" w14:textId="77777777" w:rsidR="00B309B9" w:rsidRDefault="00B309B9" w:rsidP="00B309B9">
      <w:pPr>
        <w:pStyle w:val="ListParagraph"/>
        <w:numPr>
          <w:ilvl w:val="0"/>
          <w:numId w:val="10"/>
        </w:numPr>
      </w:pPr>
      <w:r>
        <w:t>Zyan</w:t>
      </w:r>
    </w:p>
    <w:p w14:paraId="7677AC71" w14:textId="77777777" w:rsidR="00B309B9" w:rsidRDefault="00B309B9" w:rsidP="00B309B9">
      <w:pPr>
        <w:pStyle w:val="Heading1"/>
      </w:pPr>
      <w:r>
        <w:t>Abstract</w:t>
      </w:r>
    </w:p>
    <w:p w14:paraId="2DB1C66A" w14:textId="22963154" w:rsidR="00670262" w:rsidRDefault="00F62DEF">
      <w:r>
        <w:t xml:space="preserve">The </w:t>
      </w:r>
      <w:r w:rsidR="00B4114F">
        <w:t>rapid growth</w:t>
      </w:r>
      <w:r>
        <w:t xml:space="preserve"> in electric vehicle (EV) adoption is reshaping the automotive industry and energy infrastructure</w:t>
      </w:r>
      <w:r w:rsidR="00B4114F">
        <w:t xml:space="preserve"> by presenting both opportunities and challenges to stakeholders. </w:t>
      </w:r>
      <w:r>
        <w:t xml:space="preserve"> This project </w:t>
      </w:r>
      <w:r w:rsidR="00B4114F">
        <w:t xml:space="preserve">presents a </w:t>
      </w:r>
      <w:r>
        <w:t xml:space="preserve">dashboard-driven analysis of EV adoption patterns using data-driven KPIs, including manufacturer count, EV types, CAFV eligibility, electric utility coverage, pricing, and geographic trends. Interactive Power BI dashboards </w:t>
      </w:r>
      <w:r w:rsidR="3A90F63A">
        <w:t>will enable</w:t>
      </w:r>
      <w:r>
        <w:t xml:space="preserve"> stakeholders to visually analyze and understand these trends through charts and slicers across multiple dimensions such as time, location, and cost. The goal </w:t>
      </w:r>
      <w:r w:rsidR="00B4114F">
        <w:t xml:space="preserve">of the report </w:t>
      </w:r>
      <w:r>
        <w:t>is to support future decision-making related to EV policy, planning, and sustainable growth.</w:t>
      </w:r>
    </w:p>
    <w:p w14:paraId="443854CF" w14:textId="77777777" w:rsidR="00B309B9" w:rsidRDefault="00F62DEF" w:rsidP="00B309B9">
      <w:pPr>
        <w:pStyle w:val="Heading1"/>
      </w:pPr>
      <w:r>
        <w:t>Table of Contents</w:t>
      </w:r>
    </w:p>
    <w:p w14:paraId="3B65C14E" w14:textId="020B52CC" w:rsidR="00B309B9" w:rsidRPr="00B309B9" w:rsidRDefault="00B309B9" w:rsidP="00B309B9">
      <w:pPr>
        <w:pStyle w:val="ListNumber"/>
      </w:pPr>
      <w:r>
        <w:t>Introduction</w:t>
      </w:r>
    </w:p>
    <w:p w14:paraId="32C682F4" w14:textId="078D0171" w:rsidR="00670262" w:rsidRDefault="00F62DEF">
      <w:pPr>
        <w:pStyle w:val="ListNumber"/>
      </w:pPr>
      <w:r>
        <w:t xml:space="preserve"> Objectives</w:t>
      </w:r>
    </w:p>
    <w:p w14:paraId="049A8B28" w14:textId="21B3D01D" w:rsidR="00670262" w:rsidRDefault="00F62DEF">
      <w:pPr>
        <w:pStyle w:val="ListNumber"/>
      </w:pPr>
      <w:r>
        <w:t xml:space="preserve"> Methodology</w:t>
      </w:r>
    </w:p>
    <w:p w14:paraId="37D94012" w14:textId="5F7448DF" w:rsidR="00670262" w:rsidRDefault="00F62DEF">
      <w:pPr>
        <w:pStyle w:val="ListNumber"/>
      </w:pPr>
      <w:r>
        <w:t xml:space="preserve"> KPIs Tracked</w:t>
      </w:r>
    </w:p>
    <w:p w14:paraId="247BB168" w14:textId="137F33A9" w:rsidR="00670262" w:rsidRDefault="00F62DEF">
      <w:pPr>
        <w:pStyle w:val="ListNumber"/>
      </w:pPr>
      <w:r>
        <w:t>Charts Created</w:t>
      </w:r>
    </w:p>
    <w:p w14:paraId="3851A578" w14:textId="60B07DF5" w:rsidR="00670262" w:rsidRDefault="00F62DEF">
      <w:pPr>
        <w:pStyle w:val="ListNumber"/>
      </w:pPr>
      <w:r>
        <w:t xml:space="preserve"> Reports Generated</w:t>
      </w:r>
    </w:p>
    <w:p w14:paraId="66AEE9A8" w14:textId="3EAC5DE9" w:rsidR="0278B44E" w:rsidRDefault="0278B44E" w:rsidP="0278B44E">
      <w:pPr>
        <w:pStyle w:val="ListNumber"/>
      </w:pPr>
      <w:r>
        <w:t xml:space="preserve">Detailed Analysis and Outcomes </w:t>
      </w:r>
    </w:p>
    <w:p w14:paraId="2F45B966" w14:textId="0C257F0B" w:rsidR="00670262" w:rsidRDefault="0278B44E">
      <w:pPr>
        <w:pStyle w:val="ListNumber"/>
      </w:pPr>
      <w:r>
        <w:t xml:space="preserve">Insights Generated </w:t>
      </w:r>
    </w:p>
    <w:p w14:paraId="5EFD87B1" w14:textId="1065BD5A" w:rsidR="0278B44E" w:rsidRDefault="0278B44E" w:rsidP="0278B44E">
      <w:pPr>
        <w:pStyle w:val="ListNumber"/>
      </w:pPr>
      <w:r>
        <w:t>Recommendations</w:t>
      </w:r>
    </w:p>
    <w:p w14:paraId="20E63880" w14:textId="03C966A0" w:rsidR="00670262" w:rsidRDefault="00F62DEF">
      <w:pPr>
        <w:pStyle w:val="ListNumber"/>
      </w:pPr>
      <w:r>
        <w:t>Conclusion</w:t>
      </w:r>
    </w:p>
    <w:p w14:paraId="13E214A2" w14:textId="653C6296" w:rsidR="00670262" w:rsidRDefault="00F62DEF" w:rsidP="3A90F63A">
      <w:pPr>
        <w:pStyle w:val="ListNumber"/>
      </w:pPr>
      <w:r>
        <w:t>Acknowledgements</w:t>
      </w:r>
    </w:p>
    <w:p w14:paraId="372F961D" w14:textId="707E17EA" w:rsidR="00670262" w:rsidRDefault="00F62DEF">
      <w:pPr>
        <w:pStyle w:val="Heading1"/>
      </w:pPr>
      <w:r>
        <w:t>Introduction</w:t>
      </w:r>
    </w:p>
    <w:p w14:paraId="379EB40C" w14:textId="5C381D05" w:rsidR="00670262" w:rsidRDefault="00F62DEF">
      <w:r>
        <w:t xml:space="preserve">Electric vehicles are gaining </w:t>
      </w:r>
      <w:r w:rsidR="00B4114F">
        <w:t>widespread popularity</w:t>
      </w:r>
      <w:r>
        <w:t xml:space="preserve"> due to their eco-friendly footprint</w:t>
      </w:r>
      <w:r w:rsidR="00B4114F">
        <w:t>, decreased usage of fossil fuels</w:t>
      </w:r>
      <w:r w:rsidR="3A90F63A">
        <w:t>,</w:t>
      </w:r>
      <w:r w:rsidR="00B4114F">
        <w:t xml:space="preserve"> and </w:t>
      </w:r>
      <w:r w:rsidR="3A90F63A">
        <w:t>fewer</w:t>
      </w:r>
      <w:r w:rsidR="00B4114F">
        <w:t xml:space="preserve"> greenhouse gas emissions</w:t>
      </w:r>
      <w:r>
        <w:t xml:space="preserve">. </w:t>
      </w:r>
      <w:r w:rsidR="00B4114F">
        <w:t xml:space="preserve">Governments, manufacturers and people across the globe are investing heavily in this changing infrastructure and vehicle development to accelerate EV adoption. </w:t>
      </w:r>
      <w:r w:rsidR="0010216E">
        <w:t xml:space="preserve">However, decision-makers lack easy access to up-to date insights regarding this </w:t>
      </w:r>
      <w:r w:rsidR="00ED4527">
        <w:t>ever-evolving</w:t>
      </w:r>
      <w:r w:rsidR="0010216E">
        <w:t xml:space="preserve"> industry.</w:t>
      </w:r>
      <w:r>
        <w:t xml:space="preserve"> This </w:t>
      </w:r>
      <w:r>
        <w:lastRenderedPageBreak/>
        <w:t xml:space="preserve">report visualizes </w:t>
      </w:r>
      <w:r>
        <w:t>dataset-based metrics to explore KPIs across key focus areas like make, model, year, utility coverage, and price.</w:t>
      </w:r>
    </w:p>
    <w:p w14:paraId="5E6DFE35" w14:textId="0DCB27B2" w:rsidR="00670262" w:rsidRDefault="00F62DEF">
      <w:pPr>
        <w:pStyle w:val="Heading1"/>
      </w:pPr>
      <w:r>
        <w:t>Objectives</w:t>
      </w:r>
      <w:r w:rsidR="00B4114F">
        <w:t xml:space="preserve"> </w:t>
      </w:r>
    </w:p>
    <w:p w14:paraId="3C0EDD2E" w14:textId="4DEE1E36" w:rsidR="00B4114F" w:rsidRPr="00B4114F" w:rsidRDefault="00B4114F" w:rsidP="00B4114F">
      <w:r>
        <w:t xml:space="preserve">The report presents insights through a Power BI dashboard aimed at gathering information by:  </w:t>
      </w:r>
    </w:p>
    <w:p w14:paraId="3CBE2CE4" w14:textId="77777777" w:rsidR="00670262" w:rsidRDefault="00F62DEF">
      <w:r>
        <w:t>- Analyze count and distribution of EV makers and models</w:t>
      </w:r>
      <w:r>
        <w:br/>
        <w:t>- Segment EV types by market share</w:t>
      </w:r>
      <w:r>
        <w:br/>
        <w:t>- Evaluate Clean Alternative Fuel Vehicle (CAFV) eligibility</w:t>
      </w:r>
      <w:r>
        <w:br/>
        <w:t>- Study utility provider coverage for EVs</w:t>
      </w:r>
      <w:r>
        <w:br/>
        <w:t>- Examine year-on-year manufacturing trends</w:t>
      </w:r>
      <w:r>
        <w:br/>
        <w:t>- Investigate MSRP-based insights by make and utility</w:t>
      </w:r>
      <w:r>
        <w:br/>
        <w:t>- Understand geographical spread: state, city, county, and ZIP</w:t>
      </w:r>
    </w:p>
    <w:p w14:paraId="66CD0769" w14:textId="77777777" w:rsidR="00670262" w:rsidRDefault="00F62DEF">
      <w:pPr>
        <w:pStyle w:val="Heading1"/>
      </w:pPr>
      <w:r>
        <w:t>Methodology</w:t>
      </w:r>
    </w:p>
    <w:p w14:paraId="75AFCAEB" w14:textId="2F8F1516" w:rsidR="2B2DEA95" w:rsidRDefault="00F62DEF">
      <w:r>
        <w:t>- Dataset: Electric Vehicle Registration Data with attributes like make, model, year, electric type, range, eligibility, utility, and geography</w:t>
      </w:r>
      <w:r>
        <w:br/>
        <w:t>- Tool: Microsoft Power BI for dashboard development</w:t>
      </w:r>
      <w:r>
        <w:br/>
        <w:t>- Data Transformation: Power Query for shaping, DAX for KPI logic</w:t>
      </w:r>
      <w:r>
        <w:br/>
        <w:t>- Visualizations: Bar charts, pie charts, donut charts, line graphs, card KPIs, and histograms</w:t>
      </w:r>
      <w:r>
        <w:br/>
        <w:t>- Dashboards grouped into themes: Overview, CAFV, Utility, Time, MSRP, Geographic Spread, and Model Exploration</w:t>
      </w:r>
    </w:p>
    <w:p w14:paraId="019E8C4D" w14:textId="77777777" w:rsidR="00670262" w:rsidRDefault="00F62DEF">
      <w:pPr>
        <w:pStyle w:val="Heading1"/>
      </w:pPr>
      <w:r>
        <w:t>KPIs Tracked</w:t>
      </w:r>
    </w:p>
    <w:p w14:paraId="3A790931" w14:textId="77777777" w:rsidR="00670262" w:rsidRDefault="00F62DEF">
      <w:r>
        <w:t>1. Total EV Makers: 40</w:t>
      </w:r>
      <w:r>
        <w:br/>
      </w:r>
      <w:r>
        <w:t>2. EV Types Count: 2 – Battery Electric (BEV) and Plug-in Hybrid Electric (PHEV)</w:t>
      </w:r>
      <w:r>
        <w:br/>
        <w:t>3. CAFV Eligibility Breakdown: Eligible, Non-Eligible, Unknown</w:t>
      </w:r>
      <w:r>
        <w:br/>
        <w:t>4. Count of Electric Utility Providers: 77</w:t>
      </w:r>
      <w:r>
        <w:br/>
        <w:t>5. YOY Manufacturing Trend from 1997–2023</w:t>
      </w:r>
      <w:r>
        <w:br/>
        <w:t>6. Avg. MSRP: 1.07K (in $1,000 units)</w:t>
      </w:r>
      <w:r>
        <w:br/>
        <w:t>7. Average MSRP by EV Make and Utility</w:t>
      </w:r>
      <w:r>
        <w:br/>
        <w:t>8. EV Count by City, County, and Model</w:t>
      </w:r>
    </w:p>
    <w:p w14:paraId="50625E83" w14:textId="77777777" w:rsidR="00670262" w:rsidRDefault="00F62DEF">
      <w:pPr>
        <w:pStyle w:val="Heading1"/>
      </w:pPr>
      <w:r>
        <w:t>Charts Created</w:t>
      </w:r>
    </w:p>
    <w:p w14:paraId="68D0B85B" w14:textId="77777777" w:rsidR="00670262" w:rsidRDefault="00F62DEF">
      <w:r>
        <w:t>1. Pie Chart – EV makers share (e.g., Tesla 44.79%)</w:t>
      </w:r>
      <w:r>
        <w:br/>
        <w:t>2. Bar Graph – Top EV makers by count</w:t>
      </w:r>
      <w:r>
        <w:br/>
        <w:t>3. EV Type Chart – BEV vs. PHEV distribution (e.g., BEV 78.27%)</w:t>
      </w:r>
      <w:r>
        <w:br/>
        <w:t>4. Donut &amp; Bar Charts – CAFV Eligibility percentages</w:t>
      </w:r>
      <w:r>
        <w:br/>
        <w:t>5. Electric Utility Distribution – Utility share pie + count bar</w:t>
      </w:r>
      <w:r>
        <w:br/>
      </w:r>
      <w:r>
        <w:lastRenderedPageBreak/>
        <w:t>6. Line Graph – YOY manufacturing trend (1997–2023)</w:t>
      </w:r>
      <w:r>
        <w:br/>
        <w:t>7. MSRP Chart – Avg base price by make and utility</w:t>
      </w:r>
      <w:r>
        <w:br/>
        <w:t>8. Geographic Maps/Charts – EV count by county, city</w:t>
      </w:r>
      <w:r>
        <w:br/>
        <w:t>9. Top Models by Region – Models segmented by top counties/cities</w:t>
      </w:r>
    </w:p>
    <w:p w14:paraId="2A3D6310" w14:textId="77777777" w:rsidR="00670262" w:rsidRDefault="00F62DEF">
      <w:pPr>
        <w:pStyle w:val="Heading1"/>
      </w:pPr>
      <w:r>
        <w:t>Reports Generated</w:t>
      </w:r>
    </w:p>
    <w:p w14:paraId="33AD2CC7" w14:textId="3295E465" w:rsidR="00670262" w:rsidRDefault="00F62DEF" w:rsidP="2B2DEA95">
      <w:r>
        <w:t>1. EV Overview – Maker share, EV type split</w:t>
      </w:r>
      <w:r>
        <w:br/>
        <w:t>2. CAFV Eligibility Analysis – Breakdown of eligible vs. ineligible EVs</w:t>
      </w:r>
      <w:r>
        <w:br/>
        <w:t>3. Electric Utility Analysis – Utility share and coverage</w:t>
      </w:r>
      <w:r>
        <w:br/>
        <w:t>4. EV Adoption Over Time – Year-wise manufacturing pattern</w:t>
      </w:r>
      <w:r>
        <w:br/>
        <w:t>5. EV MSRP Analysis – Price insights by brand and utility</w:t>
      </w:r>
      <w:r>
        <w:br/>
        <w:t>6. Geographic Insights – County and city-level EV distribution</w:t>
      </w:r>
      <w:r>
        <w:br/>
        <w:t>7. Top Model Exploration – Most popular EV models per region</w:t>
      </w:r>
    </w:p>
    <w:p w14:paraId="709E39C2" w14:textId="0CDC84B7" w:rsidR="00670262" w:rsidRDefault="2B2DEA95">
      <w:pPr>
        <w:pStyle w:val="Heading1"/>
      </w:pPr>
      <w:r>
        <w:t xml:space="preserve">Detailed Analysis and Outcomes </w:t>
      </w:r>
    </w:p>
    <w:p w14:paraId="21F656CA" w14:textId="4E270700" w:rsidR="00670262" w:rsidRDefault="2B2DEA95" w:rsidP="2B2DEA95">
      <w:r>
        <w:t>1.</w:t>
      </w:r>
      <w:r w:rsidRPr="2B2DEA95">
        <w:rPr>
          <w:rFonts w:ascii="Cambria" w:eastAsia="Cambria" w:hAnsi="Cambria" w:cs="Cambria"/>
        </w:rPr>
        <w:t xml:space="preserve"> Vehicle Make Distribution Analysis:</w:t>
      </w:r>
    </w:p>
    <w:p w14:paraId="348AB711" w14:textId="322025BF" w:rsidR="00670262" w:rsidRDefault="00C85065" w:rsidP="2B2DEA95">
      <w:r>
        <w:rPr>
          <w:noProof/>
        </w:rPr>
        <w:drawing>
          <wp:inline distT="0" distB="0" distL="0" distR="0" wp14:anchorId="66467948" wp14:editId="3817E5E0">
            <wp:extent cx="5486400" cy="3076575"/>
            <wp:effectExtent l="0" t="0" r="0" b="0"/>
            <wp:docPr id="6561753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7537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0358" w14:textId="146C6D08" w:rsidR="00670262" w:rsidRDefault="76613F57" w:rsidP="2B2DEA95">
      <w:pPr>
        <w:pStyle w:val="ListParagraph"/>
        <w:numPr>
          <w:ilvl w:val="0"/>
          <w:numId w:val="20"/>
        </w:numPr>
        <w:jc w:val="both"/>
      </w:pPr>
      <w:r>
        <w:t>The top 3 brands alone (Tesla, Nissan, Chevrolet) make up</w:t>
      </w:r>
      <w:r w:rsidRPr="76613F57">
        <w:rPr>
          <w:b/>
          <w:bCs/>
        </w:rPr>
        <w:t xml:space="preserve"> </w:t>
      </w:r>
      <w:r>
        <w:t>~60%</w:t>
      </w:r>
      <w:r w:rsidRPr="76613F57">
        <w:rPr>
          <w:b/>
          <w:bCs/>
        </w:rPr>
        <w:t xml:space="preserve"> </w:t>
      </w:r>
      <w:r>
        <w:t>of the total.</w:t>
      </w:r>
    </w:p>
    <w:p w14:paraId="1B927679" w14:textId="3D97C52F" w:rsidR="00670262" w:rsidRDefault="2B2DEA95" w:rsidP="2B2DEA95">
      <w:pPr>
        <w:pStyle w:val="ListParagraph"/>
        <w:numPr>
          <w:ilvl w:val="0"/>
          <w:numId w:val="20"/>
        </w:numPr>
        <w:jc w:val="both"/>
      </w:pPr>
      <w:r w:rsidRPr="2B2DEA95">
        <w:t>The drop between the top 1 and top 2 brands (Tesla to Nissan) is steep — from ~45% to under 8%, highlighting a heavily skewed distribution.</w:t>
      </w:r>
    </w:p>
    <w:p w14:paraId="164C8246" w14:textId="7D29A1BD" w:rsidR="00670262" w:rsidRDefault="2B2DEA95" w:rsidP="2B2DEA95">
      <w:pPr>
        <w:pStyle w:val="ListParagraph"/>
        <w:numPr>
          <w:ilvl w:val="0"/>
          <w:numId w:val="20"/>
        </w:numPr>
        <w:jc w:val="both"/>
      </w:pPr>
      <w:r w:rsidRPr="2B2DEA95">
        <w:t>Chevrolet and Nissan are nearly tied, indicating competitive positioning in the mid-range market.</w:t>
      </w:r>
    </w:p>
    <w:p w14:paraId="590A491B" w14:textId="33D0D01C" w:rsidR="00670262" w:rsidRDefault="2B2DEA95" w:rsidP="2B2DEA95">
      <w:pPr>
        <w:pStyle w:val="ListParagraph"/>
        <w:numPr>
          <w:ilvl w:val="0"/>
          <w:numId w:val="20"/>
        </w:numPr>
        <w:jc w:val="both"/>
      </w:pPr>
      <w:r w:rsidRPr="2B2DEA95">
        <w:lastRenderedPageBreak/>
        <w:t>Multiple brands (e.g., KIA, BMW, TOYOTA, VOLKSWAGEN, JEEP) have similar-sized segments, suggesting a cluster of mid-popularity brands without a clear leader among them.</w:t>
      </w:r>
    </w:p>
    <w:p w14:paraId="3E39FD42" w14:textId="037F92AA" w:rsidR="00670262" w:rsidRDefault="2B2DEA95" w:rsidP="2B2DEA95">
      <w:pPr>
        <w:jc w:val="both"/>
      </w:pPr>
      <w:r w:rsidRPr="2B2DEA95">
        <w:t xml:space="preserve">2. </w:t>
      </w:r>
      <w:r w:rsidRPr="2B2DEA95">
        <w:rPr>
          <w:rFonts w:ascii="Cambria" w:eastAsia="Cambria" w:hAnsi="Cambria" w:cs="Cambria"/>
        </w:rPr>
        <w:t>Distribution of Electric Vehicle Types:</w:t>
      </w:r>
    </w:p>
    <w:p w14:paraId="1716F90E" w14:textId="4FB24B92" w:rsidR="00670262" w:rsidRDefault="2B2DEA95" w:rsidP="2B2DEA95">
      <w:pPr>
        <w:pStyle w:val="ListParagraph"/>
        <w:numPr>
          <w:ilvl w:val="0"/>
          <w:numId w:val="19"/>
        </w:numPr>
        <w:jc w:val="both"/>
      </w:pPr>
      <w:r w:rsidRPr="2B2DEA95">
        <w:t>The data indicates a strong consumer and market preference toward fully electric (battery-powered) vehicles over hybrid models.</w:t>
      </w:r>
    </w:p>
    <w:p w14:paraId="6A731BB7" w14:textId="7A972870" w:rsidR="00670262" w:rsidRDefault="2B2DEA95" w:rsidP="2B2DEA95">
      <w:pPr>
        <w:pStyle w:val="ListParagraph"/>
        <w:numPr>
          <w:ilvl w:val="0"/>
          <w:numId w:val="19"/>
        </w:numPr>
        <w:jc w:val="both"/>
      </w:pPr>
      <w:r w:rsidRPr="2B2DEA95">
        <w:t>The ratio of BEV to PHEV is approximately 3.6:1, signaling a clear trend toward fully electric mobility.</w:t>
      </w:r>
    </w:p>
    <w:p w14:paraId="11DEDB57" w14:textId="2957E7AA" w:rsidR="00670262" w:rsidRDefault="00670262" w:rsidP="2B2DEA95">
      <w:pPr>
        <w:jc w:val="both"/>
      </w:pPr>
    </w:p>
    <w:p w14:paraId="0EB5662D" w14:textId="3B435C37" w:rsidR="00670262" w:rsidRDefault="00670262" w:rsidP="2B2DEA95">
      <w:pPr>
        <w:jc w:val="both"/>
      </w:pPr>
    </w:p>
    <w:p w14:paraId="4E5D2B6B" w14:textId="40CD2F20" w:rsidR="00670262" w:rsidRDefault="00670262" w:rsidP="2B2DEA95">
      <w:pPr>
        <w:jc w:val="both"/>
      </w:pPr>
    </w:p>
    <w:p w14:paraId="00A96C13" w14:textId="66A78DE6" w:rsidR="00670262" w:rsidRDefault="2B2DEA95" w:rsidP="2B2DEA95">
      <w:pPr>
        <w:jc w:val="both"/>
      </w:pPr>
      <w:r w:rsidRPr="2B2DEA95">
        <w:t xml:space="preserve">3. </w:t>
      </w:r>
      <w:r w:rsidRPr="2B2DEA95">
        <w:rPr>
          <w:rFonts w:ascii="Cambria" w:eastAsia="Cambria" w:hAnsi="Cambria" w:cs="Cambria"/>
        </w:rPr>
        <w:t>Clean Fuel Eligibility Status Across Vehicles:</w:t>
      </w:r>
    </w:p>
    <w:p w14:paraId="4EDE6256" w14:textId="24B6398B" w:rsidR="00670262" w:rsidRDefault="00C85065" w:rsidP="2B2DEA95">
      <w:pPr>
        <w:jc w:val="both"/>
      </w:pPr>
      <w:r>
        <w:rPr>
          <w:noProof/>
        </w:rPr>
        <w:drawing>
          <wp:inline distT="0" distB="0" distL="0" distR="0" wp14:anchorId="09BBE6D4" wp14:editId="4B713F50">
            <wp:extent cx="5486400" cy="3076575"/>
            <wp:effectExtent l="0" t="0" r="0" b="0"/>
            <wp:docPr id="8976672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025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6637" w14:textId="1C27A441" w:rsidR="00670262" w:rsidRDefault="2B2DEA95" w:rsidP="2B2DEA95">
      <w:pPr>
        <w:pStyle w:val="ListParagraph"/>
        <w:numPr>
          <w:ilvl w:val="0"/>
          <w:numId w:val="18"/>
        </w:numPr>
        <w:jc w:val="both"/>
      </w:pPr>
      <w:r w:rsidRPr="2B2DEA95">
        <w:t>There is an opportunity to target the 37% non-eligible segment for EV/CAFV transition programs or awareness campaigns.</w:t>
      </w:r>
    </w:p>
    <w:p w14:paraId="627AA693" w14:textId="1ABCB533" w:rsidR="00670262" w:rsidRDefault="2B2DEA95" w:rsidP="2B2DEA95">
      <w:pPr>
        <w:jc w:val="both"/>
      </w:pPr>
      <w:r w:rsidRPr="2B2DEA95">
        <w:t xml:space="preserve">4. </w:t>
      </w:r>
      <w:r w:rsidRPr="2B2DEA95">
        <w:rPr>
          <w:rFonts w:ascii="Cambria" w:eastAsia="Cambria" w:hAnsi="Cambria" w:cs="Cambria"/>
        </w:rPr>
        <w:t>Electric Utility Providers in EV Dataset:</w:t>
      </w:r>
    </w:p>
    <w:p w14:paraId="748A8389" w14:textId="1D1FA912" w:rsidR="00670262" w:rsidRDefault="00C85065" w:rsidP="2B2DEA95">
      <w:pPr>
        <w:jc w:val="both"/>
      </w:pPr>
      <w:r>
        <w:rPr>
          <w:noProof/>
        </w:rPr>
        <w:lastRenderedPageBreak/>
        <w:drawing>
          <wp:inline distT="0" distB="0" distL="0" distR="0" wp14:anchorId="1C48ED38" wp14:editId="133EDC35">
            <wp:extent cx="5486400" cy="3114675"/>
            <wp:effectExtent l="0" t="0" r="0" b="0"/>
            <wp:docPr id="2921142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3984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07C0" w14:textId="60C63FEB" w:rsidR="00670262" w:rsidRDefault="00670262" w:rsidP="2B2DEA95">
      <w:pPr>
        <w:jc w:val="both"/>
      </w:pPr>
    </w:p>
    <w:p w14:paraId="0C71CA0F" w14:textId="6261827A" w:rsidR="00670262" w:rsidRDefault="2B2DEA95" w:rsidP="2B2DEA95">
      <w:pPr>
        <w:pStyle w:val="ListParagraph"/>
        <w:numPr>
          <w:ilvl w:val="0"/>
          <w:numId w:val="17"/>
        </w:numPr>
        <w:jc w:val="both"/>
        <w:rPr>
          <w:rFonts w:ascii="Cambria" w:eastAsia="Cambria" w:hAnsi="Cambria" w:cs="Cambria"/>
        </w:rPr>
      </w:pPr>
      <w:r w:rsidRPr="2B2DEA95">
        <w:rPr>
          <w:rFonts w:ascii="Cambria" w:eastAsia="Cambria" w:hAnsi="Cambria" w:cs="Cambria"/>
        </w:rPr>
        <w:t>This figure highlights how utility partnerships and EV infrastructure coverage are concentrated among a small number of key players, which is crucial for efficiently directing charging station deployment and EV policy implementation.</w:t>
      </w:r>
    </w:p>
    <w:p w14:paraId="645A98BE" w14:textId="4D311EA4" w:rsidR="00670262" w:rsidRDefault="2B2DEA95" w:rsidP="2B2DEA95">
      <w:pPr>
        <w:pStyle w:val="ListParagraph"/>
        <w:numPr>
          <w:ilvl w:val="0"/>
          <w:numId w:val="17"/>
        </w:numPr>
        <w:jc w:val="both"/>
      </w:pPr>
      <w:r w:rsidRPr="2B2DEA95">
        <w:t>Remaining utilities such as BONNEVILLE POWER ADMINISTRATION, PACIFICORP, and others hold smaller shares ranging from 2% to 6%, with many contributing less than 1% each.</w:t>
      </w:r>
    </w:p>
    <w:p w14:paraId="2964528E" w14:textId="152B6C27" w:rsidR="00670262" w:rsidRDefault="2B2DEA95" w:rsidP="2B2DEA95">
      <w:pPr>
        <w:jc w:val="both"/>
        <w:rPr>
          <w:rFonts w:ascii="Cambria" w:eastAsia="Cambria" w:hAnsi="Cambria" w:cs="Cambria"/>
        </w:rPr>
      </w:pPr>
      <w:r w:rsidRPr="2B2DEA95">
        <w:t>5.</w:t>
      </w:r>
      <w:r w:rsidRPr="2B2DEA95">
        <w:rPr>
          <w:rFonts w:ascii="Cambria" w:eastAsia="Cambria" w:hAnsi="Cambria" w:cs="Cambria"/>
          <w:b/>
          <w:bCs/>
        </w:rPr>
        <w:t xml:space="preserve"> </w:t>
      </w:r>
      <w:r w:rsidRPr="2B2DEA95">
        <w:rPr>
          <w:rFonts w:ascii="Cambria" w:eastAsia="Cambria" w:hAnsi="Cambria" w:cs="Cambria"/>
        </w:rPr>
        <w:t>EV Adoption Analysis:</w:t>
      </w:r>
    </w:p>
    <w:p w14:paraId="3C1C8804" w14:textId="09E536A6" w:rsidR="00670262" w:rsidRDefault="00C85065" w:rsidP="2B2DEA95">
      <w:pPr>
        <w:jc w:val="both"/>
      </w:pPr>
      <w:r>
        <w:rPr>
          <w:noProof/>
        </w:rPr>
        <w:drawing>
          <wp:inline distT="0" distB="0" distL="0" distR="0" wp14:anchorId="09D4D5C1" wp14:editId="53733AC2">
            <wp:extent cx="5486400" cy="2733675"/>
            <wp:effectExtent l="0" t="0" r="0" b="0"/>
            <wp:docPr id="68488184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701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A9D5" w14:textId="162216DF" w:rsidR="00670262" w:rsidRDefault="2B2DEA95" w:rsidP="2B2DEA95">
      <w:pPr>
        <w:pStyle w:val="ListParagraph"/>
        <w:numPr>
          <w:ilvl w:val="0"/>
          <w:numId w:val="16"/>
        </w:numPr>
        <w:jc w:val="both"/>
      </w:pPr>
      <w:r w:rsidRPr="2B2DEA95">
        <w:lastRenderedPageBreak/>
        <w:t>EV adoption remained minimal before 2010, indicating limited availability or awareness of electric vehicles in the market.</w:t>
      </w:r>
    </w:p>
    <w:p w14:paraId="29E2E349" w14:textId="79427517" w:rsidR="00670262" w:rsidRDefault="2B2DEA95" w:rsidP="2B2DEA95">
      <w:pPr>
        <w:pStyle w:val="ListParagraph"/>
        <w:numPr>
          <w:ilvl w:val="0"/>
          <w:numId w:val="16"/>
        </w:numPr>
        <w:jc w:val="both"/>
      </w:pPr>
      <w:r w:rsidRPr="2B2DEA95">
        <w:t>From 2015 to 2018, the market began gaining momentum with more manufacturers entering and consumer interest increasing.</w:t>
      </w:r>
    </w:p>
    <w:p w14:paraId="7A231C50" w14:textId="51698ED4" w:rsidR="00670262" w:rsidRDefault="2B2DEA95" w:rsidP="2B2DEA95">
      <w:pPr>
        <w:pStyle w:val="ListParagraph"/>
        <w:numPr>
          <w:ilvl w:val="0"/>
          <w:numId w:val="16"/>
        </w:numPr>
        <w:jc w:val="both"/>
      </w:pPr>
      <w:r w:rsidRPr="2B2DEA95">
        <w:t>The most significant surge was observed between 2021 and 2023, suggesting rapid expansion of EV models, broader acceptance, and market diversification.</w:t>
      </w:r>
    </w:p>
    <w:p w14:paraId="3F9FB81B" w14:textId="633869B8" w:rsidR="00670262" w:rsidRDefault="2B2DEA95" w:rsidP="2B2DEA95">
      <w:pPr>
        <w:pStyle w:val="ListParagraph"/>
        <w:numPr>
          <w:ilvl w:val="0"/>
          <w:numId w:val="16"/>
        </w:numPr>
        <w:jc w:val="both"/>
      </w:pPr>
      <w:r w:rsidRPr="2B2DEA95">
        <w:t>2023 marked the peak with the highest number of makes registered, indicating a booming period for EV manufacturing and adoption.</w:t>
      </w:r>
    </w:p>
    <w:p w14:paraId="09E7FB16" w14:textId="73BCD060" w:rsidR="00670262" w:rsidRDefault="00670262" w:rsidP="2B2DEA95">
      <w:pPr>
        <w:jc w:val="both"/>
      </w:pPr>
    </w:p>
    <w:p w14:paraId="763FB522" w14:textId="5550CD46" w:rsidR="00670262" w:rsidRDefault="00670262" w:rsidP="2B2DEA95">
      <w:pPr>
        <w:jc w:val="both"/>
      </w:pPr>
    </w:p>
    <w:p w14:paraId="322E1793" w14:textId="1A450373" w:rsidR="00670262" w:rsidRDefault="00670262" w:rsidP="2B2DEA95">
      <w:pPr>
        <w:jc w:val="both"/>
      </w:pPr>
    </w:p>
    <w:p w14:paraId="55D96254" w14:textId="067D53D3" w:rsidR="00670262" w:rsidRDefault="00670262" w:rsidP="2B2DEA95">
      <w:pPr>
        <w:jc w:val="both"/>
      </w:pPr>
    </w:p>
    <w:p w14:paraId="055E8BFC" w14:textId="601BA276" w:rsidR="00670262" w:rsidRDefault="00670262" w:rsidP="2B2DEA95">
      <w:pPr>
        <w:jc w:val="both"/>
      </w:pPr>
    </w:p>
    <w:p w14:paraId="4B3BD833" w14:textId="487FB4EB" w:rsidR="00670262" w:rsidRDefault="2B2DEA95" w:rsidP="2B2DEA95">
      <w:pPr>
        <w:jc w:val="both"/>
      </w:pPr>
      <w:r w:rsidRPr="2B2DEA95">
        <w:t xml:space="preserve">6. </w:t>
      </w:r>
      <w:r w:rsidRPr="2B2DEA95">
        <w:rPr>
          <w:rFonts w:ascii="Cambria" w:eastAsia="Cambria" w:hAnsi="Cambria" w:cs="Cambria"/>
        </w:rPr>
        <w:t>MSRP of EVs:</w:t>
      </w:r>
    </w:p>
    <w:p w14:paraId="0FCA4024" w14:textId="6DE89117" w:rsidR="00670262" w:rsidRDefault="00C85065" w:rsidP="2B2DEA95">
      <w:pPr>
        <w:jc w:val="both"/>
      </w:pPr>
      <w:r>
        <w:rPr>
          <w:noProof/>
        </w:rPr>
        <w:drawing>
          <wp:inline distT="0" distB="0" distL="0" distR="0" wp14:anchorId="548B4988" wp14:editId="1D5E8DCA">
            <wp:extent cx="5486400" cy="2847975"/>
            <wp:effectExtent l="0" t="0" r="0" b="0"/>
            <wp:docPr id="211901016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921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ADBF" w14:textId="455F5BCB" w:rsidR="00670262" w:rsidRDefault="2B2DEA95" w:rsidP="2B2DEA95">
      <w:pPr>
        <w:pStyle w:val="ListParagraph"/>
        <w:numPr>
          <w:ilvl w:val="0"/>
          <w:numId w:val="15"/>
        </w:numPr>
        <w:jc w:val="both"/>
      </w:pPr>
      <w:r w:rsidRPr="2B2DEA95">
        <w:t>The average MSRP across all data points is $1.07K, demonstrating the significant differences in EV base prices between manufacturers and utilities, with luxury brands having substantially higher prices and Bonneville Power Administration becoming the most popular utility provider.</w:t>
      </w:r>
    </w:p>
    <w:p w14:paraId="0BC8962E" w14:textId="4D14C3DC" w:rsidR="00670262" w:rsidRDefault="2B2DEA95" w:rsidP="2B2DEA95">
      <w:pPr>
        <w:jc w:val="both"/>
      </w:pPr>
      <w:r w:rsidRPr="2B2DEA95">
        <w:t>7. El</w:t>
      </w:r>
      <w:r w:rsidRPr="2B2DEA95">
        <w:rPr>
          <w:rFonts w:ascii="Cambria" w:eastAsia="Cambria" w:hAnsi="Cambria" w:cs="Cambria"/>
        </w:rPr>
        <w:t>ectric Vehicle (EV) Adoption Trends by Model Year and County:</w:t>
      </w:r>
    </w:p>
    <w:p w14:paraId="5FD52945" w14:textId="47241D7B" w:rsidR="00670262" w:rsidRDefault="00C85065" w:rsidP="2B2DEA95">
      <w:pPr>
        <w:jc w:val="both"/>
      </w:pPr>
      <w:r>
        <w:rPr>
          <w:noProof/>
        </w:rPr>
        <w:lastRenderedPageBreak/>
        <w:drawing>
          <wp:inline distT="0" distB="0" distL="0" distR="0" wp14:anchorId="7662941F" wp14:editId="1003AC76">
            <wp:extent cx="5486400" cy="2933700"/>
            <wp:effectExtent l="0" t="0" r="0" b="0"/>
            <wp:docPr id="4056256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56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03B4" w14:textId="4EA1F4B5" w:rsidR="00670262" w:rsidRDefault="2B2DEA95" w:rsidP="2B2DEA95">
      <w:pPr>
        <w:pStyle w:val="ListParagraph"/>
        <w:numPr>
          <w:ilvl w:val="0"/>
          <w:numId w:val="14"/>
        </w:numPr>
        <w:jc w:val="both"/>
      </w:pPr>
      <w:r w:rsidRPr="2B2DEA95">
        <w:t>EV adoption was almost negligible before 2010, reflecting how recent and rapid the electric vehicle market evolution has been.</w:t>
      </w:r>
    </w:p>
    <w:p w14:paraId="509A5541" w14:textId="469205AD" w:rsidR="00670262" w:rsidRDefault="2B2DEA95" w:rsidP="2B2DEA95">
      <w:pPr>
        <w:pStyle w:val="ListParagraph"/>
        <w:numPr>
          <w:ilvl w:val="0"/>
          <w:numId w:val="14"/>
        </w:numPr>
        <w:jc w:val="both"/>
      </w:pPr>
      <w:r w:rsidRPr="2B2DEA95">
        <w:t>EV adoption has seen a sharp rise starting around 2012, peaking significantly in 2023, before a noticeable dip in 2024—possibly due to incomplete data or market saturation.</w:t>
      </w:r>
    </w:p>
    <w:p w14:paraId="28670781" w14:textId="31159CC0" w:rsidR="00670262" w:rsidRDefault="2B2DEA95" w:rsidP="2B2DEA95">
      <w:pPr>
        <w:pStyle w:val="ListParagraph"/>
        <w:numPr>
          <w:ilvl w:val="0"/>
          <w:numId w:val="14"/>
        </w:numPr>
        <w:jc w:val="both"/>
      </w:pPr>
      <w:r w:rsidRPr="2B2DEA95">
        <w:t>King County leads overwhelmingly in EV ownership, with Snohomish and Pierce counties trailing far behind indicating a strong regional concentration.</w:t>
      </w:r>
    </w:p>
    <w:p w14:paraId="57E8FF29" w14:textId="2C47680B" w:rsidR="00670262" w:rsidRDefault="2B2DEA95" w:rsidP="2B2DEA95">
      <w:pPr>
        <w:jc w:val="both"/>
      </w:pPr>
      <w:r w:rsidRPr="2B2DEA95">
        <w:t>8. Top Model:</w:t>
      </w:r>
    </w:p>
    <w:p w14:paraId="7FE46836" w14:textId="0E56BF7B" w:rsidR="00670262" w:rsidRDefault="00C85065" w:rsidP="2B2DEA95">
      <w:pPr>
        <w:jc w:val="both"/>
      </w:pPr>
      <w:r>
        <w:rPr>
          <w:noProof/>
        </w:rPr>
        <w:drawing>
          <wp:inline distT="0" distB="0" distL="0" distR="0" wp14:anchorId="5C5F0F24" wp14:editId="164E96DC">
            <wp:extent cx="5486400" cy="3009900"/>
            <wp:effectExtent l="0" t="0" r="0" b="0"/>
            <wp:docPr id="8444946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46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4641" w14:textId="774092A2" w:rsidR="00670262" w:rsidRDefault="2B2DEA95" w:rsidP="2B2DEA95">
      <w:pPr>
        <w:pStyle w:val="ListParagraph"/>
        <w:numPr>
          <w:ilvl w:val="0"/>
          <w:numId w:val="13"/>
        </w:numPr>
        <w:jc w:val="both"/>
      </w:pPr>
      <w:r w:rsidRPr="2B2DEA95">
        <w:lastRenderedPageBreak/>
        <w:t>Tesla leads the EV market significantly while Seattle is the undisputed hub of EV adoption, with nearly three times more EVs than the next leading city, Bellevue.</w:t>
      </w:r>
    </w:p>
    <w:p w14:paraId="074030CD" w14:textId="4F76611F" w:rsidR="00670262" w:rsidRDefault="76613F57" w:rsidP="2B2DEA95">
      <w:pPr>
        <w:pStyle w:val="ListParagraph"/>
        <w:numPr>
          <w:ilvl w:val="0"/>
          <w:numId w:val="13"/>
        </w:numPr>
        <w:jc w:val="both"/>
      </w:pPr>
      <w:r>
        <w:t>Brands like Jeep, Volkswagen, and Toyota each hold less than 5% of the total share, indicating they are still emerging in the EV segment.</w:t>
      </w:r>
    </w:p>
    <w:p w14:paraId="3868CF48" w14:textId="6B68BDF8" w:rsidR="00B309B9" w:rsidRPr="00B309B9" w:rsidRDefault="00B309B9" w:rsidP="00B309B9">
      <w:r>
        <w:rPr>
          <w:noProof/>
        </w:rPr>
        <mc:AlternateContent>
          <mc:Choice Requires="wps">
            <w:drawing>
              <wp:inline distT="0" distB="0" distL="0" distR="0" wp14:anchorId="5DFDC21F" wp14:editId="158869DD">
                <wp:extent cx="304800" cy="304800"/>
                <wp:effectExtent l="0" t="0" r="0" b="0"/>
                <wp:docPr id="415130689" name="Rectangle 1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E49FAC" id="Rectangle 1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09B9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812AF2A" wp14:editId="682B7F24">
                <wp:extent cx="304800" cy="304800"/>
                <wp:effectExtent l="0" t="0" r="0" b="0"/>
                <wp:docPr id="306037850" name="Rectangle 2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8E7AFC" id="Rectangle 2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E0E2936" w14:textId="72F8F62B" w:rsidR="00670262" w:rsidRDefault="00C22508">
      <w:pPr>
        <w:pStyle w:val="Heading1"/>
      </w:pPr>
      <w:r>
        <w:t>Insights Gathered</w:t>
      </w:r>
    </w:p>
    <w:p w14:paraId="104FDB41" w14:textId="43771743" w:rsidR="00670262" w:rsidRDefault="00C22508">
      <w:r>
        <w:t xml:space="preserve">Some of the </w:t>
      </w:r>
      <w:r w:rsidR="00147E85">
        <w:t xml:space="preserve">important insights gathered are – </w:t>
      </w:r>
    </w:p>
    <w:p w14:paraId="4AE676F2" w14:textId="23E5DF24" w:rsidR="00147E85" w:rsidRDefault="00147E85" w:rsidP="00147E85">
      <w:pPr>
        <w:pStyle w:val="ListParagraph"/>
        <w:numPr>
          <w:ilvl w:val="0"/>
          <w:numId w:val="11"/>
        </w:numPr>
      </w:pPr>
      <w:r>
        <w:t>TESLA leads the market with 44</w:t>
      </w:r>
      <w:r w:rsidR="007E0C5D">
        <w:t>.79% of all EV’s followed by Nissan and Chevrolet, respectively under 8%</w:t>
      </w:r>
      <w:r w:rsidR="003504A7">
        <w:t>.</w:t>
      </w:r>
    </w:p>
    <w:p w14:paraId="6AC215F3" w14:textId="4B5EA8B6" w:rsidR="003504A7" w:rsidRDefault="003504A7" w:rsidP="00147E85">
      <w:pPr>
        <w:pStyle w:val="ListParagraph"/>
        <w:numPr>
          <w:ilvl w:val="0"/>
          <w:numId w:val="11"/>
        </w:numPr>
      </w:pPr>
      <w:r>
        <w:t xml:space="preserve">Battery Electric Vehicles represent </w:t>
      </w:r>
      <w:r w:rsidR="2B2DEA95">
        <w:t xml:space="preserve">the </w:t>
      </w:r>
      <w:r w:rsidR="004B5129">
        <w:t>majority with 78.27% of the total share whereas the Plug-In Hybrid Electric Vehicles account for 21.73</w:t>
      </w:r>
      <w:r w:rsidR="00643B5A">
        <w:t>%.</w:t>
      </w:r>
    </w:p>
    <w:p w14:paraId="18425C90" w14:textId="1619C5FF" w:rsidR="00643B5A" w:rsidRDefault="00E8260E" w:rsidP="00147E85">
      <w:pPr>
        <w:pStyle w:val="ListParagraph"/>
        <w:numPr>
          <w:ilvl w:val="0"/>
          <w:numId w:val="11"/>
        </w:numPr>
      </w:pPr>
      <w:r w:rsidRPr="00E8260E">
        <w:t xml:space="preserve">Only </w:t>
      </w:r>
      <w:r w:rsidRPr="00F409AE">
        <w:t>two electric vehicle types</w:t>
      </w:r>
      <w:r w:rsidRPr="00E8260E">
        <w:t xml:space="preserve"> (BEV and PHEV) are currently tracked, indicating that </w:t>
      </w:r>
      <w:r w:rsidRPr="00F409AE">
        <w:t>fuel cell or emerging EV types</w:t>
      </w:r>
      <w:r w:rsidRPr="00E8260E">
        <w:t xml:space="preserve"> are either underrepresented or absent.</w:t>
      </w:r>
    </w:p>
    <w:p w14:paraId="42100E49" w14:textId="75612D83" w:rsidR="00D90B08" w:rsidRDefault="00FA0BE1" w:rsidP="00147E85">
      <w:pPr>
        <w:pStyle w:val="ListParagraph"/>
        <w:numPr>
          <w:ilvl w:val="0"/>
          <w:numId w:val="11"/>
        </w:numPr>
      </w:pPr>
      <w:r w:rsidRPr="00FA0BE1">
        <w:t>Only 0.37% of vehicles are displayed as CAFV-eligible in the KPI card; however, the donut chart shows 37.29% as eligible</w:t>
      </w:r>
      <w:r>
        <w:t xml:space="preserve">. </w:t>
      </w:r>
    </w:p>
    <w:p w14:paraId="492BE703" w14:textId="4C96B568" w:rsidR="00FA0BE1" w:rsidRDefault="00DE39E4" w:rsidP="00147E85">
      <w:pPr>
        <w:pStyle w:val="ListParagraph"/>
        <w:numPr>
          <w:ilvl w:val="0"/>
          <w:numId w:val="11"/>
        </w:numPr>
      </w:pPr>
      <w:r w:rsidRPr="00DE39E4">
        <w:t xml:space="preserve">11.01% of vehicles are explicitly not eligible for CAFV designation due to low battery </w:t>
      </w:r>
      <w:r w:rsidR="2B2DEA95">
        <w:t>life</w:t>
      </w:r>
      <w:r w:rsidRPr="00DE39E4">
        <w:t>.</w:t>
      </w:r>
    </w:p>
    <w:p w14:paraId="37276282" w14:textId="0C4A85D3" w:rsidR="00DE39E4" w:rsidRDefault="005116AD" w:rsidP="00147E85">
      <w:pPr>
        <w:pStyle w:val="ListParagraph"/>
        <w:numPr>
          <w:ilvl w:val="0"/>
          <w:numId w:val="11"/>
        </w:numPr>
      </w:pPr>
      <w:r w:rsidRPr="005116AD">
        <w:t>EV Adoption is Highly Concentrated</w:t>
      </w:r>
      <w:r>
        <w:t xml:space="preserve"> with </w:t>
      </w:r>
      <w:r w:rsidR="00B36709" w:rsidRPr="00B36709">
        <w:t xml:space="preserve">Puget Sound Energy Inc | City of Tacoma (WA) </w:t>
      </w:r>
      <w:r w:rsidR="0021082D">
        <w:t>as</w:t>
      </w:r>
      <w:r w:rsidR="00B36709" w:rsidRPr="00B36709">
        <w:t xml:space="preserve"> the leading utility</w:t>
      </w:r>
      <w:r w:rsidR="0021082D">
        <w:t xml:space="preserve"> having </w:t>
      </w:r>
      <w:r w:rsidR="00D30EC7" w:rsidRPr="00D30EC7">
        <w:t>5.99K vehicles (37.1%) of total EVs.</w:t>
      </w:r>
    </w:p>
    <w:p w14:paraId="46CCF571" w14:textId="5607C51D" w:rsidR="0042755D" w:rsidRDefault="0042755D" w:rsidP="00147E85">
      <w:pPr>
        <w:pStyle w:val="ListParagraph"/>
        <w:numPr>
          <w:ilvl w:val="0"/>
          <w:numId w:val="11"/>
        </w:numPr>
      </w:pPr>
      <w:r w:rsidRPr="0042755D">
        <w:t xml:space="preserve">The top three utilities (including Puget Sound Energy Inc and City of Seattle – WA) represent over </w:t>
      </w:r>
      <w:r w:rsidRPr="00731836">
        <w:t>75% of total EV distribution.</w:t>
      </w:r>
      <w:r w:rsidR="00731836">
        <w:t xml:space="preserve"> </w:t>
      </w:r>
      <w:r w:rsidR="00731836" w:rsidRPr="00731836">
        <w:t>The remaining 74 utilities are collectively responsible for less than 25% of all EVs</w:t>
      </w:r>
      <w:r w:rsidR="00340896">
        <w:t xml:space="preserve"> indicating regional inequality.</w:t>
      </w:r>
    </w:p>
    <w:p w14:paraId="726B318D" w14:textId="44987861" w:rsidR="00204D04" w:rsidRDefault="00C23E08" w:rsidP="00147E85">
      <w:pPr>
        <w:pStyle w:val="ListParagraph"/>
        <w:numPr>
          <w:ilvl w:val="0"/>
          <w:numId w:val="11"/>
        </w:numPr>
      </w:pPr>
      <w:r w:rsidRPr="00C23E08">
        <w:t>Some utilities (e.g., PACIFICORP, Modern Electric Water Company) have fewer than 5K EVs</w:t>
      </w:r>
      <w:r>
        <w:t>.</w:t>
      </w:r>
    </w:p>
    <w:p w14:paraId="7AC36BC2" w14:textId="77777777" w:rsidR="00C23E08" w:rsidRDefault="00C23E08" w:rsidP="2B2DEA95">
      <w:pPr>
        <w:pStyle w:val="ListParagraph"/>
      </w:pPr>
    </w:p>
    <w:p w14:paraId="629B0FE6" w14:textId="2B49C03A" w:rsidR="00670262" w:rsidRDefault="000A6AB3">
      <w:pPr>
        <w:pStyle w:val="Heading1"/>
      </w:pPr>
      <w:r>
        <w:t xml:space="preserve">Recommendations </w:t>
      </w:r>
    </w:p>
    <w:p w14:paraId="7AC1D712" w14:textId="4CEB582D" w:rsidR="61A72F8F" w:rsidRDefault="000A6AB3" w:rsidP="61A72F8F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The following suggestions can be kept in mind for </w:t>
      </w:r>
      <w:r w:rsidR="00645E8A">
        <w:rPr>
          <w:rFonts w:ascii="Cambria" w:eastAsia="Cambria" w:hAnsi="Cambria" w:cs="Cambria"/>
        </w:rPr>
        <w:t xml:space="preserve">drafting efficient changes in EV businesses – </w:t>
      </w:r>
    </w:p>
    <w:p w14:paraId="7B3B021C" w14:textId="7AFD8102" w:rsidR="00645E8A" w:rsidRDefault="009A5703" w:rsidP="00645E8A">
      <w:pPr>
        <w:pStyle w:val="ListParagraph"/>
        <w:numPr>
          <w:ilvl w:val="0"/>
          <w:numId w:val="12"/>
        </w:numPr>
      </w:pPr>
      <w:r w:rsidRPr="009A5703">
        <w:t>Policymakers should encourage OEM diversity by supporting non-Tesla manufacturers through incentives and dealership programs.</w:t>
      </w:r>
      <w:r>
        <w:t xml:space="preserve"> </w:t>
      </w:r>
    </w:p>
    <w:p w14:paraId="608601ED" w14:textId="6CA91B0B" w:rsidR="009A5703" w:rsidRDefault="00426D48" w:rsidP="00645E8A">
      <w:pPr>
        <w:pStyle w:val="ListParagraph"/>
        <w:numPr>
          <w:ilvl w:val="0"/>
          <w:numId w:val="12"/>
        </w:numPr>
      </w:pPr>
      <w:r w:rsidRPr="00426D48">
        <w:t>Given BEVs dominate, investments in fast-charging infrastructure should be prioritized to support long-range electric mobility.</w:t>
      </w:r>
    </w:p>
    <w:p w14:paraId="59D8A5D1" w14:textId="38D63D2E" w:rsidR="00426D48" w:rsidRDefault="008E0475" w:rsidP="00645E8A">
      <w:pPr>
        <w:pStyle w:val="ListParagraph"/>
        <w:numPr>
          <w:ilvl w:val="0"/>
          <w:numId w:val="12"/>
        </w:numPr>
      </w:pPr>
      <w:r w:rsidRPr="008E0475">
        <w:t>In semi-urban or rural zones</w:t>
      </w:r>
      <w:r w:rsidRPr="008E0475">
        <w:rPr>
          <w:b/>
          <w:bCs/>
        </w:rPr>
        <w:t xml:space="preserve">, </w:t>
      </w:r>
      <w:r w:rsidRPr="008E0475">
        <w:t>support PHEV</w:t>
      </w:r>
      <w:r w:rsidRPr="008E0475">
        <w:rPr>
          <w:b/>
          <w:bCs/>
        </w:rPr>
        <w:t>s</w:t>
      </w:r>
      <w:r w:rsidRPr="008E0475">
        <w:t xml:space="preserve"> as a transitional option until charging infrastructure becomes widespread.</w:t>
      </w:r>
    </w:p>
    <w:p w14:paraId="3BBBA5BB" w14:textId="6718127E" w:rsidR="008E0475" w:rsidRDefault="00AF12DC" w:rsidP="00645E8A">
      <w:pPr>
        <w:pStyle w:val="ListParagraph"/>
        <w:numPr>
          <w:ilvl w:val="0"/>
          <w:numId w:val="12"/>
        </w:numPr>
      </w:pPr>
      <w:r w:rsidRPr="00AF12DC">
        <w:t>Prioritize battery range research for the large “unknown” segment to enable more accurate eligibility classification.</w:t>
      </w:r>
      <w:r>
        <w:t xml:space="preserve"> </w:t>
      </w:r>
    </w:p>
    <w:p w14:paraId="56126ADB" w14:textId="3E90D107" w:rsidR="00AF12DC" w:rsidRDefault="00AF12DC" w:rsidP="00645E8A">
      <w:pPr>
        <w:pStyle w:val="ListParagraph"/>
        <w:numPr>
          <w:ilvl w:val="0"/>
          <w:numId w:val="12"/>
        </w:numPr>
      </w:pPr>
      <w:r w:rsidRPr="00AF12DC">
        <w:lastRenderedPageBreak/>
        <w:t>Collaborate with OEMs and regulators to mandate the reporting of complete battery specs.</w:t>
      </w:r>
      <w:r>
        <w:t xml:space="preserve"> </w:t>
      </w:r>
    </w:p>
    <w:p w14:paraId="25F36F2A" w14:textId="33B6EC21" w:rsidR="00142C5C" w:rsidRDefault="00C31A6B" w:rsidP="00645E8A">
      <w:pPr>
        <w:pStyle w:val="ListParagraph"/>
        <w:numPr>
          <w:ilvl w:val="0"/>
          <w:numId w:val="12"/>
        </w:numPr>
      </w:pPr>
      <w:r w:rsidRPr="00C31A6B">
        <w:t>Collaborate with top utilities (e.g., Puget Sound, City of Seattle) to scale up infrastructure, forecast demand, and modernize the grid.</w:t>
      </w:r>
    </w:p>
    <w:p w14:paraId="711B9804" w14:textId="65409A8F" w:rsidR="2B2DEA95" w:rsidRDefault="00C31A6B" w:rsidP="003E0252">
      <w:pPr>
        <w:pStyle w:val="ListParagraph"/>
        <w:numPr>
          <w:ilvl w:val="0"/>
          <w:numId w:val="12"/>
        </w:numPr>
      </w:pPr>
      <w:r w:rsidRPr="00C31A6B">
        <w:t>Investigate low-adoption regions to uncover systemic barriers (cost, awareness, access to chargers).</w:t>
      </w:r>
    </w:p>
    <w:p w14:paraId="2E60DE35" w14:textId="77777777" w:rsidR="00C22508" w:rsidRDefault="00C22508" w:rsidP="00C22508">
      <w:pPr>
        <w:pStyle w:val="Heading1"/>
      </w:pPr>
      <w:r>
        <w:t>Conclusion</w:t>
      </w:r>
    </w:p>
    <w:p w14:paraId="55396554" w14:textId="77777777" w:rsidR="00C22508" w:rsidRDefault="00C22508" w:rsidP="00C22508">
      <w:r>
        <w:t>The EV landscape is rapidly evolving, with Tesla as a clear leader and BEVs significantly outpacing PHEVs. CAFV eligibility remains an area needing attention, as a large portion lacks range data. Utilities like Puget Sound Energy play a key role in supporting EV infrastructure. Geographically, EVs are clustered in urban zones, particularly in Washington. The visual insights from this dashboard offer a clear path for optimizing EV infrastructure planning, public policy targeting, and clean energy investments.</w:t>
      </w:r>
    </w:p>
    <w:p w14:paraId="15F12BB3" w14:textId="77777777" w:rsidR="00C22508" w:rsidRDefault="00C22508" w:rsidP="00C22508">
      <w:pPr>
        <w:pStyle w:val="Heading1"/>
      </w:pPr>
      <w:r>
        <w:t>Acknowledgements</w:t>
      </w:r>
    </w:p>
    <w:p w14:paraId="60261FE2" w14:textId="77777777" w:rsidR="00C22508" w:rsidRDefault="00C22508" w:rsidP="00C22508">
      <w:r w:rsidRPr="61A72F8F">
        <w:rPr>
          <w:rFonts w:ascii="Cambria" w:eastAsia="Cambria" w:hAnsi="Cambria" w:cs="Cambria"/>
        </w:rPr>
        <w:t xml:space="preserve">Special thanks to Nakul Pant sir for their support and </w:t>
      </w:r>
      <w:proofErr w:type="spellStart"/>
      <w:r w:rsidRPr="61A72F8F">
        <w:rPr>
          <w:rFonts w:ascii="Cambria" w:eastAsia="Cambria" w:hAnsi="Cambria" w:cs="Cambria"/>
        </w:rPr>
        <w:t>Imarticus</w:t>
      </w:r>
      <w:proofErr w:type="spellEnd"/>
      <w:r w:rsidRPr="61A72F8F">
        <w:rPr>
          <w:rFonts w:ascii="Cambria" w:eastAsia="Cambria" w:hAnsi="Cambria" w:cs="Cambria"/>
        </w:rPr>
        <w:t xml:space="preserve"> Pvt Ltd. for providing this opportunity to work on a real-world data project using Power BI.</w:t>
      </w:r>
    </w:p>
    <w:p w14:paraId="3A214ED5" w14:textId="7355D01C" w:rsidR="00670262" w:rsidRDefault="00670262"/>
    <w:sectPr w:rsidR="0067026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F6F8D7"/>
    <w:multiLevelType w:val="hybridMultilevel"/>
    <w:tmpl w:val="FFFFFFFF"/>
    <w:lvl w:ilvl="0" w:tplc="E3E2F9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8C2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902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60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2E74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54E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FA82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D018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F6C1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FF914D"/>
    <w:multiLevelType w:val="hybridMultilevel"/>
    <w:tmpl w:val="FFFFFFFF"/>
    <w:lvl w:ilvl="0" w:tplc="6FD47C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74A6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8E67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547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8A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663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A0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626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108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027EA2"/>
    <w:multiLevelType w:val="hybridMultilevel"/>
    <w:tmpl w:val="D1F67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971E64"/>
    <w:multiLevelType w:val="hybridMultilevel"/>
    <w:tmpl w:val="FFFFFFFF"/>
    <w:lvl w:ilvl="0" w:tplc="5F4C5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820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0A3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CA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840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A03A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49E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A3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743D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9F8D33"/>
    <w:multiLevelType w:val="hybridMultilevel"/>
    <w:tmpl w:val="FFFFFFFF"/>
    <w:lvl w:ilvl="0" w:tplc="1690E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9874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1A5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947E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C0F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4E6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4661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0AD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963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C6B642"/>
    <w:multiLevelType w:val="hybridMultilevel"/>
    <w:tmpl w:val="FFFFFFFF"/>
    <w:lvl w:ilvl="0" w:tplc="8ED875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FA9F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ED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FEB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CAD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D44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D047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A28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CABB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541936"/>
    <w:multiLevelType w:val="hybridMultilevel"/>
    <w:tmpl w:val="FFFFFFFF"/>
    <w:lvl w:ilvl="0" w:tplc="0E52B1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3E91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D8B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404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BED5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1C41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FC4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5C5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00B2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D208AD"/>
    <w:multiLevelType w:val="hybridMultilevel"/>
    <w:tmpl w:val="605E8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7E5EC5"/>
    <w:multiLevelType w:val="hybridMultilevel"/>
    <w:tmpl w:val="FFFFFFFF"/>
    <w:lvl w:ilvl="0" w:tplc="807CA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D638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40F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BA61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EA3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986B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004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E03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BAB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BC6D90"/>
    <w:multiLevelType w:val="hybridMultilevel"/>
    <w:tmpl w:val="F6305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B8210E"/>
    <w:multiLevelType w:val="hybridMultilevel"/>
    <w:tmpl w:val="FFFFFFFF"/>
    <w:lvl w:ilvl="0" w:tplc="7D84D5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867C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1864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725B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C88C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20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0077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3AF3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CA97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6860019">
    <w:abstractNumId w:val="8"/>
  </w:num>
  <w:num w:numId="2" w16cid:durableId="1680235860">
    <w:abstractNumId w:val="6"/>
  </w:num>
  <w:num w:numId="3" w16cid:durableId="628516219">
    <w:abstractNumId w:val="5"/>
  </w:num>
  <w:num w:numId="4" w16cid:durableId="1894388798">
    <w:abstractNumId w:val="4"/>
  </w:num>
  <w:num w:numId="5" w16cid:durableId="1582763210">
    <w:abstractNumId w:val="7"/>
  </w:num>
  <w:num w:numId="6" w16cid:durableId="485634216">
    <w:abstractNumId w:val="3"/>
  </w:num>
  <w:num w:numId="7" w16cid:durableId="1038748485">
    <w:abstractNumId w:val="2"/>
  </w:num>
  <w:num w:numId="8" w16cid:durableId="965311726">
    <w:abstractNumId w:val="1"/>
  </w:num>
  <w:num w:numId="9" w16cid:durableId="246381243">
    <w:abstractNumId w:val="0"/>
  </w:num>
  <w:num w:numId="10" w16cid:durableId="1890259252">
    <w:abstractNumId w:val="16"/>
  </w:num>
  <w:num w:numId="11" w16cid:durableId="2055421277">
    <w:abstractNumId w:val="18"/>
  </w:num>
  <w:num w:numId="12" w16cid:durableId="1546940163">
    <w:abstractNumId w:val="11"/>
  </w:num>
  <w:num w:numId="13" w16cid:durableId="1101997216">
    <w:abstractNumId w:val="9"/>
  </w:num>
  <w:num w:numId="14" w16cid:durableId="1744571592">
    <w:abstractNumId w:val="13"/>
  </w:num>
  <w:num w:numId="15" w16cid:durableId="1915165622">
    <w:abstractNumId w:val="10"/>
  </w:num>
  <w:num w:numId="16" w16cid:durableId="2077705385">
    <w:abstractNumId w:val="19"/>
  </w:num>
  <w:num w:numId="17" w16cid:durableId="1421176037">
    <w:abstractNumId w:val="15"/>
  </w:num>
  <w:num w:numId="18" w16cid:durableId="668796740">
    <w:abstractNumId w:val="17"/>
  </w:num>
  <w:num w:numId="19" w16cid:durableId="1692878282">
    <w:abstractNumId w:val="14"/>
  </w:num>
  <w:num w:numId="20" w16cid:durableId="5034014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6AB3"/>
    <w:rsid w:val="0010216E"/>
    <w:rsid w:val="00142C5C"/>
    <w:rsid w:val="00147E85"/>
    <w:rsid w:val="0015074B"/>
    <w:rsid w:val="001A70B1"/>
    <w:rsid w:val="00204D04"/>
    <w:rsid w:val="0021082D"/>
    <w:rsid w:val="0029639D"/>
    <w:rsid w:val="002B02DC"/>
    <w:rsid w:val="00326F90"/>
    <w:rsid w:val="00340896"/>
    <w:rsid w:val="003504A7"/>
    <w:rsid w:val="003E0252"/>
    <w:rsid w:val="00426D48"/>
    <w:rsid w:val="0042755D"/>
    <w:rsid w:val="00457716"/>
    <w:rsid w:val="004B0C18"/>
    <w:rsid w:val="004B5129"/>
    <w:rsid w:val="004C701A"/>
    <w:rsid w:val="005116AD"/>
    <w:rsid w:val="00552795"/>
    <w:rsid w:val="005B4136"/>
    <w:rsid w:val="00643B5A"/>
    <w:rsid w:val="00645E8A"/>
    <w:rsid w:val="00670262"/>
    <w:rsid w:val="006B0683"/>
    <w:rsid w:val="00731836"/>
    <w:rsid w:val="007E0C5D"/>
    <w:rsid w:val="0088772F"/>
    <w:rsid w:val="008E0475"/>
    <w:rsid w:val="009A5703"/>
    <w:rsid w:val="00AA1D8D"/>
    <w:rsid w:val="00AF12DC"/>
    <w:rsid w:val="00B17599"/>
    <w:rsid w:val="00B309B9"/>
    <w:rsid w:val="00B36709"/>
    <w:rsid w:val="00B4114F"/>
    <w:rsid w:val="00B47730"/>
    <w:rsid w:val="00B96CF3"/>
    <w:rsid w:val="00C22508"/>
    <w:rsid w:val="00C23E08"/>
    <w:rsid w:val="00C31A6B"/>
    <w:rsid w:val="00C85065"/>
    <w:rsid w:val="00CB0664"/>
    <w:rsid w:val="00D30D81"/>
    <w:rsid w:val="00D30EC7"/>
    <w:rsid w:val="00D90B08"/>
    <w:rsid w:val="00DB6817"/>
    <w:rsid w:val="00DE39E4"/>
    <w:rsid w:val="00E8260E"/>
    <w:rsid w:val="00ED4527"/>
    <w:rsid w:val="00F409AE"/>
    <w:rsid w:val="00F62DEF"/>
    <w:rsid w:val="00FA0BE1"/>
    <w:rsid w:val="00FC693F"/>
    <w:rsid w:val="0278B44E"/>
    <w:rsid w:val="2B2DEA95"/>
    <w:rsid w:val="3A90F63A"/>
    <w:rsid w:val="5971E2CA"/>
    <w:rsid w:val="61A72F8F"/>
    <w:rsid w:val="7661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19CF11"/>
  <w14:defaultImageDpi w14:val="300"/>
  <w15:docId w15:val="{00576990-F9D2-4202-9763-7015F2459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1463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9789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Tanvi Kad</cp:lastModifiedBy>
  <cp:revision>2</cp:revision>
  <dcterms:created xsi:type="dcterms:W3CDTF">2025-07-19T03:16:00Z</dcterms:created>
  <dcterms:modified xsi:type="dcterms:W3CDTF">2025-07-19T03:16:00Z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676f4959-bd2c-4530-8618-91338e82de08</vt:lpwstr>
  </property>
</Properties>
</file>