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49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28"/>
          <w:szCs w:val="28"/>
        </w:rPr>
      </w:pPr>
      <w:r>
        <w:rPr>
          <w:rFonts w:hint="eastAsia" w:ascii="方正小标宋简体" w:hAnsi="方正小标宋简体" w:eastAsia="方正小标宋简体" w:cs="方正小标宋简体"/>
          <w:sz w:val="28"/>
          <w:szCs w:val="28"/>
        </w:rPr>
        <w:t>成套装备智能化集成技术教育部重点实验室</w:t>
      </w:r>
    </w:p>
    <w:p w14:paraId="17817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28"/>
          <w:szCs w:val="28"/>
        </w:rPr>
      </w:pPr>
      <w:r>
        <w:rPr>
          <w:rFonts w:hint="eastAsia" w:ascii="方正小标宋简体" w:hAnsi="方正小标宋简体" w:eastAsia="方正小标宋简体" w:cs="方正小标宋简体"/>
          <w:sz w:val="28"/>
          <w:szCs w:val="28"/>
          <w:lang w:eastAsia="zh-CN"/>
        </w:rPr>
        <w:t>开放课题</w:t>
      </w:r>
      <w:r>
        <w:rPr>
          <w:rFonts w:hint="eastAsia" w:ascii="方正小标宋简体" w:hAnsi="方正小标宋简体" w:eastAsia="方正小标宋简体" w:cs="方正小标宋简体"/>
          <w:sz w:val="28"/>
          <w:szCs w:val="28"/>
        </w:rPr>
        <w:t>项目管理办法（试行）</w:t>
      </w:r>
    </w:p>
    <w:p w14:paraId="085A1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第一章 总则</w:t>
      </w:r>
    </w:p>
    <w:p w14:paraId="5C1BB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第一条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为贯彻落实“开放、流动、联合、竞争”的运行机制，推动成套装备智能化集成技术领域的基础研究与应用基础研究，促进多学科交叉与产学研深度融合，提升实验室的学术影响力和创新能力，特设立“成套装备智能化集成技术教育部重点实验室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开放课题</w:t>
      </w:r>
      <w:r>
        <w:rPr>
          <w:rFonts w:hint="eastAsia" w:ascii="仿宋_GB2312" w:hAnsi="仿宋_GB2312" w:eastAsia="仿宋_GB2312" w:cs="仿宋_GB2312"/>
          <w:sz w:val="24"/>
          <w:szCs w:val="24"/>
        </w:rPr>
        <w:t>”（以下简称“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开放课题</w:t>
      </w:r>
      <w:r>
        <w:rPr>
          <w:rFonts w:hint="eastAsia" w:ascii="仿宋_GB2312" w:hAnsi="仿宋_GB2312" w:eastAsia="仿宋_GB2312" w:cs="仿宋_GB2312"/>
          <w:sz w:val="24"/>
          <w:szCs w:val="24"/>
        </w:rPr>
        <w:t>”），并制定本办法。</w:t>
      </w:r>
    </w:p>
    <w:p w14:paraId="342CC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二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条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开放课题</w:t>
      </w:r>
      <w:r>
        <w:rPr>
          <w:rFonts w:hint="eastAsia" w:ascii="仿宋_GB2312" w:hAnsi="仿宋_GB2312" w:eastAsia="仿宋_GB2312" w:cs="仿宋_GB2312"/>
          <w:sz w:val="24"/>
          <w:szCs w:val="24"/>
        </w:rPr>
        <w:t>的申请、评审、管理和使用，遵循“公平公正、择优资助、注重创新、开放共享”的原则。</w:t>
      </w:r>
    </w:p>
    <w:p w14:paraId="20ECA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第二章 资助对象与条件</w:t>
      </w:r>
    </w:p>
    <w:p w14:paraId="2C55F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三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条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申请人基本条件</w:t>
      </w:r>
    </w:p>
    <w:p w14:paraId="161FD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面向国内外高校、科研院所及企业从事成套装备设计、机器人技术、智能感知、故障诊断、可靠性工程等相关领域的科研人员。原则上要求申请人具有博士学位或副高级及以上专业技术职称。不具有上述条件的申请人，须由两名具有正高级职称的同行专家书面推荐。</w:t>
      </w:r>
    </w:p>
    <w:p w14:paraId="0AC2C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申请人作为项目负责人，凡有本实验室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开放课题</w:t>
      </w:r>
      <w:r>
        <w:rPr>
          <w:rFonts w:hint="eastAsia" w:ascii="仿宋_GB2312" w:hAnsi="仿宋_GB2312" w:eastAsia="仿宋_GB2312" w:cs="仿宋_GB2312"/>
          <w:sz w:val="24"/>
          <w:szCs w:val="24"/>
        </w:rPr>
        <w:t>在研项目未结题者不得申报。每位申请人同年只能主持1项、参与不超过2项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开放课题</w:t>
      </w:r>
      <w:r>
        <w:rPr>
          <w:rFonts w:hint="eastAsia" w:ascii="仿宋_GB2312" w:hAnsi="仿宋_GB2312" w:eastAsia="仿宋_GB2312" w:cs="仿宋_GB2312"/>
          <w:sz w:val="24"/>
          <w:szCs w:val="24"/>
        </w:rPr>
        <w:t>项目。</w:t>
      </w:r>
    </w:p>
    <w:p w14:paraId="6659A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四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 xml:space="preserve">条 </w:t>
      </w:r>
      <w:r>
        <w:rPr>
          <w:rFonts w:hint="eastAsia" w:ascii="仿宋_GB2312" w:hAnsi="仿宋_GB2312" w:eastAsia="仿宋_GB2312" w:cs="仿宋_GB2312"/>
          <w:sz w:val="24"/>
          <w:szCs w:val="24"/>
        </w:rPr>
        <w:t>优先资助对象</w:t>
      </w:r>
    </w:p>
    <w:p w14:paraId="6A209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国内外知名高校、科研院所（含“双一流”高校、中科院系统）的申请者；</w:t>
      </w:r>
    </w:p>
    <w:p w14:paraId="0C22C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与实验室固定研究人员已有实质性合作基础的申请者；</w:t>
      </w:r>
    </w:p>
    <w:p w14:paraId="34FA1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联合行业龙头企业共同申报的项目；</w:t>
      </w:r>
    </w:p>
    <w:p w14:paraId="4584F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围绕实验室三大研究方向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拟解决关键科学问题或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攻克</w:t>
      </w:r>
      <w:r>
        <w:rPr>
          <w:rFonts w:hint="eastAsia" w:ascii="仿宋_GB2312" w:hAnsi="仿宋_GB2312" w:eastAsia="仿宋_GB2312" w:cs="仿宋_GB2312"/>
          <w:sz w:val="24"/>
          <w:szCs w:val="24"/>
        </w:rPr>
        <w:t>“卡脖子”技术的项目。</w:t>
      </w:r>
    </w:p>
    <w:p w14:paraId="4EBE0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第三章 资助方向与项目类型</w:t>
      </w:r>
    </w:p>
    <w:p w14:paraId="0EB4D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条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资助方向</w:t>
      </w:r>
    </w:p>
    <w:p w14:paraId="02B08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开放课题</w:t>
      </w:r>
      <w:r>
        <w:rPr>
          <w:rFonts w:hint="eastAsia" w:ascii="仿宋_GB2312" w:hAnsi="仿宋_GB2312" w:eastAsia="仿宋_GB2312" w:cs="仿宋_GB2312"/>
          <w:sz w:val="24"/>
          <w:szCs w:val="24"/>
        </w:rPr>
        <w:t>须紧密围绕实验室三大研究方向，具体如下：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9"/>
        <w:gridCol w:w="5703"/>
      </w:tblGrid>
      <w:tr w14:paraId="267ED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vAlign w:val="center"/>
          </w:tcPr>
          <w:p w14:paraId="75BBD2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2"/>
                <w:szCs w:val="22"/>
                <w:lang w:val="en-US" w:eastAsia="zh-CN"/>
              </w:rPr>
              <w:t>研究方向</w:t>
            </w:r>
          </w:p>
        </w:tc>
        <w:tc>
          <w:tcPr>
            <w:tcW w:w="0" w:type="auto"/>
            <w:vAlign w:val="center"/>
          </w:tcPr>
          <w:p w14:paraId="1BC7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2"/>
                <w:szCs w:val="22"/>
                <w:lang w:val="en-US" w:eastAsia="zh-CN"/>
              </w:rPr>
              <w:t>重点资助内容</w:t>
            </w:r>
          </w:p>
        </w:tc>
      </w:tr>
      <w:tr w14:paraId="328E7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F5761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sz w:val="22"/>
                <w:szCs w:val="22"/>
              </w:rPr>
            </w:pPr>
            <w:r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  <w:t>方向一：成套装备正向设计及体系建设</w:t>
            </w:r>
          </w:p>
        </w:tc>
        <w:tc>
          <w:tcPr>
            <w:tcW w:w="0" w:type="auto"/>
            <w:vAlign w:val="center"/>
          </w:tcPr>
          <w:p w14:paraId="1BB2C2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sz w:val="22"/>
                <w:szCs w:val="22"/>
              </w:rPr>
            </w:pPr>
            <w:r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  <w:t>多源载荷精确表征、多学科协同优化、极端工况可靠性设计、数字孪生正向设计体系</w:t>
            </w:r>
          </w:p>
        </w:tc>
      </w:tr>
      <w:tr w14:paraId="68AF3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3723D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sz w:val="22"/>
                <w:szCs w:val="22"/>
              </w:rPr>
            </w:pPr>
            <w:r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  <w:t>方向二：特种机器人集成制造技术</w:t>
            </w:r>
          </w:p>
        </w:tc>
        <w:tc>
          <w:tcPr>
            <w:tcW w:w="0" w:type="auto"/>
            <w:vAlign w:val="center"/>
          </w:tcPr>
          <w:p w14:paraId="569A3E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sz w:val="22"/>
                <w:szCs w:val="22"/>
              </w:rPr>
            </w:pPr>
            <w:r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  <w:t>极端环境防护、非结构化环境感知、刚柔耦合动力学、人机协同与数字孪生</w:t>
            </w:r>
          </w:p>
        </w:tc>
      </w:tr>
      <w:tr w14:paraId="22CF5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8EF05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sz w:val="22"/>
                <w:szCs w:val="22"/>
              </w:rPr>
            </w:pPr>
            <w:r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  <w:t>方向三：成套装备智能感知与健康管理</w:t>
            </w:r>
          </w:p>
        </w:tc>
        <w:tc>
          <w:tcPr>
            <w:tcW w:w="0" w:type="auto"/>
            <w:vAlign w:val="center"/>
          </w:tcPr>
          <w:p w14:paraId="18770A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sz w:val="22"/>
                <w:szCs w:val="22"/>
              </w:rPr>
            </w:pPr>
            <w:r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  <w:t>跨尺度状态感知、多源异构数据融合、故障诊断与预测性维护、主动运维决策优化</w:t>
            </w:r>
          </w:p>
        </w:tc>
      </w:tr>
    </w:tbl>
    <w:p w14:paraId="75AE0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六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条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项目类型与资助额度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F063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00D8F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2"/>
                <w:szCs w:val="22"/>
                <w:lang w:val="en-US" w:eastAsia="zh-CN"/>
              </w:rPr>
              <w:t>项目类型</w:t>
            </w:r>
          </w:p>
        </w:tc>
        <w:tc>
          <w:tcPr>
            <w:tcW w:w="2841" w:type="dxa"/>
            <w:vAlign w:val="center"/>
          </w:tcPr>
          <w:p w14:paraId="02A127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2"/>
                <w:szCs w:val="22"/>
                <w:lang w:val="en-US" w:eastAsia="zh-CN"/>
              </w:rPr>
              <w:t>执行周期</w:t>
            </w:r>
          </w:p>
        </w:tc>
        <w:tc>
          <w:tcPr>
            <w:tcW w:w="2841" w:type="dxa"/>
            <w:vAlign w:val="center"/>
          </w:tcPr>
          <w:p w14:paraId="752F18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2"/>
                <w:szCs w:val="22"/>
                <w:lang w:val="en-US" w:eastAsia="zh-CN"/>
              </w:rPr>
              <w:t>说明</w:t>
            </w:r>
          </w:p>
        </w:tc>
      </w:tr>
      <w:tr w14:paraId="01C9D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3E35C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  <w:t>重点项目</w:t>
            </w:r>
          </w:p>
        </w:tc>
        <w:tc>
          <w:tcPr>
            <w:tcW w:w="2841" w:type="dxa"/>
            <w:vAlign w:val="center"/>
          </w:tcPr>
          <w:p w14:paraId="63A0BD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  <w:t>2年</w:t>
            </w:r>
          </w:p>
        </w:tc>
        <w:tc>
          <w:tcPr>
            <w:tcW w:w="2841" w:type="dxa"/>
            <w:vAlign w:val="center"/>
          </w:tcPr>
          <w:p w14:paraId="23378A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  <w:t>面向重大科学问题或关键技术突破</w:t>
            </w:r>
          </w:p>
        </w:tc>
      </w:tr>
      <w:tr w14:paraId="0639B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4E4C70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  <w:t>一般项目</w:t>
            </w:r>
          </w:p>
        </w:tc>
        <w:tc>
          <w:tcPr>
            <w:tcW w:w="2841" w:type="dxa"/>
            <w:vAlign w:val="center"/>
          </w:tcPr>
          <w:p w14:paraId="36C4E0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  <w:t>2年</w:t>
            </w:r>
          </w:p>
        </w:tc>
        <w:tc>
          <w:tcPr>
            <w:tcW w:w="2841" w:type="dxa"/>
            <w:vAlign w:val="center"/>
          </w:tcPr>
          <w:p w14:paraId="59D9D8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  <w:t>面向创新探索、新方法/新原理研究</w:t>
            </w:r>
          </w:p>
        </w:tc>
      </w:tr>
    </w:tbl>
    <w:p w14:paraId="7FFC6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第四章 申请与评审</w:t>
      </w:r>
    </w:p>
    <w:p w14:paraId="45541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七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 xml:space="preserve">条 </w:t>
      </w:r>
      <w:r>
        <w:rPr>
          <w:rFonts w:hint="eastAsia" w:ascii="仿宋_GB2312" w:hAnsi="仿宋_GB2312" w:eastAsia="仿宋_GB2312" w:cs="仿宋_GB2312"/>
          <w:sz w:val="24"/>
          <w:szCs w:val="24"/>
        </w:rPr>
        <w:t>申请程序</w:t>
      </w:r>
    </w:p>
    <w:p w14:paraId="3EE18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实验室每年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定期</w:t>
      </w:r>
      <w:r>
        <w:rPr>
          <w:rFonts w:hint="eastAsia" w:ascii="仿宋_GB2312" w:hAnsi="仿宋_GB2312" w:eastAsia="仿宋_GB2312" w:cs="仿宋_GB2312"/>
          <w:sz w:val="24"/>
          <w:szCs w:val="24"/>
        </w:rPr>
        <w:t>发布《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开放课题</w:t>
      </w:r>
      <w:r>
        <w:rPr>
          <w:rFonts w:hint="eastAsia" w:ascii="仿宋_GB2312" w:hAnsi="仿宋_GB2312" w:eastAsia="仿宋_GB2312" w:cs="仿宋_GB2312"/>
          <w:sz w:val="24"/>
          <w:szCs w:val="24"/>
        </w:rPr>
        <w:t>申请指南》，明确当年优先资助方向和受理截止日期。</w:t>
      </w:r>
    </w:p>
    <w:p w14:paraId="5A8F5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申请人须填写《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开放课题</w:t>
      </w:r>
      <w:r>
        <w:rPr>
          <w:rFonts w:hint="eastAsia" w:ascii="仿宋_GB2312" w:hAnsi="仿宋_GB2312" w:eastAsia="仿宋_GB2312" w:cs="仿宋_GB2312"/>
          <w:sz w:val="24"/>
          <w:szCs w:val="24"/>
        </w:rPr>
        <w:t>项目申请书》（模板由实验室统一制定），经所在单位盖章后，将电子版（PDF）发送至实验室指定邮箱，同时寄送纸质版（一式三份）。</w:t>
      </w:r>
    </w:p>
    <w:p w14:paraId="73CF7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逾期或材料不齐者不予受理。</w:t>
      </w:r>
    </w:p>
    <w:p w14:paraId="672EE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八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条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评审程序</w:t>
      </w:r>
    </w:p>
    <w:p w14:paraId="79BA4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形式审查：实验室办公室对申请材料的完整性、合规性进行初审。</w:t>
      </w:r>
    </w:p>
    <w:p w14:paraId="61C82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同行专家函评：每项申请送交相关领域专家进行匿名评审，给出评分及推荐意见。</w:t>
      </w:r>
    </w:p>
    <w:p w14:paraId="1E3AF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学术委员会终审：实验室学术委员会每年召开一次会议，根据函评结果和当年经费额度，以无记名投票方式确定拟资助项目名单。</w:t>
      </w:r>
    </w:p>
    <w:p w14:paraId="0ECFD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公示与立项：拟资助名单在实验室网站公示5个工作日，无异议后正式立项，并向申请人发出立项通知。</w:t>
      </w:r>
    </w:p>
    <w:p w14:paraId="4A902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九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 xml:space="preserve">条 </w:t>
      </w:r>
      <w:r>
        <w:rPr>
          <w:rFonts w:hint="eastAsia" w:ascii="仿宋_GB2312" w:hAnsi="仿宋_GB2312" w:eastAsia="仿宋_GB2312" w:cs="仿宋_GB2312"/>
          <w:sz w:val="24"/>
          <w:szCs w:val="24"/>
        </w:rPr>
        <w:t>回避原则</w:t>
      </w:r>
    </w:p>
    <w:p w14:paraId="7D22E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本实验室固定人员不得作为项目负责人申请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开放课题</w:t>
      </w:r>
      <w:r>
        <w:rPr>
          <w:rFonts w:hint="eastAsia" w:ascii="仿宋_GB2312" w:hAnsi="仿宋_GB2312" w:eastAsia="仿宋_GB2312" w:cs="仿宋_GB2312"/>
          <w:sz w:val="24"/>
          <w:szCs w:val="24"/>
        </w:rPr>
        <w:t>，但可作为项目组成员或实验室联系人参与。</w:t>
      </w:r>
    </w:p>
    <w:p w14:paraId="6321C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第五章 经费管理</w:t>
      </w:r>
    </w:p>
    <w:p w14:paraId="36C15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第十条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经费拨付</w:t>
      </w:r>
    </w:p>
    <w:p w14:paraId="191A8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开放课题</w:t>
      </w:r>
      <w:r>
        <w:rPr>
          <w:rFonts w:hint="eastAsia" w:ascii="仿宋_GB2312" w:hAnsi="仿宋_GB2312" w:eastAsia="仿宋_GB2312" w:cs="仿宋_GB2312"/>
          <w:sz w:val="24"/>
          <w:szCs w:val="24"/>
        </w:rPr>
        <w:t>经费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一次性</w:t>
      </w:r>
      <w:r>
        <w:rPr>
          <w:rFonts w:hint="eastAsia" w:ascii="仿宋_GB2312" w:hAnsi="仿宋_GB2312" w:eastAsia="仿宋_GB2312" w:cs="仿宋_GB2312"/>
          <w:sz w:val="24"/>
          <w:szCs w:val="24"/>
        </w:rPr>
        <w:t>拨付到项目负责人所在单位。</w:t>
      </w:r>
    </w:p>
    <w:p w14:paraId="650BD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第十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一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条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经费使用范围</w:t>
      </w:r>
    </w:p>
    <w:p w14:paraId="57BA7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科研业务费（材料费、测试加工费、计算服务费、文献资料费等）；</w:t>
      </w:r>
    </w:p>
    <w:p w14:paraId="2FC1B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学术交流费（差旅费、会议费、国际合作与交流费）；</w:t>
      </w:r>
    </w:p>
    <w:p w14:paraId="72949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劳务费（研究生、博士后、临时聘用人员的劳务报酬，不超过总经费的30%）；</w:t>
      </w:r>
    </w:p>
    <w:p w14:paraId="1EEE3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不得用于购置大型仪器设备（应优先使用实验室现有设备）。</w:t>
      </w:r>
    </w:p>
    <w:p w14:paraId="6B9A5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第十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二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条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经费监督</w:t>
      </w:r>
    </w:p>
    <w:p w14:paraId="0D976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经费使用须符合国家及项目负责人所在单位财务管理规定。</w:t>
      </w:r>
    </w:p>
    <w:p w14:paraId="6EAD4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项目负责人对经费使用的合规性负责。</w:t>
      </w:r>
    </w:p>
    <w:p w14:paraId="542E7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实验室办公室每年对经费执行情况进行检查，对违规使用经费者，终止资助并追回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已拨付的经费</w:t>
      </w:r>
      <w:r>
        <w:rPr>
          <w:rFonts w:hint="eastAsia" w:ascii="仿宋_GB2312" w:hAnsi="仿宋_GB2312" w:eastAsia="仿宋_GB2312" w:cs="仿宋_GB2312"/>
          <w:sz w:val="24"/>
          <w:szCs w:val="24"/>
        </w:rPr>
        <w:t>。</w:t>
      </w:r>
    </w:p>
    <w:p w14:paraId="065F5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第六章 实验室联系人制度</w:t>
      </w:r>
    </w:p>
    <w:p w14:paraId="18894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第十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三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条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实验室联系人职责</w:t>
      </w:r>
    </w:p>
    <w:p w14:paraId="789C7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每个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开放课题</w:t>
      </w:r>
      <w:r>
        <w:rPr>
          <w:rFonts w:hint="eastAsia" w:ascii="仿宋_GB2312" w:hAnsi="仿宋_GB2312" w:eastAsia="仿宋_GB2312" w:cs="仿宋_GB2312"/>
          <w:sz w:val="24"/>
          <w:szCs w:val="24"/>
        </w:rPr>
        <w:t>项目须指定1名实验室固定研究人员作为联系人，其职责包括：</w:t>
      </w:r>
    </w:p>
    <w:p w14:paraId="6F6D9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参与或协助项目研究；</w:t>
      </w:r>
    </w:p>
    <w:p w14:paraId="32272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跟踪项目进度，督促按时提交年度进展报告；</w:t>
      </w:r>
    </w:p>
    <w:p w14:paraId="1314B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协助项目负责人办理设备预约、实验资源协调等事务；</w:t>
      </w:r>
    </w:p>
    <w:p w14:paraId="71590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特殊情况下，协助项目负责人提交相关材料。</w:t>
      </w:r>
    </w:p>
    <w:p w14:paraId="084DC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第十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四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条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联系人权益</w:t>
      </w:r>
    </w:p>
    <w:p w14:paraId="49BEBF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联系人可列为项目成果的合作者（如论文共同作者、专利共同发明人），具体由双方协商确定。</w:t>
      </w:r>
    </w:p>
    <w:p w14:paraId="7E179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联系人在同等条件下优先使用实验室公共实验平台。</w:t>
      </w:r>
    </w:p>
    <w:p w14:paraId="452A4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第七章 项目实施与结题</w:t>
      </w:r>
    </w:p>
    <w:p w14:paraId="6D614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第十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条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任务书签订</w:t>
      </w:r>
    </w:p>
    <w:p w14:paraId="1E1B6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项目负责人接到立项通知后15个工作日内，须填写《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开放课题</w:t>
      </w:r>
      <w:r>
        <w:rPr>
          <w:rFonts w:hint="eastAsia" w:ascii="仿宋_GB2312" w:hAnsi="仿宋_GB2312" w:eastAsia="仿宋_GB2312" w:cs="仿宋_GB2312"/>
          <w:sz w:val="24"/>
          <w:szCs w:val="24"/>
        </w:rPr>
        <w:t>项目任务书》，经本人签字、依托单位盖章后提交实验室。逾期未提交者视为自动放弃。</w:t>
      </w:r>
    </w:p>
    <w:p w14:paraId="7A46F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第十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六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条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中期检查</w:t>
      </w:r>
    </w:p>
    <w:p w14:paraId="4AD71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执行期一年及以上的项目，须在每年学术委员会会议前提交《年度进展报告》。对进展缓慢或经费使用严重偏离计划的项目，实验室有权暂停或终止资助。</w:t>
      </w:r>
    </w:p>
    <w:p w14:paraId="20AF1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第十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七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条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结题要求</w:t>
      </w:r>
    </w:p>
    <w:p w14:paraId="28877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项目结束后一个月内，项目负责人须提交以下材料：</w:t>
      </w:r>
    </w:p>
    <w:p w14:paraId="37FE7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《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开放课题</w:t>
      </w:r>
      <w:r>
        <w:rPr>
          <w:rFonts w:hint="eastAsia" w:ascii="仿宋_GB2312" w:hAnsi="仿宋_GB2312" w:eastAsia="仿宋_GB2312" w:cs="仿宋_GB2312"/>
          <w:sz w:val="24"/>
          <w:szCs w:val="24"/>
        </w:rPr>
        <w:t>项目结题报告》；</w:t>
      </w:r>
    </w:p>
    <w:p w14:paraId="386D2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成果证明材料（论文、专利、软著、技术报告、样机照片等）。</w:t>
      </w:r>
    </w:p>
    <w:p w14:paraId="56986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结题考核指标（满足以下条件之一）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24"/>
          <w:szCs w:val="24"/>
        </w:rPr>
        <w:t>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 w14:paraId="2C474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 w14:paraId="138229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2"/>
                <w:szCs w:val="22"/>
                <w:lang w:val="en-US" w:eastAsia="zh-CN"/>
              </w:rPr>
              <w:t>项目类型</w:t>
            </w:r>
          </w:p>
        </w:tc>
        <w:tc>
          <w:tcPr>
            <w:tcW w:w="6405" w:type="dxa"/>
            <w:vAlign w:val="center"/>
          </w:tcPr>
          <w:p w14:paraId="2A34E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2"/>
                <w:szCs w:val="22"/>
                <w:lang w:val="en-US" w:eastAsia="zh-CN"/>
              </w:rPr>
              <w:t>最低结题要求</w:t>
            </w:r>
          </w:p>
        </w:tc>
      </w:tr>
      <w:tr w14:paraId="69B71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 w14:paraId="761DD1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  <w:t>重点项目</w:t>
            </w:r>
          </w:p>
        </w:tc>
        <w:tc>
          <w:tcPr>
            <w:tcW w:w="6405" w:type="dxa"/>
            <w:vAlign w:val="center"/>
          </w:tcPr>
          <w:p w14:paraId="17B95A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  <w:t>发表SCI/EI收录论文≥2篇（其中一/二区期刊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>论文</w:t>
            </w:r>
            <w:r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  <w:t>≥1篇）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>。项目执行期内至少在实验室开展2次学术交流。</w:t>
            </w:r>
          </w:p>
        </w:tc>
      </w:tr>
      <w:tr w14:paraId="2DED9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  <w:vAlign w:val="center"/>
          </w:tcPr>
          <w:p w14:paraId="51F76C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  <w:t>一般项目</w:t>
            </w:r>
          </w:p>
        </w:tc>
        <w:tc>
          <w:tcPr>
            <w:tcW w:w="6405" w:type="dxa"/>
            <w:vAlign w:val="center"/>
          </w:tcPr>
          <w:p w14:paraId="185B85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sz w:val="22"/>
                <w:szCs w:val="22"/>
                <w:lang w:val="en-US" w:eastAsia="zh-CN"/>
              </w:rPr>
              <w:t>发表SCI/EI收录论文≥1篇</w:t>
            </w:r>
            <w:r>
              <w:rPr>
                <w:rFonts w:hint="eastAsia" w:ascii="仿宋_GB2312" w:hAnsi="仿宋_GB2312" w:eastAsia="仿宋_GB2312" w:cs="仿宋_GB2312"/>
                <w:sz w:val="22"/>
                <w:szCs w:val="22"/>
                <w:lang w:val="en-US" w:eastAsia="zh-CN"/>
              </w:rPr>
              <w:t>。项目执行期内至少在实验室开展1次学术交流。</w:t>
            </w:r>
          </w:p>
        </w:tc>
      </w:tr>
    </w:tbl>
    <w:p w14:paraId="2C996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第十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八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条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延期管理</w:t>
      </w:r>
    </w:p>
    <w:p w14:paraId="05C2D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确因客观原因无法按期结题的项目，可申请延期1次，最长不超过6个月。延期申请须在结题期限前30天提交，经实验室主任批准后生效。延期后仍不能结题的，终止项目并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追</w:t>
      </w:r>
      <w:r>
        <w:rPr>
          <w:rFonts w:hint="eastAsia" w:ascii="仿宋_GB2312" w:hAnsi="仿宋_GB2312" w:eastAsia="仿宋_GB2312" w:cs="仿宋_GB2312"/>
          <w:sz w:val="24"/>
          <w:szCs w:val="24"/>
        </w:rPr>
        <w:t>回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已拨付的</w:t>
      </w:r>
      <w:r>
        <w:rPr>
          <w:rFonts w:hint="eastAsia" w:ascii="仿宋_GB2312" w:hAnsi="仿宋_GB2312" w:eastAsia="仿宋_GB2312" w:cs="仿宋_GB2312"/>
          <w:sz w:val="24"/>
          <w:szCs w:val="24"/>
        </w:rPr>
        <w:t>经费。</w:t>
      </w:r>
    </w:p>
    <w:p w14:paraId="29330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第八章 成果管理与标注</w:t>
      </w:r>
    </w:p>
    <w:p w14:paraId="6FF9E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十九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条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成果归属</w:t>
      </w:r>
    </w:p>
    <w:p w14:paraId="7CD53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由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开放课题</w:t>
      </w:r>
      <w:r>
        <w:rPr>
          <w:rFonts w:hint="eastAsia" w:ascii="仿宋_GB2312" w:hAnsi="仿宋_GB2312" w:eastAsia="仿宋_GB2312" w:cs="仿宋_GB2312"/>
          <w:sz w:val="24"/>
          <w:szCs w:val="24"/>
        </w:rPr>
        <w:t>资助取得的研究成果（包括论文、专利、软件著作权、技术报告、样品样机等），归实验室与项目负责人所在单位共同所有。</w:t>
      </w:r>
    </w:p>
    <w:p w14:paraId="19F15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第二十条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成果标注要求</w:t>
      </w:r>
    </w:p>
    <w:p w14:paraId="0FAEF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所有资助成果须在标注：</w:t>
      </w:r>
    </w:p>
    <w:p w14:paraId="3288C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中文：成套装备智能化集成技术教育部重点实验室（兰州理工大学）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开放课题</w:t>
      </w:r>
      <w:r>
        <w:rPr>
          <w:rFonts w:hint="eastAsia" w:ascii="仿宋_GB2312" w:hAnsi="仿宋_GB2312" w:eastAsia="仿宋_GB2312" w:cs="仿宋_GB2312"/>
          <w:sz w:val="24"/>
          <w:szCs w:val="24"/>
        </w:rPr>
        <w:t>资助（项目编号：XXXX）</w:t>
      </w:r>
    </w:p>
    <w:p w14:paraId="1C7D0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英文：</w:t>
      </w:r>
      <w:r>
        <w:rPr>
          <w:rFonts w:hint="default" w:ascii="Times New Roman" w:hAnsi="Times New Roman" w:eastAsia="仿宋_GB2312" w:cs="Times New Roman"/>
          <w:sz w:val="24"/>
          <w:szCs w:val="24"/>
        </w:rPr>
        <w:t>Supported by the Opening Project of the Key Laboratory of Intelligent Integration Technology for Complete Equipment, Ministry of Education (Lanzhou University of Technology), Grant No. XXXX</w:t>
      </w:r>
    </w:p>
    <w:p w14:paraId="54129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论文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需将实验室固定人员列为作者之一，</w:t>
      </w:r>
      <w:r>
        <w:rPr>
          <w:rFonts w:hint="eastAsia" w:ascii="仿宋_GB2312" w:hAnsi="仿宋_GB2312" w:eastAsia="仿宋_GB2312" w:cs="仿宋_GB2312"/>
          <w:sz w:val="24"/>
          <w:szCs w:val="24"/>
        </w:rPr>
        <w:t>须将“成套装备智能化集成技术教育部重点实验室（兰州理工大学）”列为完成单位之一（可为第二单位或合作单位）。</w:t>
      </w:r>
    </w:p>
    <w:p w14:paraId="577F0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第二十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一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条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成果备案</w:t>
      </w:r>
    </w:p>
    <w:p w14:paraId="117AD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项目负责人须在成果发表或授权后15天内将相关证明材料提交实验室归档。未按要求标注或备案的成果，不计入结题成果。</w:t>
      </w:r>
    </w:p>
    <w:p w14:paraId="0BEFD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第九章 优秀成果激励</w:t>
      </w:r>
    </w:p>
    <w:p w14:paraId="1B801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第二十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二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条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优秀项目评选</w:t>
      </w:r>
    </w:p>
    <w:p w14:paraId="167F5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实验室每年从验收合格项目中评选不超过2项优秀项目，评选标准包括：</w:t>
      </w:r>
    </w:p>
    <w:p w14:paraId="6DCF2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成果创新性突出；</w:t>
      </w:r>
    </w:p>
    <w:p w14:paraId="40AEB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发表高水平论文或高价值专利；</w:t>
      </w:r>
    </w:p>
    <w:p w14:paraId="761AE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形成可转化的技术原型；</w:t>
      </w:r>
    </w:p>
    <w:p w14:paraId="52EAD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对实验室开放合作有显著贡献。</w:t>
      </w:r>
    </w:p>
    <w:p w14:paraId="1D79D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第二十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三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条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奖励措施</w:t>
      </w:r>
    </w:p>
    <w:p w14:paraId="50E27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优秀项目经学术委员会审议后，优先获得下一年度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开放课题</w:t>
      </w:r>
      <w:r>
        <w:rPr>
          <w:rFonts w:hint="eastAsia" w:ascii="仿宋_GB2312" w:hAnsi="仿宋_GB2312" w:eastAsia="仿宋_GB2312" w:cs="仿宋_GB2312"/>
          <w:sz w:val="24"/>
          <w:szCs w:val="24"/>
        </w:rPr>
        <w:t>滚动资助；</w:t>
      </w:r>
    </w:p>
    <w:p w14:paraId="45A97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优秀项目负责人受邀来实验室做学术报告，并报销全部差旅费用；</w:t>
      </w:r>
    </w:p>
    <w:p w14:paraId="1C112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实验室优先推荐优秀项目申报省部级及以上科技奖励。</w:t>
      </w:r>
    </w:p>
    <w:p w14:paraId="28E6E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第十章 附则</w:t>
      </w:r>
    </w:p>
    <w:p w14:paraId="32760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第二十五条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本办法经实验室学术委员会审议通过后生效，修订须经相同程序。</w:t>
      </w:r>
    </w:p>
    <w:p w14:paraId="6C770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第二十六条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本办法解释权归成套装备智能化集成技术教育部重点实验室所有。</w:t>
      </w:r>
    </w:p>
    <w:p w14:paraId="28564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第二十七条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本办法自发布之日起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执</w:t>
      </w:r>
      <w:r>
        <w:rPr>
          <w:rFonts w:hint="eastAsia" w:ascii="仿宋_GB2312" w:hAnsi="仿宋_GB2312" w:eastAsia="仿宋_GB2312" w:cs="仿宋_GB2312"/>
          <w:sz w:val="24"/>
          <w:szCs w:val="24"/>
        </w:rPr>
        <w:t>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E0000" w:usb2="00000000" w:usb3="00000000" w:csb0="00040000" w:csb1="00000000"/>
    <w:embedRegular r:id="rId1" w:fontKey="{089689DF-D854-4FF0-B9F2-376C2EED5956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CC0A86A1-129C-4059-ABF8-A27CADD9CB7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387125"/>
    <w:rsid w:val="6ADF657D"/>
    <w:rsid w:val="6BE23A89"/>
    <w:rsid w:val="7DCD4734"/>
    <w:rsid w:val="7EAD78EF"/>
    <w:rsid w:val="7FCF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2671</Words>
  <Characters>2829</Characters>
  <Lines>0</Lines>
  <Paragraphs>0</Paragraphs>
  <TotalTime>9</TotalTime>
  <ScaleCrop>false</ScaleCrop>
  <LinksUpToDate>false</LinksUpToDate>
  <CharactersWithSpaces>2891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2026-04-23T06:29:00Z</dcterms:created>
  <dc:creator>DELL</dc:creator>
  <cp:lastModifiedBy>罗岚</cp:lastModifiedBy>
  <dcterms:modified xsi:type="dcterms:W3CDTF">2026-05-25T09:13:43Z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eyJoZGlkIjoiODFiYThjYmUxY2RiZDEwNzA0NDc2OThkNGQ0MTY4NjgiLCJ1c2VySWQiOiIxNjQwMzA4MDk2In0=</vt:lpwstr>
  </property>
  <property fmtid="{D5CDD505-2E9C-101B-9397-08002B2CF9AE}" pid="4" name="ICV">
    <vt:lpwstr>7CAD01D9BFC04ACD898D06B0231E186F_12</vt:lpwstr>
  </property>
</Properties>
</file>