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39BAD9">
      <w:pPr>
        <w:keepNext w:val="0"/>
        <w:keepLines w:val="0"/>
        <w:pageBreakBefore w:val="0"/>
        <w:widowControl w:val="0"/>
        <w:kinsoku/>
        <w:wordWrap/>
        <w:overflowPunct/>
        <w:topLinePunct w:val="0"/>
        <w:autoSpaceDE/>
        <w:autoSpaceDN/>
        <w:bidi w:val="0"/>
        <w:adjustRightInd/>
        <w:snapToGrid/>
        <w:spacing w:line="560" w:lineRule="exact"/>
        <w:jc w:val="left"/>
        <w:textAlignment w:val="auto"/>
        <w:rPr>
          <w:rFonts w:hint="eastAsia" w:ascii="华文宋体" w:hAnsi="华文宋体" w:eastAsia="华文宋体" w:cs="华文宋体"/>
          <w:b/>
          <w:bCs/>
          <w:color w:val="auto"/>
          <w:sz w:val="44"/>
          <w:szCs w:val="44"/>
          <w:highlight w:val="none"/>
        </w:rPr>
      </w:pPr>
      <w:r>
        <w:rPr>
          <w:rFonts w:hint="eastAsia" w:ascii="华文宋体" w:hAnsi="华文宋体" w:eastAsia="华文宋体" w:cs="华文宋体"/>
          <w:b/>
          <w:bCs/>
          <w:color w:val="auto"/>
          <w:sz w:val="32"/>
          <w:szCs w:val="32"/>
          <w:highlight w:val="none"/>
          <w:lang w:eastAsia="zh-CN"/>
        </w:rPr>
        <w:t>附件</w:t>
      </w:r>
      <w:r>
        <w:rPr>
          <w:rFonts w:hint="eastAsia" w:ascii="华文宋体" w:hAnsi="华文宋体" w:eastAsia="华文宋体" w:cs="华文宋体"/>
          <w:b/>
          <w:bCs/>
          <w:color w:val="auto"/>
          <w:sz w:val="32"/>
          <w:szCs w:val="32"/>
          <w:highlight w:val="none"/>
          <w:lang w:val="en-US" w:eastAsia="zh-CN"/>
        </w:rPr>
        <w:t>3</w:t>
      </w:r>
    </w:p>
    <w:p w14:paraId="34C082F2">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华文宋体" w:hAnsi="华文宋体" w:eastAsia="华文宋体" w:cs="华文宋体"/>
          <w:b/>
          <w:bCs/>
          <w:color w:val="auto"/>
          <w:sz w:val="44"/>
          <w:szCs w:val="44"/>
          <w:highlight w:val="none"/>
        </w:rPr>
      </w:pPr>
    </w:p>
    <w:p w14:paraId="0D62786D">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华文宋体" w:hAnsi="华文宋体" w:eastAsia="华文宋体" w:cs="华文宋体"/>
          <w:b/>
          <w:bCs/>
          <w:color w:val="auto"/>
          <w:sz w:val="44"/>
          <w:szCs w:val="44"/>
          <w:highlight w:val="none"/>
          <w:lang w:eastAsia="zh-CN"/>
        </w:rPr>
      </w:pPr>
      <w:bookmarkStart w:id="0" w:name="_GoBack"/>
      <w:r>
        <w:rPr>
          <w:rFonts w:hint="eastAsia" w:ascii="华文宋体" w:hAnsi="华文宋体" w:eastAsia="华文宋体" w:cs="华文宋体"/>
          <w:b/>
          <w:bCs/>
          <w:color w:val="auto"/>
          <w:sz w:val="44"/>
          <w:szCs w:val="44"/>
          <w:highlight w:val="none"/>
        </w:rPr>
        <w:t>郑州市</w:t>
      </w:r>
      <w:r>
        <w:rPr>
          <w:rFonts w:hint="eastAsia" w:ascii="华文宋体" w:hAnsi="华文宋体" w:eastAsia="华文宋体" w:cs="华文宋体"/>
          <w:b/>
          <w:bCs/>
          <w:color w:val="auto"/>
          <w:sz w:val="44"/>
          <w:szCs w:val="44"/>
          <w:highlight w:val="none"/>
          <w:lang w:eastAsia="zh-CN"/>
        </w:rPr>
        <w:t>科技计划</w:t>
      </w:r>
      <w:r>
        <w:rPr>
          <w:rFonts w:hint="eastAsia" w:ascii="华文宋体" w:hAnsi="华文宋体" w:eastAsia="华文宋体" w:cs="华文宋体"/>
          <w:b/>
          <w:bCs/>
          <w:color w:val="auto"/>
          <w:sz w:val="44"/>
          <w:szCs w:val="44"/>
          <w:highlight w:val="none"/>
        </w:rPr>
        <w:t>“揭榜挂帅”</w:t>
      </w:r>
      <w:r>
        <w:rPr>
          <w:rFonts w:hint="eastAsia" w:ascii="华文宋体" w:hAnsi="华文宋体" w:eastAsia="华文宋体" w:cs="华文宋体"/>
          <w:b/>
          <w:bCs/>
          <w:color w:val="auto"/>
          <w:sz w:val="44"/>
          <w:szCs w:val="44"/>
          <w:highlight w:val="none"/>
          <w:lang w:eastAsia="zh-CN"/>
        </w:rPr>
        <w:t>企业出题</w:t>
      </w:r>
    </w:p>
    <w:p w14:paraId="32059B4C">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华文宋体" w:hAnsi="华文宋体" w:eastAsia="华文宋体" w:cs="华文宋体"/>
          <w:b/>
          <w:bCs/>
          <w:color w:val="auto"/>
          <w:sz w:val="44"/>
          <w:szCs w:val="44"/>
          <w:highlight w:val="none"/>
          <w:lang w:eastAsia="zh-CN"/>
        </w:rPr>
      </w:pPr>
      <w:r>
        <w:rPr>
          <w:rFonts w:hint="eastAsia" w:ascii="华文宋体" w:hAnsi="华文宋体" w:eastAsia="华文宋体" w:cs="华文宋体"/>
          <w:b/>
          <w:bCs/>
          <w:color w:val="auto"/>
          <w:sz w:val="44"/>
          <w:szCs w:val="44"/>
          <w:highlight w:val="none"/>
        </w:rPr>
        <w:t>项目</w:t>
      </w:r>
      <w:r>
        <w:rPr>
          <w:rFonts w:hint="eastAsia" w:ascii="华文宋体" w:hAnsi="华文宋体" w:eastAsia="华文宋体" w:cs="华文宋体"/>
          <w:b/>
          <w:bCs/>
          <w:color w:val="auto"/>
          <w:sz w:val="44"/>
          <w:szCs w:val="44"/>
          <w:highlight w:val="none"/>
          <w:lang w:eastAsia="zh-CN"/>
        </w:rPr>
        <w:t>申报指南</w:t>
      </w:r>
    </w:p>
    <w:bookmarkEnd w:id="0"/>
    <w:p w14:paraId="20F97FAB">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华文仿宋" w:hAnsi="华文仿宋" w:eastAsia="华文仿宋" w:cs="华文仿宋"/>
          <w:color w:val="auto"/>
          <w:sz w:val="32"/>
          <w:szCs w:val="32"/>
          <w:highlight w:val="none"/>
          <w:lang w:val="en-US" w:eastAsia="zh-CN"/>
        </w:rPr>
      </w:pPr>
    </w:p>
    <w:p w14:paraId="43FEFA9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黑体_GBK" w:hAnsi="方正黑体_GBK" w:eastAsia="方正黑体_GBK" w:cs="方正黑体_GBK"/>
          <w:color w:val="auto"/>
          <w:sz w:val="32"/>
          <w:szCs w:val="32"/>
          <w:highlight w:val="none"/>
        </w:rPr>
      </w:pPr>
      <w:r>
        <w:rPr>
          <w:rFonts w:hint="eastAsia" w:ascii="方正黑体_GBK" w:hAnsi="方正黑体_GBK" w:eastAsia="方正黑体_GBK" w:cs="方正黑体_GBK"/>
          <w:color w:val="auto"/>
          <w:sz w:val="32"/>
          <w:szCs w:val="32"/>
          <w:highlight w:val="none"/>
        </w:rPr>
        <w:t>一、申报条件</w:t>
      </w:r>
    </w:p>
    <w:p w14:paraId="29E07FD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华文楷体" w:hAnsi="华文楷体" w:eastAsia="华文楷体" w:cs="华文楷体"/>
          <w:color w:val="auto"/>
          <w:sz w:val="32"/>
          <w:szCs w:val="32"/>
          <w:highlight w:val="none"/>
        </w:rPr>
      </w:pPr>
      <w:r>
        <w:rPr>
          <w:rFonts w:hint="eastAsia" w:ascii="华文楷体" w:hAnsi="华文楷体" w:eastAsia="华文楷体" w:cs="华文楷体"/>
          <w:color w:val="auto"/>
          <w:sz w:val="32"/>
          <w:szCs w:val="32"/>
          <w:highlight w:val="none"/>
        </w:rPr>
        <w:t>（一）出榜企业条件</w:t>
      </w:r>
    </w:p>
    <w:p w14:paraId="065D61F1">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华文仿宋" w:hAnsi="华文仿宋" w:eastAsia="华文仿宋" w:cs="华文仿宋"/>
          <w:color w:val="auto"/>
          <w:sz w:val="32"/>
          <w:szCs w:val="32"/>
          <w:highlight w:val="none"/>
          <w:lang w:eastAsia="zh-CN"/>
        </w:rPr>
      </w:pPr>
      <w:r>
        <w:rPr>
          <w:rFonts w:hint="eastAsia" w:ascii="华文仿宋" w:hAnsi="华文仿宋" w:eastAsia="华文仿宋" w:cs="华文仿宋"/>
          <w:color w:val="auto"/>
          <w:sz w:val="32"/>
          <w:szCs w:val="32"/>
          <w:highlight w:val="none"/>
          <w:lang w:val="en-US" w:eastAsia="zh-CN"/>
        </w:rPr>
        <w:t>1.</w:t>
      </w:r>
      <w:r>
        <w:rPr>
          <w:rFonts w:hint="eastAsia" w:ascii="华文仿宋" w:hAnsi="华文仿宋" w:eastAsia="华文仿宋" w:cs="华文仿宋"/>
          <w:color w:val="auto"/>
          <w:sz w:val="32"/>
          <w:szCs w:val="32"/>
          <w:highlight w:val="none"/>
        </w:rPr>
        <w:t>郑州市域注册</w:t>
      </w:r>
      <w:r>
        <w:rPr>
          <w:rFonts w:hint="eastAsia" w:ascii="华文仿宋" w:hAnsi="华文仿宋" w:eastAsia="华文仿宋" w:cs="华文仿宋"/>
          <w:color w:val="auto"/>
          <w:sz w:val="32"/>
          <w:szCs w:val="32"/>
          <w:highlight w:val="none"/>
          <w:lang w:eastAsia="zh-CN"/>
        </w:rPr>
        <w:t>的</w:t>
      </w:r>
      <w:r>
        <w:rPr>
          <w:rFonts w:hint="eastAsia" w:ascii="华文仿宋" w:hAnsi="华文仿宋" w:eastAsia="华文仿宋" w:cs="华文仿宋"/>
          <w:color w:val="auto"/>
          <w:sz w:val="32"/>
          <w:szCs w:val="32"/>
          <w:highlight w:val="none"/>
        </w:rPr>
        <w:t>独立法人企业，注册满1年</w:t>
      </w:r>
      <w:r>
        <w:rPr>
          <w:rFonts w:hint="eastAsia" w:ascii="华文仿宋" w:hAnsi="华文仿宋" w:eastAsia="华文仿宋" w:cs="华文仿宋"/>
          <w:color w:val="auto"/>
          <w:sz w:val="32"/>
          <w:szCs w:val="32"/>
          <w:highlight w:val="none"/>
          <w:lang w:eastAsia="zh-CN"/>
        </w:rPr>
        <w:t>以上</w:t>
      </w:r>
      <w:r>
        <w:rPr>
          <w:rFonts w:hint="eastAsia" w:ascii="华文仿宋" w:hAnsi="华文仿宋" w:eastAsia="华文仿宋" w:cs="华文仿宋"/>
          <w:color w:val="auto"/>
          <w:sz w:val="32"/>
          <w:szCs w:val="32"/>
          <w:highlight w:val="none"/>
        </w:rPr>
        <w:t>，建有</w:t>
      </w:r>
      <w:r>
        <w:rPr>
          <w:rFonts w:hint="eastAsia" w:ascii="华文仿宋" w:hAnsi="华文仿宋" w:eastAsia="华文仿宋" w:cs="华文仿宋"/>
          <w:color w:val="auto"/>
          <w:sz w:val="32"/>
          <w:szCs w:val="32"/>
          <w:highlight w:val="none"/>
          <w:lang w:eastAsia="zh-CN"/>
        </w:rPr>
        <w:t>市级以上</w:t>
      </w:r>
      <w:r>
        <w:rPr>
          <w:rFonts w:hint="eastAsia" w:ascii="华文仿宋" w:hAnsi="华文仿宋" w:eastAsia="华文仿宋" w:cs="华文仿宋"/>
          <w:color w:val="auto"/>
          <w:sz w:val="32"/>
          <w:szCs w:val="32"/>
          <w:highlight w:val="none"/>
        </w:rPr>
        <w:t>研发</w:t>
      </w:r>
      <w:r>
        <w:rPr>
          <w:rFonts w:hint="eastAsia" w:ascii="华文仿宋" w:hAnsi="华文仿宋" w:eastAsia="华文仿宋" w:cs="华文仿宋"/>
          <w:color w:val="auto"/>
          <w:sz w:val="32"/>
          <w:szCs w:val="32"/>
          <w:highlight w:val="none"/>
          <w:lang w:eastAsia="zh-CN"/>
        </w:rPr>
        <w:t>平台，具备一定的研发能力。</w:t>
      </w:r>
    </w:p>
    <w:p w14:paraId="0AB27ED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华文仿宋" w:hAnsi="华文仿宋" w:eastAsia="华文仿宋" w:cs="华文仿宋"/>
          <w:color w:val="auto"/>
          <w:sz w:val="32"/>
          <w:szCs w:val="32"/>
          <w:highlight w:val="none"/>
        </w:rPr>
      </w:pPr>
      <w:r>
        <w:rPr>
          <w:rFonts w:hint="eastAsia" w:ascii="华文仿宋" w:hAnsi="华文仿宋" w:eastAsia="华文仿宋" w:cs="华文仿宋"/>
          <w:color w:val="auto"/>
          <w:sz w:val="32"/>
          <w:szCs w:val="32"/>
          <w:highlight w:val="none"/>
          <w:lang w:val="en-US" w:eastAsia="zh-CN"/>
        </w:rPr>
        <w:t>2.申报</w:t>
      </w:r>
      <w:r>
        <w:rPr>
          <w:rFonts w:hint="eastAsia" w:ascii="华文仿宋" w:hAnsi="华文仿宋" w:eastAsia="华文仿宋" w:cs="华文仿宋"/>
          <w:color w:val="auto"/>
          <w:sz w:val="32"/>
          <w:szCs w:val="32"/>
          <w:highlight w:val="none"/>
        </w:rPr>
        <w:t>单位具有良好的科研道德和社会诚信，</w:t>
      </w:r>
      <w:r>
        <w:rPr>
          <w:rFonts w:hint="eastAsia" w:ascii="华文仿宋" w:hAnsi="华文仿宋" w:eastAsia="华文仿宋" w:cs="华文仿宋"/>
          <w:color w:val="auto"/>
          <w:sz w:val="32"/>
          <w:szCs w:val="32"/>
          <w:highlight w:val="none"/>
          <w:lang w:eastAsia="zh-CN"/>
        </w:rPr>
        <w:t>不在</w:t>
      </w:r>
      <w:r>
        <w:rPr>
          <w:rFonts w:hint="eastAsia" w:ascii="华文仿宋" w:hAnsi="华文仿宋" w:eastAsia="华文仿宋" w:cs="华文仿宋"/>
          <w:color w:val="auto"/>
          <w:sz w:val="32"/>
          <w:szCs w:val="32"/>
          <w:highlight w:val="none"/>
        </w:rPr>
        <w:t>科技计划项目</w:t>
      </w:r>
      <w:r>
        <w:rPr>
          <w:rFonts w:hint="eastAsia" w:ascii="华文仿宋" w:hAnsi="华文仿宋" w:eastAsia="华文仿宋" w:cs="华文仿宋"/>
          <w:color w:val="auto"/>
          <w:sz w:val="32"/>
          <w:szCs w:val="32"/>
          <w:highlight w:val="none"/>
          <w:lang w:val="en-US" w:eastAsia="zh-CN"/>
        </w:rPr>
        <w:t>申报</w:t>
      </w:r>
      <w:r>
        <w:rPr>
          <w:rFonts w:hint="eastAsia" w:ascii="华文仿宋" w:hAnsi="华文仿宋" w:eastAsia="华文仿宋" w:cs="华文仿宋"/>
          <w:color w:val="auto"/>
          <w:sz w:val="32"/>
          <w:szCs w:val="32"/>
          <w:highlight w:val="none"/>
        </w:rPr>
        <w:t>限制</w:t>
      </w:r>
      <w:r>
        <w:rPr>
          <w:rFonts w:hint="eastAsia" w:ascii="华文仿宋" w:hAnsi="华文仿宋" w:eastAsia="华文仿宋" w:cs="华文仿宋"/>
          <w:color w:val="auto"/>
          <w:sz w:val="32"/>
          <w:szCs w:val="32"/>
          <w:highlight w:val="none"/>
          <w:lang w:val="en-US" w:eastAsia="zh-CN"/>
        </w:rPr>
        <w:t>期内</w:t>
      </w:r>
      <w:r>
        <w:rPr>
          <w:rFonts w:hint="eastAsia" w:ascii="华文仿宋" w:hAnsi="华文仿宋" w:eastAsia="华文仿宋" w:cs="华文仿宋"/>
          <w:color w:val="auto"/>
          <w:sz w:val="32"/>
          <w:szCs w:val="32"/>
          <w:highlight w:val="none"/>
        </w:rPr>
        <w:t>，近3年</w:t>
      </w:r>
      <w:r>
        <w:rPr>
          <w:rFonts w:hint="eastAsia" w:ascii="华文仿宋" w:hAnsi="华文仿宋" w:eastAsia="华文仿宋" w:cs="华文仿宋"/>
          <w:color w:val="auto"/>
          <w:sz w:val="32"/>
          <w:szCs w:val="32"/>
          <w:highlight w:val="none"/>
          <w:lang w:eastAsia="zh-CN"/>
        </w:rPr>
        <w:t>无</w:t>
      </w:r>
      <w:r>
        <w:rPr>
          <w:rFonts w:hint="eastAsia" w:ascii="华文仿宋" w:hAnsi="华文仿宋" w:eastAsia="华文仿宋" w:cs="华文仿宋"/>
          <w:color w:val="auto"/>
          <w:sz w:val="32"/>
          <w:szCs w:val="32"/>
          <w:highlight w:val="none"/>
        </w:rPr>
        <w:t>市级</w:t>
      </w:r>
      <w:r>
        <w:rPr>
          <w:rFonts w:hint="eastAsia" w:ascii="华文仿宋" w:hAnsi="华文仿宋" w:eastAsia="华文仿宋" w:cs="华文仿宋"/>
          <w:color w:val="auto"/>
          <w:sz w:val="32"/>
          <w:szCs w:val="32"/>
          <w:highlight w:val="none"/>
          <w:lang w:eastAsia="zh-CN"/>
        </w:rPr>
        <w:t>科研</w:t>
      </w:r>
      <w:r>
        <w:rPr>
          <w:rFonts w:hint="eastAsia" w:ascii="华文仿宋" w:hAnsi="华文仿宋" w:eastAsia="华文仿宋" w:cs="华文仿宋"/>
          <w:color w:val="auto"/>
          <w:sz w:val="32"/>
          <w:szCs w:val="32"/>
          <w:highlight w:val="none"/>
        </w:rPr>
        <w:t>项目验收不合格、逾期未结题</w:t>
      </w:r>
      <w:r>
        <w:rPr>
          <w:rFonts w:hint="eastAsia" w:ascii="华文仿宋" w:hAnsi="华文仿宋" w:eastAsia="华文仿宋" w:cs="华文仿宋"/>
          <w:color w:val="auto"/>
          <w:sz w:val="32"/>
          <w:szCs w:val="32"/>
          <w:highlight w:val="none"/>
          <w:lang w:eastAsia="zh-CN"/>
        </w:rPr>
        <w:t>情形，</w:t>
      </w:r>
      <w:r>
        <w:rPr>
          <w:rFonts w:hint="eastAsia" w:ascii="华文仿宋" w:hAnsi="华文仿宋" w:eastAsia="华文仿宋" w:cs="华文仿宋"/>
          <w:color w:val="auto"/>
          <w:sz w:val="32"/>
          <w:szCs w:val="32"/>
          <w:highlight w:val="none"/>
        </w:rPr>
        <w:t>未被列入</w:t>
      </w:r>
      <w:r>
        <w:rPr>
          <w:rFonts w:hint="eastAsia" w:ascii="华文仿宋" w:hAnsi="华文仿宋" w:eastAsia="华文仿宋" w:cs="华文仿宋"/>
          <w:color w:val="auto"/>
          <w:sz w:val="32"/>
          <w:szCs w:val="32"/>
          <w:highlight w:val="none"/>
          <w:lang w:eastAsia="zh-CN"/>
        </w:rPr>
        <w:t>失信</w:t>
      </w:r>
      <w:r>
        <w:rPr>
          <w:rFonts w:hint="eastAsia" w:ascii="华文仿宋" w:hAnsi="华文仿宋" w:eastAsia="华文仿宋" w:cs="华文仿宋"/>
          <w:color w:val="auto"/>
          <w:sz w:val="32"/>
          <w:szCs w:val="32"/>
          <w:highlight w:val="none"/>
        </w:rPr>
        <w:t>联合惩戒名单。</w:t>
      </w:r>
    </w:p>
    <w:p w14:paraId="47F4F85B">
      <w:pPr>
        <w:pStyle w:val="9"/>
        <w:ind w:firstLine="640" w:firstLineChars="200"/>
        <w:rPr>
          <w:rFonts w:hint="eastAsia" w:ascii="华文仿宋" w:hAnsi="华文仿宋" w:eastAsia="华文仿宋" w:cs="华文仿宋"/>
          <w:color w:val="auto"/>
          <w:sz w:val="32"/>
          <w:szCs w:val="32"/>
          <w:highlight w:val="none"/>
          <w:lang w:eastAsia="zh-CN"/>
        </w:rPr>
      </w:pPr>
      <w:r>
        <w:rPr>
          <w:rFonts w:hint="eastAsia" w:ascii="华文仿宋" w:hAnsi="华文仿宋" w:eastAsia="华文仿宋" w:cs="华文仿宋"/>
          <w:color w:val="auto"/>
          <w:sz w:val="32"/>
          <w:szCs w:val="32"/>
          <w:highlight w:val="none"/>
          <w:lang w:val="en-US" w:eastAsia="zh-CN"/>
        </w:rPr>
        <w:t>3.</w:t>
      </w:r>
      <w:r>
        <w:rPr>
          <w:rFonts w:hint="eastAsia" w:ascii="华文仿宋" w:hAnsi="华文仿宋" w:eastAsia="华文仿宋" w:cs="华文仿宋"/>
          <w:color w:val="auto"/>
          <w:sz w:val="32"/>
          <w:szCs w:val="32"/>
          <w:highlight w:val="none"/>
        </w:rPr>
        <w:t>有持续稳定研发投入</w:t>
      </w:r>
      <w:r>
        <w:rPr>
          <w:rFonts w:hint="eastAsia" w:ascii="华文仿宋" w:hAnsi="华文仿宋" w:eastAsia="华文仿宋" w:cs="华文仿宋"/>
          <w:color w:val="auto"/>
          <w:sz w:val="32"/>
          <w:szCs w:val="32"/>
          <w:highlight w:val="none"/>
          <w:lang w:eastAsia="zh-CN"/>
        </w:rPr>
        <w:t>，为</w:t>
      </w:r>
      <w:r>
        <w:rPr>
          <w:rFonts w:hint="eastAsia" w:ascii="华文仿宋" w:hAnsi="华文仿宋" w:eastAsia="华文仿宋" w:cs="华文仿宋"/>
          <w:color w:val="auto"/>
          <w:sz w:val="32"/>
          <w:szCs w:val="32"/>
          <w:highlight w:val="none"/>
        </w:rPr>
        <w:t>上年度研发投入</w:t>
      </w:r>
      <w:r>
        <w:rPr>
          <w:rFonts w:hint="eastAsia" w:ascii="华文仿宋" w:hAnsi="华文仿宋" w:eastAsia="华文仿宋" w:cs="华文仿宋"/>
          <w:color w:val="auto"/>
          <w:sz w:val="32"/>
          <w:szCs w:val="32"/>
          <w:highlight w:val="none"/>
          <w:lang w:eastAsia="zh-CN"/>
        </w:rPr>
        <w:t>不低于</w:t>
      </w:r>
      <w:r>
        <w:rPr>
          <w:rFonts w:hint="eastAsia" w:ascii="华文仿宋" w:hAnsi="华文仿宋" w:eastAsia="华文仿宋" w:cs="华文仿宋"/>
          <w:color w:val="auto"/>
          <w:sz w:val="32"/>
          <w:szCs w:val="32"/>
          <w:highlight w:val="none"/>
          <w:lang w:val="en-US" w:eastAsia="zh-CN"/>
        </w:rPr>
        <w:t>300万元的高新技术企业。</w:t>
      </w:r>
    </w:p>
    <w:p w14:paraId="76BA67AD">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华文仿宋" w:hAnsi="华文仿宋" w:eastAsia="华文仿宋" w:cs="华文仿宋"/>
          <w:color w:val="auto"/>
          <w:kern w:val="2"/>
          <w:sz w:val="32"/>
          <w:szCs w:val="32"/>
          <w:highlight w:val="none"/>
          <w:lang w:val="en-US" w:eastAsia="zh-CN" w:bidi="ar-SA"/>
        </w:rPr>
      </w:pPr>
      <w:r>
        <w:rPr>
          <w:rFonts w:hint="eastAsia" w:ascii="华文仿宋" w:hAnsi="华文仿宋" w:eastAsia="华文仿宋" w:cs="华文仿宋"/>
          <w:color w:val="auto"/>
          <w:kern w:val="2"/>
          <w:sz w:val="32"/>
          <w:szCs w:val="32"/>
          <w:highlight w:val="none"/>
          <w:lang w:val="en-US" w:eastAsia="zh-CN" w:bidi="ar-SA"/>
        </w:rPr>
        <w:t>4.对前沿技术、关键核心技术、关键零部件、材料及工艺等有内在迫切需求，且是企业自身无法解决的，在项目攻关成功后能率先在本企业推广应用，能够显著提升企业核心竞争力。</w:t>
      </w:r>
    </w:p>
    <w:p w14:paraId="5D4E5AFF">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highlight w:val="none"/>
        </w:rPr>
      </w:pPr>
      <w:r>
        <w:rPr>
          <w:rFonts w:hint="eastAsia" w:ascii="华文仿宋" w:hAnsi="华文仿宋" w:eastAsia="华文仿宋" w:cs="华文仿宋"/>
          <w:color w:val="auto"/>
          <w:kern w:val="2"/>
          <w:sz w:val="32"/>
          <w:szCs w:val="32"/>
          <w:highlight w:val="none"/>
          <w:lang w:val="en-US" w:eastAsia="zh-CN" w:bidi="ar-SA"/>
        </w:rPr>
        <w:t>5.具有保障</w:t>
      </w:r>
      <w:r>
        <w:rPr>
          <w:rFonts w:hint="eastAsia" w:ascii="仿宋_GB2312" w:hAnsi="仿宋_GB2312" w:eastAsia="仿宋_GB2312" w:cs="仿宋_GB2312"/>
          <w:color w:val="auto"/>
          <w:sz w:val="32"/>
          <w:szCs w:val="32"/>
          <w:highlight w:val="none"/>
        </w:rPr>
        <w:t>项目</w:t>
      </w:r>
      <w:r>
        <w:rPr>
          <w:rFonts w:hint="eastAsia" w:ascii="仿宋_GB2312" w:hAnsi="仿宋_GB2312" w:eastAsia="仿宋_GB2312" w:cs="仿宋_GB2312"/>
          <w:color w:val="auto"/>
          <w:sz w:val="32"/>
          <w:szCs w:val="32"/>
          <w:highlight w:val="none"/>
          <w:lang w:eastAsia="zh-CN"/>
        </w:rPr>
        <w:t>先行</w:t>
      </w:r>
      <w:r>
        <w:rPr>
          <w:rFonts w:hint="eastAsia" w:ascii="仿宋_GB2312" w:hAnsi="仿宋_GB2312" w:eastAsia="仿宋_GB2312" w:cs="仿宋_GB2312"/>
          <w:color w:val="auto"/>
          <w:sz w:val="32"/>
          <w:szCs w:val="32"/>
          <w:highlight w:val="none"/>
        </w:rPr>
        <w:t>实施的资金投入，能够提供项目实施的配套条件。</w:t>
      </w:r>
    </w:p>
    <w:p w14:paraId="0ABCAF2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华文楷体" w:hAnsi="华文楷体" w:eastAsia="华文楷体" w:cs="华文楷体"/>
          <w:color w:val="auto"/>
          <w:sz w:val="32"/>
          <w:szCs w:val="32"/>
          <w:highlight w:val="none"/>
        </w:rPr>
      </w:pPr>
      <w:r>
        <w:rPr>
          <w:rFonts w:hint="eastAsia" w:ascii="华文楷体" w:hAnsi="华文楷体" w:eastAsia="华文楷体" w:cs="华文楷体"/>
          <w:color w:val="auto"/>
          <w:sz w:val="32"/>
          <w:szCs w:val="32"/>
          <w:highlight w:val="none"/>
        </w:rPr>
        <w:t>（二）揭榜方条件</w:t>
      </w:r>
    </w:p>
    <w:p w14:paraId="6AC187FE">
      <w:pPr>
        <w:keepNext w:val="0"/>
        <w:keepLines w:val="0"/>
        <w:pageBreakBefore w:val="0"/>
        <w:widowControl w:val="0"/>
        <w:kinsoku/>
        <w:wordWrap/>
        <w:overflowPunct/>
        <w:topLinePunct w:val="0"/>
        <w:autoSpaceDE/>
        <w:autoSpaceDN/>
        <w:bidi w:val="0"/>
        <w:adjustRightInd/>
        <w:snapToGrid/>
        <w:spacing w:line="550" w:lineRule="exact"/>
        <w:ind w:left="0" w:leftChars="0" w:firstLine="640" w:firstLineChars="200"/>
        <w:jc w:val="both"/>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企业出题项目揭榜方应是具有法人资格的高校、科研院所、</w:t>
      </w:r>
      <w:r>
        <w:rPr>
          <w:rFonts w:hint="eastAsia" w:ascii="仿宋_GB2312" w:hAnsi="仿宋_GB2312" w:eastAsia="仿宋_GB2312" w:cs="仿宋_GB2312"/>
          <w:color w:val="auto"/>
          <w:sz w:val="32"/>
          <w:szCs w:val="32"/>
          <w:highlight w:val="none"/>
          <w:lang w:eastAsia="zh-CN"/>
        </w:rPr>
        <w:t>医疗机构、</w:t>
      </w:r>
      <w:r>
        <w:rPr>
          <w:rFonts w:hint="eastAsia" w:ascii="仿宋_GB2312" w:hAnsi="仿宋_GB2312" w:eastAsia="仿宋_GB2312" w:cs="仿宋_GB2312"/>
          <w:color w:val="auto"/>
          <w:sz w:val="32"/>
          <w:szCs w:val="32"/>
          <w:highlight w:val="none"/>
        </w:rPr>
        <w:t>企业等，</w:t>
      </w:r>
      <w:r>
        <w:rPr>
          <w:rFonts w:hint="eastAsia" w:ascii="仿宋_GB2312" w:hAnsi="仿宋_GB2312" w:eastAsia="仿宋_GB2312" w:cs="仿宋_GB2312"/>
          <w:color w:val="auto"/>
          <w:sz w:val="32"/>
          <w:szCs w:val="32"/>
          <w:highlight w:val="none"/>
          <w:lang w:eastAsia="zh-CN"/>
        </w:rPr>
        <w:t>同时</w:t>
      </w:r>
      <w:r>
        <w:rPr>
          <w:rFonts w:hint="eastAsia" w:ascii="仿宋_GB2312" w:hAnsi="仿宋_GB2312" w:eastAsia="仿宋_GB2312" w:cs="仿宋_GB2312"/>
          <w:color w:val="auto"/>
          <w:sz w:val="32"/>
          <w:szCs w:val="32"/>
          <w:highlight w:val="none"/>
        </w:rPr>
        <w:t>满足以下条件：</w:t>
      </w:r>
    </w:p>
    <w:p w14:paraId="1BAE37A8">
      <w:pPr>
        <w:keepNext w:val="0"/>
        <w:keepLines w:val="0"/>
        <w:pageBreakBefore w:val="0"/>
        <w:widowControl w:val="0"/>
        <w:kinsoku/>
        <w:wordWrap/>
        <w:overflowPunct/>
        <w:topLinePunct w:val="0"/>
        <w:autoSpaceDE/>
        <w:autoSpaceDN/>
        <w:bidi w:val="0"/>
        <w:adjustRightInd/>
        <w:snapToGrid/>
        <w:spacing w:line="550" w:lineRule="exact"/>
        <w:ind w:left="0" w:leftChars="0" w:firstLine="640" w:firstLineChars="200"/>
        <w:jc w:val="both"/>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val="en-US" w:eastAsia="zh-CN"/>
        </w:rPr>
        <w:t>1.</w:t>
      </w:r>
      <w:r>
        <w:rPr>
          <w:rFonts w:hint="eastAsia" w:ascii="仿宋_GB2312" w:hAnsi="仿宋_GB2312" w:eastAsia="仿宋_GB2312" w:cs="仿宋_GB2312"/>
          <w:color w:val="auto"/>
          <w:sz w:val="32"/>
          <w:szCs w:val="32"/>
          <w:highlight w:val="none"/>
        </w:rPr>
        <w:t>有较强的研发实力、良好的科研条件、稳定的科研人员队伍。</w:t>
      </w:r>
    </w:p>
    <w:p w14:paraId="2445DD35">
      <w:pPr>
        <w:keepNext w:val="0"/>
        <w:keepLines w:val="0"/>
        <w:pageBreakBefore w:val="0"/>
        <w:widowControl w:val="0"/>
        <w:kinsoku/>
        <w:wordWrap/>
        <w:overflowPunct/>
        <w:topLinePunct w:val="0"/>
        <w:autoSpaceDE/>
        <w:autoSpaceDN/>
        <w:bidi w:val="0"/>
        <w:adjustRightInd/>
        <w:snapToGrid/>
        <w:spacing w:line="550" w:lineRule="exact"/>
        <w:ind w:left="0" w:leftChars="0" w:firstLine="640" w:firstLineChars="200"/>
        <w:jc w:val="both"/>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2.</w:t>
      </w:r>
      <w:r>
        <w:rPr>
          <w:rFonts w:hint="eastAsia" w:ascii="华文仿宋" w:hAnsi="华文仿宋" w:eastAsia="华文仿宋" w:cs="华文仿宋"/>
          <w:color w:val="auto"/>
          <w:sz w:val="32"/>
          <w:szCs w:val="32"/>
          <w:highlight w:val="none"/>
        </w:rPr>
        <w:t>具有良好的科研道德和社会诚信，</w:t>
      </w:r>
      <w:r>
        <w:rPr>
          <w:rFonts w:hint="eastAsia" w:ascii="华文仿宋" w:hAnsi="华文仿宋" w:eastAsia="华文仿宋" w:cs="华文仿宋"/>
          <w:color w:val="auto"/>
          <w:sz w:val="32"/>
          <w:szCs w:val="32"/>
          <w:highlight w:val="none"/>
          <w:lang w:eastAsia="zh-CN"/>
        </w:rPr>
        <w:t>不在</w:t>
      </w:r>
      <w:r>
        <w:rPr>
          <w:rFonts w:hint="eastAsia" w:ascii="华文仿宋" w:hAnsi="华文仿宋" w:eastAsia="华文仿宋" w:cs="华文仿宋"/>
          <w:color w:val="auto"/>
          <w:sz w:val="32"/>
          <w:szCs w:val="32"/>
          <w:highlight w:val="none"/>
        </w:rPr>
        <w:t>科技计划项目</w:t>
      </w:r>
      <w:r>
        <w:rPr>
          <w:rFonts w:hint="eastAsia" w:ascii="华文仿宋" w:hAnsi="华文仿宋" w:eastAsia="华文仿宋" w:cs="华文仿宋"/>
          <w:color w:val="auto"/>
          <w:sz w:val="32"/>
          <w:szCs w:val="32"/>
          <w:highlight w:val="none"/>
          <w:lang w:val="en-US" w:eastAsia="zh-CN"/>
        </w:rPr>
        <w:t>申报</w:t>
      </w:r>
      <w:r>
        <w:rPr>
          <w:rFonts w:hint="eastAsia" w:ascii="华文仿宋" w:hAnsi="华文仿宋" w:eastAsia="华文仿宋" w:cs="华文仿宋"/>
          <w:color w:val="auto"/>
          <w:sz w:val="32"/>
          <w:szCs w:val="32"/>
          <w:highlight w:val="none"/>
        </w:rPr>
        <w:t>限制</w:t>
      </w:r>
      <w:r>
        <w:rPr>
          <w:rFonts w:hint="eastAsia" w:ascii="华文仿宋" w:hAnsi="华文仿宋" w:eastAsia="华文仿宋" w:cs="华文仿宋"/>
          <w:color w:val="auto"/>
          <w:sz w:val="32"/>
          <w:szCs w:val="32"/>
          <w:highlight w:val="none"/>
          <w:lang w:val="en-US" w:eastAsia="zh-CN"/>
        </w:rPr>
        <w:t>期内，</w:t>
      </w:r>
      <w:r>
        <w:rPr>
          <w:rFonts w:hint="eastAsia" w:ascii="华文仿宋" w:hAnsi="华文仿宋" w:eastAsia="华文仿宋" w:cs="华文仿宋"/>
          <w:color w:val="auto"/>
          <w:sz w:val="32"/>
          <w:szCs w:val="32"/>
          <w:highlight w:val="none"/>
        </w:rPr>
        <w:t>未被列入</w:t>
      </w:r>
      <w:r>
        <w:rPr>
          <w:rFonts w:hint="eastAsia" w:ascii="华文仿宋" w:hAnsi="华文仿宋" w:eastAsia="华文仿宋" w:cs="华文仿宋"/>
          <w:color w:val="auto"/>
          <w:sz w:val="32"/>
          <w:szCs w:val="32"/>
          <w:highlight w:val="none"/>
          <w:lang w:eastAsia="zh-CN"/>
        </w:rPr>
        <w:t>失信</w:t>
      </w:r>
      <w:r>
        <w:rPr>
          <w:rFonts w:hint="eastAsia" w:ascii="华文仿宋" w:hAnsi="华文仿宋" w:eastAsia="华文仿宋" w:cs="华文仿宋"/>
          <w:color w:val="auto"/>
          <w:sz w:val="32"/>
          <w:szCs w:val="32"/>
          <w:highlight w:val="none"/>
        </w:rPr>
        <w:t>联合惩戒名单。</w:t>
      </w:r>
    </w:p>
    <w:p w14:paraId="7E5CF562">
      <w:pPr>
        <w:keepNext w:val="0"/>
        <w:keepLines w:val="0"/>
        <w:pageBreakBefore w:val="0"/>
        <w:widowControl w:val="0"/>
        <w:kinsoku/>
        <w:wordWrap/>
        <w:overflowPunct/>
        <w:topLinePunct w:val="0"/>
        <w:autoSpaceDE/>
        <w:autoSpaceDN/>
        <w:bidi w:val="0"/>
        <w:adjustRightInd/>
        <w:snapToGrid/>
        <w:spacing w:line="550" w:lineRule="exact"/>
        <w:ind w:left="0" w:leftChars="0" w:firstLine="640" w:firstLineChars="200"/>
        <w:jc w:val="both"/>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val="en-US" w:eastAsia="zh-CN"/>
        </w:rPr>
        <w:t>3.</w:t>
      </w:r>
      <w:r>
        <w:rPr>
          <w:rFonts w:hint="eastAsia" w:ascii="仿宋_GB2312" w:hAnsi="仿宋_GB2312" w:eastAsia="仿宋_GB2312" w:cs="仿宋_GB2312"/>
          <w:color w:val="auto"/>
          <w:sz w:val="32"/>
          <w:szCs w:val="32"/>
          <w:highlight w:val="none"/>
        </w:rPr>
        <w:t>能针对发榜项目需求，提出攻克关键核心技术的可行性方案，掌握自主知识产权</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具有成果转化的技术支撑队伍与相关经验，能协助</w:t>
      </w:r>
      <w:r>
        <w:rPr>
          <w:rFonts w:hint="eastAsia" w:ascii="仿宋_GB2312" w:hAnsi="仿宋_GB2312" w:eastAsia="仿宋_GB2312" w:cs="仿宋_GB2312"/>
          <w:color w:val="auto"/>
          <w:sz w:val="32"/>
          <w:szCs w:val="32"/>
          <w:highlight w:val="none"/>
          <w:lang w:eastAsia="zh-CN"/>
        </w:rPr>
        <w:t>出</w:t>
      </w:r>
      <w:r>
        <w:rPr>
          <w:rFonts w:hint="eastAsia" w:ascii="仿宋_GB2312" w:hAnsi="仿宋_GB2312" w:eastAsia="仿宋_GB2312" w:cs="仿宋_GB2312"/>
          <w:color w:val="auto"/>
          <w:sz w:val="32"/>
          <w:szCs w:val="32"/>
          <w:highlight w:val="none"/>
        </w:rPr>
        <w:t>榜方完成技术应用落地实施。</w:t>
      </w:r>
    </w:p>
    <w:p w14:paraId="0E3D4350">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华文仿宋" w:hAnsi="华文仿宋" w:eastAsia="仿宋_GB2312" w:cs="华文仿宋"/>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4.</w:t>
      </w:r>
      <w:r>
        <w:rPr>
          <w:rFonts w:hint="eastAsia" w:ascii="仿宋_GB2312" w:hAnsi="仿宋_GB2312" w:eastAsia="仿宋_GB2312" w:cs="仿宋_GB2312"/>
          <w:color w:val="auto"/>
          <w:sz w:val="32"/>
          <w:szCs w:val="32"/>
          <w:highlight w:val="none"/>
        </w:rPr>
        <w:t>揭榜方与技术需求企业无隶属或股权等关联关系</w:t>
      </w:r>
      <w:r>
        <w:rPr>
          <w:rFonts w:hint="eastAsia" w:ascii="仿宋_GB2312" w:hAnsi="仿宋_GB2312" w:eastAsia="仿宋_GB2312" w:cs="仿宋_GB2312"/>
          <w:color w:val="auto"/>
          <w:sz w:val="32"/>
          <w:szCs w:val="32"/>
          <w:highlight w:val="none"/>
          <w:lang w:eastAsia="zh-CN"/>
        </w:rPr>
        <w:t>。</w:t>
      </w:r>
    </w:p>
    <w:p w14:paraId="2ACDA46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华文楷体" w:hAnsi="华文楷体" w:eastAsia="华文楷体" w:cs="华文楷体"/>
          <w:color w:val="auto"/>
          <w:sz w:val="32"/>
          <w:szCs w:val="32"/>
          <w:highlight w:val="none"/>
          <w:lang w:val="en-US" w:eastAsia="zh-CN"/>
        </w:rPr>
      </w:pPr>
      <w:r>
        <w:rPr>
          <w:rFonts w:hint="eastAsia" w:ascii="华文楷体" w:hAnsi="华文楷体" w:eastAsia="华文楷体" w:cs="华文楷体"/>
          <w:color w:val="auto"/>
          <w:sz w:val="32"/>
          <w:szCs w:val="32"/>
          <w:highlight w:val="none"/>
          <w:lang w:val="en-US" w:eastAsia="zh-CN"/>
        </w:rPr>
        <w:t>（三）揭榜对接</w:t>
      </w:r>
    </w:p>
    <w:p w14:paraId="2E4EDB4F">
      <w:pPr>
        <w:keepNext w:val="0"/>
        <w:keepLines w:val="0"/>
        <w:pageBreakBefore w:val="0"/>
        <w:widowControl w:val="0"/>
        <w:suppressLineNumbers w:val="0"/>
        <w:kinsoku/>
        <w:wordWrap/>
        <w:overflowPunct/>
        <w:topLinePunct w:val="0"/>
        <w:autoSpaceDE/>
        <w:autoSpaceDN/>
        <w:bidi w:val="0"/>
        <w:adjustRightInd/>
        <w:snapToGrid/>
        <w:spacing w:line="550" w:lineRule="exact"/>
        <w:ind w:left="0" w:leftChars="0" w:firstLine="640" w:firstLineChars="200"/>
        <w:jc w:val="both"/>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1.</w:t>
      </w:r>
      <w:r>
        <w:rPr>
          <w:rFonts w:hint="eastAsia" w:ascii="仿宋_GB2312" w:hAnsi="仿宋_GB2312" w:eastAsia="仿宋_GB2312" w:cs="仿宋_GB2312"/>
          <w:color w:val="auto"/>
          <w:kern w:val="0"/>
          <w:sz w:val="32"/>
          <w:szCs w:val="32"/>
          <w:highlight w:val="none"/>
          <w:lang w:val="en-US" w:eastAsia="zh-CN" w:bidi="ar"/>
        </w:rPr>
        <w:t>有意向的揭榜方与出榜企业对接洽谈，制定技术攻关可行性方案，达成共识后签署技术合同，并完成技术合同</w:t>
      </w:r>
      <w:r>
        <w:rPr>
          <w:rFonts w:hint="eastAsia" w:ascii="仿宋_GB2312" w:hAnsi="仿宋_GB2312" w:eastAsia="仿宋_GB2312" w:cs="仿宋_GB2312"/>
          <w:color w:val="auto"/>
          <w:sz w:val="32"/>
          <w:szCs w:val="32"/>
          <w:highlight w:val="none"/>
          <w:lang w:val="en-US" w:eastAsia="zh-CN"/>
        </w:rPr>
        <w:t>登记备案。</w:t>
      </w:r>
    </w:p>
    <w:p w14:paraId="7CD1A38E">
      <w:pPr>
        <w:keepNext w:val="0"/>
        <w:keepLines w:val="0"/>
        <w:pageBreakBefore w:val="0"/>
        <w:widowControl w:val="0"/>
        <w:suppressLineNumbers w:val="0"/>
        <w:kinsoku/>
        <w:wordWrap/>
        <w:overflowPunct/>
        <w:topLinePunct w:val="0"/>
        <w:autoSpaceDE/>
        <w:autoSpaceDN/>
        <w:bidi w:val="0"/>
        <w:adjustRightInd/>
        <w:snapToGrid/>
        <w:spacing w:line="550" w:lineRule="exact"/>
        <w:ind w:left="0" w:leftChars="0" w:firstLine="640" w:firstLineChars="200"/>
        <w:jc w:val="both"/>
        <w:textAlignment w:val="auto"/>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lang w:val="en-US" w:eastAsia="zh-CN"/>
        </w:rPr>
        <w:t>2.</w:t>
      </w:r>
      <w:r>
        <w:rPr>
          <w:rFonts w:hint="eastAsia" w:ascii="仿宋_GB2312" w:hAnsi="仿宋_GB2312" w:eastAsia="仿宋_GB2312" w:cs="仿宋_GB2312"/>
          <w:color w:val="auto"/>
          <w:sz w:val="32"/>
          <w:szCs w:val="32"/>
          <w:highlight w:val="none"/>
          <w:lang w:eastAsia="zh-CN"/>
        </w:rPr>
        <w:t>由出榜企业在线填报项目申报书，上传技术合同等相关附件材料，并对材料真实性、合规性负责。</w:t>
      </w:r>
    </w:p>
    <w:p w14:paraId="3D3F0BA2">
      <w:pPr>
        <w:keepNext w:val="0"/>
        <w:keepLines w:val="0"/>
        <w:pageBreakBefore w:val="0"/>
        <w:widowControl w:val="0"/>
        <w:suppressLineNumbers w:val="0"/>
        <w:kinsoku/>
        <w:wordWrap/>
        <w:overflowPunct/>
        <w:topLinePunct w:val="0"/>
        <w:autoSpaceDE/>
        <w:autoSpaceDN/>
        <w:bidi w:val="0"/>
        <w:adjustRightInd/>
        <w:snapToGrid/>
        <w:spacing w:line="550" w:lineRule="exact"/>
        <w:ind w:left="0" w:leftChars="0" w:firstLine="640" w:firstLineChars="200"/>
        <w:jc w:val="both"/>
        <w:textAlignment w:val="auto"/>
        <w:rPr>
          <w:rFonts w:hint="default"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3.建有劳模创新工作室的揭榜主体承接企业技术难题的，工会协助双方开展洽谈、技术合同备案等。</w:t>
      </w:r>
    </w:p>
    <w:p w14:paraId="642703E0">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华文楷体" w:hAnsi="华文楷体" w:eastAsia="华文楷体" w:cs="华文楷体"/>
          <w:color w:val="auto"/>
          <w:sz w:val="32"/>
          <w:szCs w:val="32"/>
          <w:highlight w:val="none"/>
          <w:lang w:eastAsia="zh-CN"/>
        </w:rPr>
      </w:pPr>
      <w:r>
        <w:rPr>
          <w:rFonts w:hint="eastAsia" w:ascii="华文楷体" w:hAnsi="华文楷体" w:eastAsia="华文楷体" w:cs="华文楷体"/>
          <w:color w:val="auto"/>
          <w:sz w:val="32"/>
          <w:szCs w:val="32"/>
          <w:highlight w:val="none"/>
        </w:rPr>
        <w:t>（</w:t>
      </w:r>
      <w:r>
        <w:rPr>
          <w:rFonts w:hint="eastAsia" w:ascii="华文楷体" w:hAnsi="华文楷体" w:eastAsia="华文楷体" w:cs="华文楷体"/>
          <w:color w:val="auto"/>
          <w:sz w:val="32"/>
          <w:szCs w:val="32"/>
          <w:highlight w:val="none"/>
          <w:lang w:eastAsia="zh-CN"/>
        </w:rPr>
        <w:t>四</w:t>
      </w:r>
      <w:r>
        <w:rPr>
          <w:rFonts w:hint="eastAsia" w:ascii="华文楷体" w:hAnsi="华文楷体" w:eastAsia="华文楷体" w:cs="华文楷体"/>
          <w:color w:val="auto"/>
          <w:sz w:val="32"/>
          <w:szCs w:val="32"/>
          <w:highlight w:val="none"/>
        </w:rPr>
        <w:t>）</w:t>
      </w:r>
      <w:r>
        <w:rPr>
          <w:rFonts w:hint="eastAsia" w:ascii="华文楷体" w:hAnsi="华文楷体" w:eastAsia="华文楷体" w:cs="华文楷体"/>
          <w:color w:val="auto"/>
          <w:sz w:val="32"/>
          <w:szCs w:val="32"/>
          <w:highlight w:val="none"/>
          <w:lang w:eastAsia="zh-CN"/>
        </w:rPr>
        <w:t>实施周期</w:t>
      </w:r>
      <w:r>
        <w:rPr>
          <w:rFonts w:hint="eastAsia" w:ascii="华文楷体" w:hAnsi="华文楷体" w:eastAsia="华文楷体" w:cs="华文楷体"/>
          <w:color w:val="auto"/>
          <w:sz w:val="32"/>
          <w:szCs w:val="32"/>
          <w:highlight w:val="none"/>
        </w:rPr>
        <w:t>与资金</w:t>
      </w:r>
      <w:r>
        <w:rPr>
          <w:rFonts w:hint="eastAsia" w:ascii="华文楷体" w:hAnsi="华文楷体" w:eastAsia="华文楷体" w:cs="华文楷体"/>
          <w:color w:val="auto"/>
          <w:sz w:val="32"/>
          <w:szCs w:val="32"/>
          <w:highlight w:val="none"/>
          <w:lang w:eastAsia="zh-CN"/>
        </w:rPr>
        <w:t>要求</w:t>
      </w:r>
    </w:p>
    <w:p w14:paraId="5492CD5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华文仿宋" w:hAnsi="华文仿宋" w:eastAsia="华文仿宋" w:cs="华文仿宋"/>
          <w:color w:val="auto"/>
          <w:sz w:val="32"/>
          <w:szCs w:val="32"/>
          <w:highlight w:val="none"/>
          <w:lang w:val="en-US" w:eastAsia="zh-CN"/>
        </w:rPr>
      </w:pPr>
      <w:r>
        <w:rPr>
          <w:rFonts w:hint="eastAsia" w:ascii="华文仿宋" w:hAnsi="华文仿宋" w:eastAsia="华文仿宋" w:cs="华文仿宋"/>
          <w:color w:val="auto"/>
          <w:sz w:val="32"/>
          <w:szCs w:val="32"/>
          <w:highlight w:val="none"/>
          <w:lang w:val="en-US" w:eastAsia="zh-CN"/>
        </w:rPr>
        <w:t>1.项目研发投入不低于100万元，</w:t>
      </w:r>
      <w:r>
        <w:rPr>
          <w:rFonts w:hint="eastAsia" w:ascii="华文仿宋" w:hAnsi="华文仿宋" w:eastAsia="华文仿宋" w:cs="华文仿宋"/>
          <w:color w:val="auto"/>
          <w:sz w:val="32"/>
          <w:szCs w:val="32"/>
          <w:highlight w:val="none"/>
        </w:rPr>
        <w:t>实施周期不超过2年，</w:t>
      </w:r>
      <w:r>
        <w:rPr>
          <w:rFonts w:hint="eastAsia" w:ascii="仿宋_GB2312" w:hAnsi="仿宋_GB2312" w:eastAsia="仿宋_GB2312" w:cs="仿宋_GB2312"/>
          <w:color w:val="auto"/>
          <w:sz w:val="32"/>
          <w:szCs w:val="32"/>
          <w:highlight w:val="none"/>
          <w:lang w:eastAsia="zh-CN"/>
        </w:rPr>
        <w:t>项目验收通过后择优</w:t>
      </w:r>
      <w:r>
        <w:rPr>
          <w:rFonts w:hint="eastAsia" w:ascii="仿宋_GB2312" w:hAnsi="仿宋_GB2312" w:eastAsia="仿宋_GB2312" w:cs="仿宋_GB2312"/>
          <w:color w:val="auto"/>
          <w:sz w:val="32"/>
          <w:szCs w:val="32"/>
          <w:highlight w:val="none"/>
        </w:rPr>
        <w:t>给予</w:t>
      </w:r>
      <w:r>
        <w:rPr>
          <w:rFonts w:hint="eastAsia" w:ascii="仿宋_GB2312" w:hAnsi="仿宋_GB2312" w:eastAsia="仿宋_GB2312" w:cs="仿宋_GB2312"/>
          <w:color w:val="auto"/>
          <w:sz w:val="32"/>
          <w:szCs w:val="32"/>
          <w:highlight w:val="none"/>
          <w:lang w:eastAsia="zh-CN"/>
        </w:rPr>
        <w:t>支持，支持比例最高不超过出榜方实际支付揭榜攻关金额的50%</w:t>
      </w:r>
      <w:r>
        <w:rPr>
          <w:rFonts w:hint="eastAsia" w:ascii="华文仿宋" w:hAnsi="华文仿宋" w:eastAsia="华文仿宋" w:cs="华文仿宋"/>
          <w:color w:val="auto"/>
          <w:sz w:val="32"/>
          <w:szCs w:val="32"/>
          <w:highlight w:val="none"/>
          <w:lang w:val="en-US" w:eastAsia="zh-CN"/>
        </w:rPr>
        <w:t>。</w:t>
      </w:r>
    </w:p>
    <w:p w14:paraId="72EEE3E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华文仿宋" w:hAnsi="华文仿宋" w:eastAsia="华文仿宋" w:cs="华文仿宋"/>
          <w:color w:val="auto"/>
          <w:sz w:val="32"/>
          <w:szCs w:val="32"/>
          <w:highlight w:val="none"/>
          <w:lang w:eastAsia="zh-CN"/>
        </w:rPr>
      </w:pPr>
      <w:r>
        <w:rPr>
          <w:rFonts w:hint="eastAsia" w:ascii="华文仿宋" w:hAnsi="华文仿宋" w:eastAsia="华文仿宋" w:cs="华文仿宋"/>
          <w:color w:val="auto"/>
          <w:sz w:val="32"/>
          <w:szCs w:val="32"/>
          <w:highlight w:val="none"/>
          <w:lang w:val="en-US" w:eastAsia="zh-CN"/>
        </w:rPr>
        <w:t>2.</w:t>
      </w:r>
      <w:r>
        <w:rPr>
          <w:rFonts w:hint="eastAsia" w:ascii="华文仿宋" w:hAnsi="华文仿宋" w:eastAsia="华文仿宋" w:cs="华文仿宋"/>
          <w:color w:val="auto"/>
          <w:sz w:val="32"/>
          <w:szCs w:val="32"/>
          <w:highlight w:val="none"/>
        </w:rPr>
        <w:t>同一技术难题不得分拆、重复申报</w:t>
      </w:r>
      <w:r>
        <w:rPr>
          <w:rFonts w:hint="eastAsia" w:ascii="华文仿宋" w:hAnsi="华文仿宋" w:eastAsia="华文仿宋" w:cs="华文仿宋"/>
          <w:color w:val="auto"/>
          <w:sz w:val="32"/>
          <w:szCs w:val="32"/>
          <w:highlight w:val="none"/>
          <w:lang w:eastAsia="zh-CN"/>
        </w:rPr>
        <w:t>。</w:t>
      </w:r>
    </w:p>
    <w:p w14:paraId="20EB16B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华文仿宋" w:hAnsi="华文仿宋" w:eastAsia="华文仿宋" w:cs="华文仿宋"/>
          <w:color w:val="auto"/>
          <w:sz w:val="32"/>
          <w:szCs w:val="32"/>
          <w:highlight w:val="none"/>
          <w:lang w:val="en-US" w:eastAsia="zh-CN"/>
        </w:rPr>
      </w:pPr>
      <w:r>
        <w:rPr>
          <w:rFonts w:hint="eastAsia" w:ascii="华文仿宋" w:hAnsi="华文仿宋" w:eastAsia="华文仿宋" w:cs="华文仿宋"/>
          <w:color w:val="auto"/>
          <w:sz w:val="32"/>
          <w:szCs w:val="32"/>
          <w:highlight w:val="none"/>
          <w:lang w:val="en-US" w:eastAsia="zh-CN"/>
        </w:rPr>
        <w:t>3.</w:t>
      </w:r>
      <w:r>
        <w:rPr>
          <w:rFonts w:hint="eastAsia" w:ascii="仿宋_GB2312" w:hAnsi="仿宋_GB2312" w:eastAsia="仿宋_GB2312" w:cs="仿宋_GB2312"/>
          <w:color w:val="auto"/>
          <w:sz w:val="32"/>
          <w:szCs w:val="32"/>
          <w:highlight w:val="none"/>
          <w:lang w:val="en-US" w:eastAsia="zh-CN"/>
        </w:rPr>
        <w:t>已规范化建会、设立劳模创新工作室的出榜企业，通过劳模助企行梳理形成技术需求榜单，且获得立项落地的，市总</w:t>
      </w:r>
      <w:r>
        <w:rPr>
          <w:rFonts w:hint="eastAsia" w:ascii="华文仿宋" w:hAnsi="华文仿宋" w:eastAsia="华文仿宋" w:cs="华文仿宋"/>
          <w:color w:val="auto"/>
          <w:sz w:val="32"/>
          <w:szCs w:val="32"/>
          <w:highlight w:val="none"/>
          <w:lang w:val="en-US" w:eastAsia="zh-CN"/>
        </w:rPr>
        <w:t>工会择优同步配套职工创新专项扶持资金。</w:t>
      </w:r>
    </w:p>
    <w:p w14:paraId="0150024E">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华文仿宋" w:hAnsi="华文仿宋" w:eastAsia="华文仿宋" w:cs="华文仿宋"/>
          <w:color w:val="auto"/>
          <w:sz w:val="32"/>
          <w:szCs w:val="32"/>
          <w:highlight w:val="none"/>
          <w:lang w:val="en-US" w:eastAsia="zh-CN"/>
        </w:rPr>
      </w:pPr>
    </w:p>
    <w:p w14:paraId="42EB59EE">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华文楷体" w:hAnsi="华文楷体" w:eastAsia="华文楷体" w:cs="华文楷体"/>
          <w:color w:val="auto"/>
          <w:sz w:val="32"/>
          <w:szCs w:val="32"/>
          <w:highlight w:val="none"/>
        </w:rPr>
      </w:pPr>
      <w:r>
        <w:rPr>
          <w:rFonts w:hint="eastAsia" w:ascii="华文楷体" w:hAnsi="华文楷体" w:eastAsia="华文楷体" w:cs="华文楷体"/>
          <w:color w:val="auto"/>
          <w:sz w:val="32"/>
          <w:szCs w:val="32"/>
          <w:highlight w:val="none"/>
        </w:rPr>
        <w:t>（</w:t>
      </w:r>
      <w:r>
        <w:rPr>
          <w:rFonts w:hint="eastAsia" w:ascii="华文楷体" w:hAnsi="华文楷体" w:eastAsia="华文楷体" w:cs="华文楷体"/>
          <w:color w:val="auto"/>
          <w:sz w:val="32"/>
          <w:szCs w:val="32"/>
          <w:highlight w:val="none"/>
          <w:lang w:eastAsia="zh-CN"/>
        </w:rPr>
        <w:t>五</w:t>
      </w:r>
      <w:r>
        <w:rPr>
          <w:rFonts w:hint="eastAsia" w:ascii="华文楷体" w:hAnsi="华文楷体" w:eastAsia="华文楷体" w:cs="华文楷体"/>
          <w:color w:val="auto"/>
          <w:sz w:val="32"/>
          <w:szCs w:val="32"/>
          <w:highlight w:val="none"/>
        </w:rPr>
        <w:t>）负责人与诚信要求</w:t>
      </w:r>
    </w:p>
    <w:p w14:paraId="19C9B8BF">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华文仿宋" w:hAnsi="华文仿宋" w:eastAsia="华文仿宋" w:cs="华文仿宋"/>
          <w:color w:val="auto"/>
          <w:sz w:val="32"/>
          <w:szCs w:val="32"/>
          <w:highlight w:val="none"/>
        </w:rPr>
      </w:pPr>
      <w:r>
        <w:rPr>
          <w:rFonts w:hint="eastAsia" w:ascii="华文仿宋" w:hAnsi="华文仿宋" w:eastAsia="华文仿宋" w:cs="华文仿宋"/>
          <w:color w:val="auto"/>
          <w:sz w:val="32"/>
          <w:szCs w:val="32"/>
          <w:highlight w:val="none"/>
          <w:lang w:val="en-US" w:eastAsia="zh-CN"/>
        </w:rPr>
        <w:t>1.</w:t>
      </w:r>
      <w:r>
        <w:rPr>
          <w:rFonts w:hint="eastAsia" w:ascii="华文仿宋" w:hAnsi="华文仿宋" w:eastAsia="华文仿宋" w:cs="华文仿宋"/>
          <w:color w:val="auto"/>
          <w:sz w:val="32"/>
          <w:szCs w:val="32"/>
          <w:highlight w:val="none"/>
        </w:rPr>
        <w:t>揭榜方项目负责人年龄不超60周岁</w:t>
      </w:r>
      <w:r>
        <w:rPr>
          <w:rFonts w:hint="eastAsia" w:ascii="华文仿宋" w:hAnsi="华文仿宋" w:eastAsia="华文仿宋" w:cs="华文仿宋"/>
          <w:color w:val="auto"/>
          <w:sz w:val="32"/>
          <w:szCs w:val="32"/>
          <w:highlight w:val="none"/>
          <w:lang w:eastAsia="zh-CN"/>
        </w:rPr>
        <w:t>（按申报通知发布之日算起）</w:t>
      </w:r>
      <w:r>
        <w:rPr>
          <w:rFonts w:hint="eastAsia" w:ascii="华文仿宋" w:hAnsi="华文仿宋" w:eastAsia="华文仿宋" w:cs="华文仿宋"/>
          <w:color w:val="auto"/>
          <w:sz w:val="32"/>
          <w:szCs w:val="32"/>
          <w:highlight w:val="none"/>
        </w:rPr>
        <w:t>，</w:t>
      </w:r>
      <w:r>
        <w:rPr>
          <w:rFonts w:hint="eastAsia" w:ascii="华文仿宋" w:hAnsi="华文仿宋" w:eastAsia="华文仿宋" w:cs="华文仿宋"/>
          <w:color w:val="auto"/>
          <w:sz w:val="32"/>
          <w:szCs w:val="32"/>
          <w:highlight w:val="none"/>
          <w:lang w:val="en-US" w:eastAsia="zh-CN"/>
        </w:rPr>
        <w:t>是本单位在职或专职聘用人员，</w:t>
      </w:r>
      <w:r>
        <w:rPr>
          <w:rFonts w:hint="eastAsia" w:ascii="仿宋_GB2312" w:hAnsi="仿宋_GB2312" w:eastAsia="仿宋_GB2312" w:cs="仿宋_GB2312"/>
          <w:color w:val="auto"/>
          <w:sz w:val="32"/>
          <w:szCs w:val="32"/>
          <w:highlight w:val="none"/>
        </w:rPr>
        <w:t>每年用于</w:t>
      </w:r>
      <w:r>
        <w:rPr>
          <w:rFonts w:hint="eastAsia" w:ascii="仿宋_GB2312" w:hAnsi="仿宋_GB2312" w:eastAsia="仿宋_GB2312" w:cs="仿宋_GB2312"/>
          <w:color w:val="auto"/>
          <w:sz w:val="32"/>
          <w:szCs w:val="32"/>
          <w:highlight w:val="none"/>
          <w:lang w:eastAsia="zh-CN"/>
        </w:rPr>
        <w:t>本</w:t>
      </w:r>
      <w:r>
        <w:rPr>
          <w:rFonts w:hint="eastAsia" w:ascii="仿宋_GB2312" w:hAnsi="仿宋_GB2312" w:eastAsia="仿宋_GB2312" w:cs="仿宋_GB2312"/>
          <w:color w:val="auto"/>
          <w:sz w:val="32"/>
          <w:szCs w:val="32"/>
          <w:highlight w:val="none"/>
        </w:rPr>
        <w:t>项目的工作时间不得少于6个月</w:t>
      </w:r>
      <w:r>
        <w:rPr>
          <w:rFonts w:hint="eastAsia" w:ascii="华文仿宋" w:hAnsi="华文仿宋" w:eastAsia="华文仿宋" w:cs="华文仿宋"/>
          <w:color w:val="auto"/>
          <w:sz w:val="32"/>
          <w:szCs w:val="32"/>
          <w:highlight w:val="none"/>
        </w:rPr>
        <w:t>，无在研逾期市级财政项目。</w:t>
      </w:r>
    </w:p>
    <w:p w14:paraId="5866D4C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华文仿宋" w:hAnsi="华文仿宋" w:eastAsia="华文仿宋" w:cs="华文仿宋"/>
          <w:color w:val="auto"/>
          <w:sz w:val="32"/>
          <w:szCs w:val="32"/>
          <w:highlight w:val="none"/>
          <w:lang w:val="en-US" w:eastAsia="zh-CN"/>
        </w:rPr>
        <w:t>2.出榜</w:t>
      </w:r>
      <w:r>
        <w:rPr>
          <w:rFonts w:hint="eastAsia" w:ascii="华文仿宋" w:hAnsi="华文仿宋" w:eastAsia="华文仿宋" w:cs="华文仿宋"/>
          <w:color w:val="auto"/>
          <w:sz w:val="32"/>
          <w:szCs w:val="32"/>
          <w:highlight w:val="none"/>
        </w:rPr>
        <w:t>企业、揭榜单位</w:t>
      </w:r>
      <w:r>
        <w:rPr>
          <w:rFonts w:hint="eastAsia" w:ascii="仿宋_GB2312" w:hAnsi="仿宋_GB2312" w:eastAsia="仿宋_GB2312" w:cs="仿宋_GB2312"/>
          <w:color w:val="auto"/>
          <w:sz w:val="32"/>
          <w:szCs w:val="32"/>
          <w:highlight w:val="none"/>
        </w:rPr>
        <w:t>加强项目审核</w:t>
      </w:r>
      <w:r>
        <w:rPr>
          <w:rFonts w:hint="eastAsia" w:ascii="仿宋_GB2312" w:hAnsi="仿宋_GB2312" w:eastAsia="仿宋_GB2312" w:cs="仿宋_GB2312"/>
          <w:color w:val="auto"/>
          <w:sz w:val="32"/>
          <w:szCs w:val="32"/>
          <w:highlight w:val="none"/>
          <w:lang w:eastAsia="zh-CN"/>
        </w:rPr>
        <w:t>，</w:t>
      </w:r>
      <w:r>
        <w:rPr>
          <w:rFonts w:hint="eastAsia" w:ascii="华文仿宋" w:hAnsi="华文仿宋" w:eastAsia="华文仿宋" w:cs="华文仿宋"/>
          <w:color w:val="auto"/>
          <w:sz w:val="32"/>
          <w:szCs w:val="32"/>
          <w:highlight w:val="none"/>
        </w:rPr>
        <w:t>全面开展科研诚信、科技伦理自查，杜绝虚假出题、空转攻关</w:t>
      </w:r>
      <w:r>
        <w:rPr>
          <w:rFonts w:hint="eastAsia" w:ascii="华文仿宋" w:hAnsi="华文仿宋" w:eastAsia="华文仿宋" w:cs="华文仿宋"/>
          <w:color w:val="auto"/>
          <w:sz w:val="32"/>
          <w:szCs w:val="32"/>
          <w:highlight w:val="none"/>
          <w:lang w:eastAsia="zh-CN"/>
        </w:rPr>
        <w:t>。</w:t>
      </w:r>
      <w:r>
        <w:rPr>
          <w:rFonts w:hint="eastAsia" w:ascii="仿宋_GB2312" w:hAnsi="仿宋_GB2312" w:eastAsia="仿宋_GB2312" w:cs="仿宋_GB2312"/>
          <w:color w:val="auto"/>
          <w:sz w:val="32"/>
          <w:szCs w:val="32"/>
          <w:highlight w:val="none"/>
        </w:rPr>
        <w:t>同一</w:t>
      </w:r>
      <w:r>
        <w:rPr>
          <w:rFonts w:hint="eastAsia" w:ascii="仿宋_GB2312" w:hAnsi="仿宋_GB2312" w:eastAsia="仿宋_GB2312" w:cs="仿宋_GB2312"/>
          <w:color w:val="auto"/>
          <w:sz w:val="32"/>
          <w:szCs w:val="32"/>
          <w:highlight w:val="none"/>
          <w:lang w:eastAsia="zh-CN"/>
        </w:rPr>
        <w:t>研发内容</w:t>
      </w:r>
      <w:r>
        <w:rPr>
          <w:rFonts w:hint="eastAsia" w:ascii="仿宋_GB2312" w:hAnsi="仿宋_GB2312" w:eastAsia="仿宋_GB2312" w:cs="仿宋_GB2312"/>
          <w:color w:val="auto"/>
          <w:sz w:val="32"/>
          <w:szCs w:val="32"/>
          <w:highlight w:val="none"/>
        </w:rPr>
        <w:t>已获得</w:t>
      </w:r>
      <w:r>
        <w:rPr>
          <w:rFonts w:hint="eastAsia" w:ascii="华文仿宋" w:hAnsi="华文仿宋" w:eastAsia="华文仿宋" w:cs="华文仿宋"/>
          <w:color w:val="auto"/>
          <w:sz w:val="32"/>
          <w:szCs w:val="32"/>
          <w:highlight w:val="none"/>
        </w:rPr>
        <w:t>市级及以上</w:t>
      </w:r>
      <w:r>
        <w:rPr>
          <w:rFonts w:hint="eastAsia" w:ascii="仿宋_GB2312" w:hAnsi="仿宋_GB2312" w:eastAsia="仿宋_GB2312" w:cs="仿宋_GB2312"/>
          <w:color w:val="auto"/>
          <w:sz w:val="32"/>
          <w:szCs w:val="32"/>
          <w:highlight w:val="none"/>
        </w:rPr>
        <w:t>财政资金支持的，严禁重复或变相重复申</w:t>
      </w:r>
      <w:r>
        <w:rPr>
          <w:rFonts w:hint="eastAsia" w:ascii="仿宋_GB2312" w:hAnsi="仿宋_GB2312" w:eastAsia="仿宋_GB2312" w:cs="仿宋_GB2312"/>
          <w:color w:val="auto"/>
          <w:sz w:val="32"/>
          <w:szCs w:val="32"/>
          <w:highlight w:val="none"/>
          <w:lang w:eastAsia="zh-CN"/>
        </w:rPr>
        <w:t>报</w:t>
      </w:r>
      <w:r>
        <w:rPr>
          <w:rFonts w:hint="eastAsia" w:ascii="仿宋_GB2312" w:hAnsi="仿宋_GB2312" w:eastAsia="仿宋_GB2312" w:cs="仿宋_GB2312"/>
          <w:color w:val="auto"/>
          <w:sz w:val="32"/>
          <w:szCs w:val="32"/>
          <w:highlight w:val="none"/>
        </w:rPr>
        <w:t>。</w:t>
      </w:r>
    </w:p>
    <w:p w14:paraId="398DF91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黑体_GBK" w:hAnsi="方正黑体_GBK" w:eastAsia="方正黑体_GBK" w:cs="方正黑体_GBK"/>
          <w:color w:val="auto"/>
          <w:sz w:val="32"/>
          <w:szCs w:val="32"/>
          <w:highlight w:val="none"/>
        </w:rPr>
      </w:pPr>
      <w:r>
        <w:rPr>
          <w:rFonts w:hint="eastAsia" w:ascii="方正黑体_GBK" w:hAnsi="方正黑体_GBK" w:eastAsia="方正黑体_GBK" w:cs="方正黑体_GBK"/>
          <w:color w:val="auto"/>
          <w:sz w:val="32"/>
          <w:szCs w:val="32"/>
          <w:highlight w:val="none"/>
          <w:lang w:eastAsia="zh-CN"/>
        </w:rPr>
        <w:t>二</w:t>
      </w:r>
      <w:r>
        <w:rPr>
          <w:rFonts w:hint="eastAsia" w:ascii="方正黑体_GBK" w:hAnsi="方正黑体_GBK" w:eastAsia="方正黑体_GBK" w:cs="方正黑体_GBK"/>
          <w:color w:val="auto"/>
          <w:sz w:val="32"/>
          <w:szCs w:val="32"/>
          <w:highlight w:val="none"/>
        </w:rPr>
        <w:t>、申报程序</w:t>
      </w:r>
    </w:p>
    <w:p w14:paraId="43B7BD5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项目申报人、项目申报单位登录系统进行申报或审核。</w:t>
      </w:r>
    </w:p>
    <w:p w14:paraId="11856A5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lang w:val="en-US" w:eastAsia="zh-CN"/>
        </w:rPr>
      </w:pPr>
      <w:r>
        <w:rPr>
          <w:rFonts w:hint="eastAsia" w:ascii="华文楷体" w:hAnsi="华文楷体" w:eastAsia="华文楷体" w:cs="华文楷体"/>
          <w:color w:val="auto"/>
          <w:sz w:val="32"/>
          <w:szCs w:val="32"/>
          <w:highlight w:val="none"/>
          <w:lang w:val="en-US" w:eastAsia="zh-CN"/>
        </w:rPr>
        <w:t>（一）账号注册认证</w:t>
      </w:r>
      <w:r>
        <w:rPr>
          <w:rFonts w:hint="default" w:ascii="仿宋_GB2312" w:hAnsi="仿宋_GB2312" w:eastAsia="仿宋_GB2312" w:cs="仿宋_GB2312"/>
          <w:color w:val="auto"/>
          <w:sz w:val="32"/>
          <w:szCs w:val="32"/>
          <w:highlight w:val="none"/>
          <w:lang w:val="en-US" w:eastAsia="zh-CN"/>
        </w:rPr>
        <w:br w:type="textWrapping"/>
      </w:r>
      <w:r>
        <w:rPr>
          <w:rFonts w:hint="eastAsia" w:ascii="仿宋_GB2312" w:hAnsi="仿宋_GB2312" w:eastAsia="仿宋_GB2312" w:cs="仿宋_GB2312"/>
          <w:color w:val="auto"/>
          <w:sz w:val="32"/>
          <w:szCs w:val="32"/>
          <w:highlight w:val="none"/>
          <w:lang w:val="en-US" w:eastAsia="zh-CN"/>
        </w:rPr>
        <w:t>已注册账号的单位，</w:t>
      </w:r>
      <w:r>
        <w:rPr>
          <w:rFonts w:hint="default" w:ascii="仿宋_GB2312" w:hAnsi="仿宋_GB2312" w:eastAsia="仿宋_GB2312" w:cs="仿宋_GB2312"/>
          <w:color w:val="auto"/>
          <w:sz w:val="32"/>
          <w:szCs w:val="32"/>
          <w:highlight w:val="none"/>
          <w:lang w:val="en-US" w:eastAsia="zh-CN"/>
        </w:rPr>
        <w:t>登录郑州市科学技术局官网（</w:t>
      </w:r>
      <w:r>
        <w:rPr>
          <w:rFonts w:hint="default" w:ascii="仿宋_GB2312" w:hAnsi="仿宋_GB2312" w:eastAsia="仿宋_GB2312" w:cs="仿宋_GB2312"/>
          <w:color w:val="auto"/>
          <w:sz w:val="32"/>
          <w:szCs w:val="32"/>
          <w:highlight w:val="none"/>
          <w:lang w:val="en-US" w:eastAsia="zh-CN"/>
        </w:rPr>
        <w:fldChar w:fldCharType="begin"/>
      </w:r>
      <w:r>
        <w:rPr>
          <w:rFonts w:hint="default" w:ascii="仿宋_GB2312" w:hAnsi="仿宋_GB2312" w:eastAsia="仿宋_GB2312" w:cs="仿宋_GB2312"/>
          <w:color w:val="auto"/>
          <w:sz w:val="32"/>
          <w:szCs w:val="32"/>
          <w:highlight w:val="none"/>
          <w:lang w:val="en-US" w:eastAsia="zh-CN"/>
        </w:rPr>
        <w:instrText xml:space="preserve">HYPERLINK"https://zzkj.zhengzhou.gov.cn/%EF%BC%89-%E9%83%91%E5%B7%9E%E5%B8%82%E7%A7%91%E6%8A%80%E4%B8%9A%E5%8A%A1%E7%AE%A1%E7%90%86%E7%B3%BB%E7%BB%9F-%E9%80%89%E6%8B%A9%E8%A7%92%E8%89%B2%E2%80%9C%E5%8D%95%E4%BD%8D%E2%80%9D-%E8%BE%93%E5%85%A5%E7%94%A8%E6%88%B7%E5%90%8D%E5%92%8C%E5%AF%86%E7%A0%81%EF%BC%88%E5%8D%95%E4%BD%8D%E7%AE%A1%E7%90%86%E5%91%98%E6%89%8B%E6%9C%BA%E5%8F%B7+%E5%AF%86%E7%A0%81%E2%80%9C%E9%BB%98%E8%AE%A4%E5%AF%86%E7%A0%81%E4%B8%BA%E6%89%8B%E6%9C%BA%E5%8F%B7%E5%90%8E%E5%85%AD%E4%BD%8D%E2%80%9D%EF%BC%89%E5%90%8E%E8%BF%9B%E5%85%A5%E7%B3%BB%E7%BB%9F%E5%9C%A8%E5%BE%85%E7%94%B3%E6%8A%A5%E6%B8%85%E5%8D%95%E9%87%8C"\t"/home/lx/文档\\x/_blank"</w:instrText>
      </w:r>
      <w:r>
        <w:rPr>
          <w:rFonts w:hint="default" w:ascii="仿宋_GB2312" w:hAnsi="仿宋_GB2312" w:eastAsia="仿宋_GB2312" w:cs="仿宋_GB2312"/>
          <w:color w:val="auto"/>
          <w:sz w:val="32"/>
          <w:szCs w:val="32"/>
          <w:highlight w:val="none"/>
          <w:lang w:val="en-US" w:eastAsia="zh-CN"/>
        </w:rPr>
        <w:fldChar w:fldCharType="separate"/>
      </w:r>
      <w:r>
        <w:rPr>
          <w:rFonts w:hint="default" w:ascii="仿宋_GB2312" w:hAnsi="仿宋_GB2312" w:eastAsia="仿宋_GB2312" w:cs="仿宋_GB2312"/>
          <w:color w:val="auto"/>
          <w:sz w:val="32"/>
          <w:szCs w:val="32"/>
          <w:highlight w:val="none"/>
        </w:rPr>
        <w:t>https://zzkj.zhengzhou.gov.cn/）</w:t>
      </w:r>
      <w:r>
        <w:rPr>
          <w:rFonts w:hint="eastAsia" w:ascii="仿宋_GB2312" w:hAnsi="仿宋_GB2312" w:eastAsia="仿宋_GB2312" w:cs="仿宋_GB2312"/>
          <w:color w:val="auto"/>
          <w:sz w:val="32"/>
          <w:szCs w:val="32"/>
          <w:highlight w:val="none"/>
          <w:lang w:eastAsia="zh-CN"/>
        </w:rPr>
        <w:t>——</w:t>
      </w:r>
      <w:r>
        <w:rPr>
          <w:rFonts w:hint="default" w:ascii="仿宋_GB2312" w:hAnsi="仿宋_GB2312" w:eastAsia="仿宋_GB2312" w:cs="仿宋_GB2312"/>
          <w:color w:val="auto"/>
          <w:sz w:val="32"/>
          <w:szCs w:val="32"/>
          <w:highlight w:val="none"/>
        </w:rPr>
        <w:t>郑州市科技业务管理系统</w:t>
      </w:r>
      <w:r>
        <w:rPr>
          <w:rFonts w:hint="eastAsia" w:ascii="仿宋_GB2312" w:hAnsi="仿宋_GB2312" w:eastAsia="仿宋_GB2312" w:cs="仿宋_GB2312"/>
          <w:color w:val="auto"/>
          <w:sz w:val="32"/>
          <w:szCs w:val="32"/>
          <w:highlight w:val="none"/>
          <w:lang w:eastAsia="zh-CN"/>
        </w:rPr>
        <w:t>——</w:t>
      </w:r>
      <w:r>
        <w:rPr>
          <w:rFonts w:hint="default" w:ascii="仿宋_GB2312" w:hAnsi="仿宋_GB2312" w:eastAsia="仿宋_GB2312" w:cs="仿宋_GB2312"/>
          <w:color w:val="auto"/>
          <w:sz w:val="32"/>
          <w:szCs w:val="32"/>
          <w:highlight w:val="none"/>
        </w:rPr>
        <w:t>选择角色“单位”</w:t>
      </w:r>
      <w:r>
        <w:rPr>
          <w:rFonts w:hint="eastAsia" w:ascii="仿宋_GB2312" w:hAnsi="仿宋_GB2312" w:eastAsia="仿宋_GB2312" w:cs="仿宋_GB2312"/>
          <w:color w:val="auto"/>
          <w:sz w:val="32"/>
          <w:szCs w:val="32"/>
          <w:highlight w:val="none"/>
          <w:lang w:eastAsia="zh-CN"/>
        </w:rPr>
        <w:t>——</w:t>
      </w:r>
      <w:r>
        <w:rPr>
          <w:rFonts w:hint="default" w:ascii="仿宋_GB2312" w:hAnsi="仿宋_GB2312" w:eastAsia="仿宋_GB2312" w:cs="仿宋_GB2312"/>
          <w:color w:val="auto"/>
          <w:sz w:val="32"/>
          <w:szCs w:val="32"/>
          <w:highlight w:val="none"/>
        </w:rPr>
        <w:t>输入用户名和密码后进入系统</w:t>
      </w:r>
      <w:r>
        <w:rPr>
          <w:rFonts w:hint="eastAsia" w:ascii="仿宋_GB2312" w:hAnsi="仿宋_GB2312" w:eastAsia="仿宋_GB2312" w:cs="仿宋_GB2312"/>
          <w:color w:val="auto"/>
          <w:sz w:val="32"/>
          <w:szCs w:val="32"/>
          <w:highlight w:val="none"/>
          <w:lang w:eastAsia="zh-CN"/>
        </w:rPr>
        <w:t>，</w:t>
      </w:r>
      <w:r>
        <w:rPr>
          <w:rFonts w:hint="default" w:ascii="仿宋_GB2312" w:hAnsi="仿宋_GB2312" w:eastAsia="仿宋_GB2312" w:cs="仿宋_GB2312"/>
          <w:color w:val="auto"/>
          <w:sz w:val="32"/>
          <w:szCs w:val="32"/>
          <w:highlight w:val="none"/>
        </w:rPr>
        <w:t>在待申报清单</w:t>
      </w:r>
      <w:r>
        <w:rPr>
          <w:rFonts w:hint="eastAsia" w:ascii="仿宋_GB2312" w:hAnsi="仿宋_GB2312" w:eastAsia="仿宋_GB2312" w:cs="仿宋_GB2312"/>
          <w:color w:val="auto"/>
          <w:sz w:val="32"/>
          <w:szCs w:val="32"/>
          <w:highlight w:val="none"/>
          <w:lang w:eastAsia="zh-CN"/>
        </w:rPr>
        <w:t>里</w:t>
      </w:r>
      <w:r>
        <w:rPr>
          <w:rFonts w:hint="default" w:ascii="仿宋_GB2312" w:hAnsi="仿宋_GB2312" w:eastAsia="仿宋_GB2312" w:cs="仿宋_GB2312"/>
          <w:color w:val="auto"/>
          <w:sz w:val="32"/>
          <w:szCs w:val="32"/>
          <w:highlight w:val="none"/>
          <w:lang w:val="en-US" w:eastAsia="zh-CN"/>
        </w:rPr>
        <w:fldChar w:fldCharType="end"/>
      </w:r>
      <w:r>
        <w:rPr>
          <w:rFonts w:hint="eastAsia" w:ascii="仿宋_GB2312" w:hAnsi="仿宋_GB2312" w:eastAsia="仿宋_GB2312" w:cs="仿宋_GB2312"/>
          <w:color w:val="auto"/>
          <w:sz w:val="32"/>
          <w:szCs w:val="32"/>
          <w:highlight w:val="none"/>
          <w:lang w:val="en-US" w:eastAsia="zh-CN"/>
        </w:rPr>
        <w:t>选择需要申报的项目进行填报</w:t>
      </w:r>
      <w:r>
        <w:rPr>
          <w:rFonts w:hint="default" w:ascii="仿宋_GB2312" w:hAnsi="仿宋_GB2312" w:eastAsia="仿宋_GB2312" w:cs="仿宋_GB2312"/>
          <w:color w:val="auto"/>
          <w:sz w:val="32"/>
          <w:szCs w:val="32"/>
          <w:highlight w:val="none"/>
          <w:lang w:val="en-US" w:eastAsia="zh-CN"/>
        </w:rPr>
        <w:t>；非管理员子</w:t>
      </w:r>
      <w:r>
        <w:rPr>
          <w:rFonts w:hint="eastAsia" w:ascii="仿宋_GB2312" w:hAnsi="仿宋_GB2312" w:eastAsia="仿宋_GB2312" w:cs="仿宋_GB2312"/>
          <w:color w:val="auto"/>
          <w:sz w:val="32"/>
          <w:szCs w:val="32"/>
          <w:highlight w:val="none"/>
          <w:lang w:val="en-US" w:eastAsia="zh-CN"/>
        </w:rPr>
        <w:t>账号由</w:t>
      </w:r>
      <w:r>
        <w:rPr>
          <w:rFonts w:hint="default" w:ascii="仿宋_GB2312" w:hAnsi="仿宋_GB2312" w:eastAsia="仿宋_GB2312" w:cs="仿宋_GB2312"/>
          <w:color w:val="auto"/>
          <w:sz w:val="32"/>
          <w:szCs w:val="32"/>
          <w:highlight w:val="none"/>
          <w:lang w:val="en-US" w:eastAsia="zh-CN"/>
        </w:rPr>
        <w:t>单位管理员进入用户中心创建</w:t>
      </w:r>
      <w:r>
        <w:rPr>
          <w:rFonts w:hint="eastAsia" w:ascii="仿宋_GB2312" w:hAnsi="仿宋_GB2312" w:eastAsia="仿宋_GB2312" w:cs="仿宋_GB2312"/>
          <w:color w:val="auto"/>
          <w:sz w:val="32"/>
          <w:szCs w:val="32"/>
          <w:highlight w:val="none"/>
          <w:lang w:val="en-US" w:eastAsia="zh-CN"/>
        </w:rPr>
        <w:t>后</w:t>
      </w:r>
      <w:r>
        <w:rPr>
          <w:rFonts w:hint="default" w:ascii="仿宋_GB2312" w:hAnsi="仿宋_GB2312" w:eastAsia="仿宋_GB2312" w:cs="仿宋_GB2312"/>
          <w:color w:val="auto"/>
          <w:sz w:val="32"/>
          <w:szCs w:val="32"/>
          <w:highlight w:val="none"/>
          <w:lang w:val="en-US" w:eastAsia="zh-CN"/>
        </w:rPr>
        <w:t>，再按以上登录</w:t>
      </w:r>
      <w:r>
        <w:rPr>
          <w:rFonts w:hint="eastAsia" w:ascii="仿宋_GB2312" w:hAnsi="仿宋_GB2312" w:eastAsia="仿宋_GB2312" w:cs="仿宋_GB2312"/>
          <w:color w:val="auto"/>
          <w:sz w:val="32"/>
          <w:szCs w:val="32"/>
          <w:highlight w:val="none"/>
          <w:lang w:val="en-US" w:eastAsia="zh-CN"/>
        </w:rPr>
        <w:t>；</w:t>
      </w:r>
    </w:p>
    <w:p w14:paraId="27A91100">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仿宋_GB2312" w:hAnsi="仿宋_GB2312" w:eastAsia="仿宋_GB2312" w:cs="仿宋_GB2312"/>
          <w:color w:val="auto"/>
          <w:sz w:val="32"/>
          <w:szCs w:val="32"/>
          <w:highlight w:val="none"/>
          <w:lang w:val="en-US" w:eastAsia="zh-CN"/>
        </w:rPr>
      </w:pPr>
      <w:r>
        <w:rPr>
          <w:rFonts w:hint="default" w:ascii="仿宋_GB2312" w:hAnsi="仿宋_GB2312" w:eastAsia="仿宋_GB2312" w:cs="仿宋_GB2312"/>
          <w:color w:val="auto"/>
          <w:sz w:val="32"/>
          <w:szCs w:val="32"/>
          <w:highlight w:val="none"/>
          <w:lang w:val="en-US" w:eastAsia="zh-CN"/>
        </w:rPr>
        <w:t>没有注册账号的单位</w:t>
      </w:r>
      <w:r>
        <w:rPr>
          <w:rFonts w:hint="eastAsia" w:ascii="仿宋_GB2312" w:hAnsi="仿宋_GB2312" w:eastAsia="仿宋_GB2312" w:cs="仿宋_GB2312"/>
          <w:color w:val="auto"/>
          <w:sz w:val="32"/>
          <w:szCs w:val="32"/>
          <w:highlight w:val="none"/>
          <w:lang w:val="en-US" w:eastAsia="zh-CN"/>
        </w:rPr>
        <w:t>，</w:t>
      </w:r>
      <w:r>
        <w:rPr>
          <w:rFonts w:hint="default" w:ascii="仿宋_GB2312" w:hAnsi="仿宋_GB2312" w:eastAsia="仿宋_GB2312" w:cs="仿宋_GB2312"/>
          <w:color w:val="auto"/>
          <w:sz w:val="32"/>
          <w:szCs w:val="32"/>
          <w:highlight w:val="none"/>
          <w:lang w:val="en-US" w:eastAsia="zh-CN"/>
        </w:rPr>
        <w:t>登录郑州市科学技术局官网（</w:t>
      </w:r>
      <w:r>
        <w:rPr>
          <w:rFonts w:hint="default" w:ascii="仿宋_GB2312" w:hAnsi="仿宋_GB2312" w:eastAsia="仿宋_GB2312" w:cs="仿宋_GB2312"/>
          <w:color w:val="auto"/>
          <w:sz w:val="32"/>
          <w:szCs w:val="32"/>
          <w:highlight w:val="none"/>
          <w:lang w:val="en-US" w:eastAsia="zh-CN"/>
        </w:rPr>
        <w:fldChar w:fldCharType="begin"/>
      </w:r>
      <w:r>
        <w:rPr>
          <w:rFonts w:hint="default" w:ascii="仿宋_GB2312" w:hAnsi="仿宋_GB2312" w:eastAsia="仿宋_GB2312" w:cs="仿宋_GB2312"/>
          <w:color w:val="auto"/>
          <w:sz w:val="32"/>
          <w:szCs w:val="32"/>
          <w:highlight w:val="none"/>
          <w:lang w:val="en-US" w:eastAsia="zh-CN"/>
        </w:rPr>
        <w:instrText xml:space="preserve">HYPERLINK"https://zzkj.zhengzhou.gov.cn/%EF%BC%89-%E9%83%91%E5%B7%9E%E5%B8%82%E7%A7%91%E6%8A%80%E4%B8%9A%E5%8A%A1%E7%AE%A1%E7%90%86%E7%B3%BB%E7%BB%9F-%E9%80%89%E6%8B%A9%E6%B3%A8%E5%86%8C"\t"/home/lx/文档\\x/_blank"</w:instrText>
      </w:r>
      <w:r>
        <w:rPr>
          <w:rFonts w:hint="default" w:ascii="仿宋_GB2312" w:hAnsi="仿宋_GB2312" w:eastAsia="仿宋_GB2312" w:cs="仿宋_GB2312"/>
          <w:color w:val="auto"/>
          <w:sz w:val="32"/>
          <w:szCs w:val="32"/>
          <w:highlight w:val="none"/>
          <w:lang w:val="en-US" w:eastAsia="zh-CN"/>
        </w:rPr>
        <w:fldChar w:fldCharType="separate"/>
      </w:r>
      <w:r>
        <w:rPr>
          <w:rFonts w:hint="default" w:ascii="仿宋_GB2312" w:hAnsi="仿宋_GB2312" w:eastAsia="仿宋_GB2312" w:cs="仿宋_GB2312"/>
          <w:color w:val="auto"/>
          <w:sz w:val="32"/>
          <w:szCs w:val="32"/>
          <w:highlight w:val="none"/>
        </w:rPr>
        <w:t>https://zzkj.zhengzhou.gov.cn/）</w:t>
      </w:r>
      <w:r>
        <w:rPr>
          <w:rFonts w:hint="eastAsia" w:ascii="仿宋_GB2312" w:hAnsi="仿宋_GB2312" w:eastAsia="仿宋_GB2312" w:cs="仿宋_GB2312"/>
          <w:color w:val="auto"/>
          <w:sz w:val="32"/>
          <w:szCs w:val="32"/>
          <w:highlight w:val="none"/>
          <w:lang w:eastAsia="zh-CN"/>
        </w:rPr>
        <w:t>——</w:t>
      </w:r>
      <w:r>
        <w:rPr>
          <w:rFonts w:hint="default" w:ascii="仿宋_GB2312" w:hAnsi="仿宋_GB2312" w:eastAsia="仿宋_GB2312" w:cs="仿宋_GB2312"/>
          <w:color w:val="auto"/>
          <w:sz w:val="32"/>
          <w:szCs w:val="32"/>
          <w:highlight w:val="none"/>
        </w:rPr>
        <w:t>郑州市科技业务管理系统</w:t>
      </w:r>
      <w:r>
        <w:rPr>
          <w:rFonts w:hint="eastAsia" w:ascii="仿宋_GB2312" w:hAnsi="仿宋_GB2312" w:eastAsia="仿宋_GB2312" w:cs="仿宋_GB2312"/>
          <w:color w:val="auto"/>
          <w:sz w:val="32"/>
          <w:szCs w:val="32"/>
          <w:highlight w:val="none"/>
          <w:lang w:eastAsia="zh-CN"/>
        </w:rPr>
        <w:t>——</w:t>
      </w:r>
      <w:r>
        <w:rPr>
          <w:rFonts w:hint="default" w:ascii="仿宋_GB2312" w:hAnsi="仿宋_GB2312" w:eastAsia="仿宋_GB2312" w:cs="仿宋_GB2312"/>
          <w:color w:val="auto"/>
          <w:sz w:val="32"/>
          <w:szCs w:val="32"/>
          <w:highlight w:val="none"/>
        </w:rPr>
        <w:t>选择注册</w:t>
      </w:r>
      <w:r>
        <w:rPr>
          <w:rFonts w:hint="default" w:ascii="仿宋_GB2312" w:hAnsi="仿宋_GB2312" w:eastAsia="仿宋_GB2312" w:cs="仿宋_GB2312"/>
          <w:color w:val="auto"/>
          <w:sz w:val="32"/>
          <w:szCs w:val="32"/>
          <w:highlight w:val="none"/>
          <w:lang w:val="en-US" w:eastAsia="zh-CN"/>
        </w:rPr>
        <w:fldChar w:fldCharType="end"/>
      </w:r>
      <w:r>
        <w:rPr>
          <w:rFonts w:hint="eastAsia" w:ascii="仿宋_GB2312" w:hAnsi="仿宋_GB2312" w:eastAsia="仿宋_GB2312" w:cs="仿宋_GB2312"/>
          <w:color w:val="auto"/>
          <w:sz w:val="32"/>
          <w:szCs w:val="32"/>
          <w:highlight w:val="none"/>
          <w:lang w:val="en-US" w:eastAsia="zh-CN"/>
        </w:rPr>
        <w:t>，按指示流程进行填报——注册成功后登录开展项目申报</w:t>
      </w:r>
      <w:r>
        <w:rPr>
          <w:rFonts w:hint="default" w:ascii="仿宋_GB2312" w:hAnsi="仿宋_GB2312" w:eastAsia="仿宋_GB2312" w:cs="仿宋_GB2312"/>
          <w:color w:val="auto"/>
          <w:sz w:val="32"/>
          <w:szCs w:val="32"/>
          <w:highlight w:val="none"/>
          <w:lang w:val="en-US" w:eastAsia="zh-CN"/>
        </w:rPr>
        <w:t>。</w:t>
      </w:r>
    </w:p>
    <w:p w14:paraId="5A7FEA6E">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华文楷体" w:hAnsi="华文楷体" w:eastAsia="华文楷体" w:cs="华文楷体"/>
          <w:color w:val="auto"/>
          <w:sz w:val="32"/>
          <w:szCs w:val="32"/>
          <w:highlight w:val="none"/>
          <w:lang w:val="en-US" w:eastAsia="zh-CN"/>
        </w:rPr>
      </w:pPr>
      <w:r>
        <w:rPr>
          <w:rFonts w:hint="default" w:ascii="华文楷体" w:hAnsi="华文楷体" w:eastAsia="华文楷体" w:cs="华文楷体"/>
          <w:color w:val="auto"/>
          <w:sz w:val="32"/>
          <w:szCs w:val="32"/>
          <w:highlight w:val="none"/>
          <w:lang w:val="en-US" w:eastAsia="zh-CN"/>
        </w:rPr>
        <w:t>（二）单位信息维护</w:t>
      </w:r>
    </w:p>
    <w:p w14:paraId="44130C1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仿宋_GB2312" w:hAnsi="仿宋_GB2312" w:eastAsia="仿宋_GB2312" w:cs="仿宋_GB2312"/>
          <w:color w:val="auto"/>
          <w:sz w:val="32"/>
          <w:szCs w:val="32"/>
          <w:highlight w:val="none"/>
          <w:lang w:val="en-US" w:eastAsia="zh-CN"/>
        </w:rPr>
      </w:pPr>
      <w:r>
        <w:rPr>
          <w:rFonts w:hint="default" w:ascii="仿宋_GB2312" w:hAnsi="仿宋_GB2312" w:eastAsia="仿宋_GB2312" w:cs="仿宋_GB2312"/>
          <w:color w:val="auto"/>
          <w:sz w:val="32"/>
          <w:szCs w:val="32"/>
          <w:highlight w:val="none"/>
          <w:lang w:val="en-US" w:eastAsia="zh-CN"/>
        </w:rPr>
        <w:t>单位管理员进入系统后可点击左侧菜单</w:t>
      </w:r>
      <w:r>
        <w:rPr>
          <w:rFonts w:hint="eastAsia" w:ascii="仿宋_GB2312" w:hAnsi="仿宋_GB2312" w:eastAsia="仿宋_GB2312" w:cs="仿宋_GB2312"/>
          <w:color w:val="auto"/>
          <w:sz w:val="32"/>
          <w:szCs w:val="32"/>
          <w:highlight w:val="none"/>
          <w:lang w:val="en-US" w:eastAsia="zh-CN"/>
        </w:rPr>
        <w:t>“</w:t>
      </w:r>
      <w:r>
        <w:rPr>
          <w:rFonts w:hint="default" w:ascii="仿宋_GB2312" w:hAnsi="仿宋_GB2312" w:eastAsia="仿宋_GB2312" w:cs="仿宋_GB2312"/>
          <w:color w:val="auto"/>
          <w:sz w:val="32"/>
          <w:szCs w:val="32"/>
          <w:highlight w:val="none"/>
          <w:lang w:val="en-US" w:eastAsia="zh-CN"/>
        </w:rPr>
        <w:t>完善信息</w:t>
      </w:r>
      <w:r>
        <w:rPr>
          <w:rFonts w:hint="eastAsia" w:ascii="仿宋_GB2312" w:hAnsi="仿宋_GB2312" w:eastAsia="仿宋_GB2312" w:cs="仿宋_GB2312"/>
          <w:color w:val="auto"/>
          <w:sz w:val="32"/>
          <w:szCs w:val="32"/>
          <w:highlight w:val="none"/>
          <w:lang w:val="en-US" w:eastAsia="zh-CN"/>
        </w:rPr>
        <w:t>”，</w:t>
      </w:r>
      <w:r>
        <w:rPr>
          <w:rFonts w:hint="default" w:ascii="仿宋_GB2312" w:hAnsi="仿宋_GB2312" w:eastAsia="仿宋_GB2312" w:cs="仿宋_GB2312"/>
          <w:color w:val="auto"/>
          <w:sz w:val="32"/>
          <w:szCs w:val="32"/>
          <w:highlight w:val="none"/>
          <w:lang w:val="en-US" w:eastAsia="zh-CN"/>
        </w:rPr>
        <w:t>对单位信息进行维护，全单位申报人共享，无需重复填报。</w:t>
      </w:r>
    </w:p>
    <w:p w14:paraId="34E6B280">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华文楷体" w:hAnsi="华文楷体" w:eastAsia="华文楷体" w:cs="华文楷体"/>
          <w:color w:val="auto"/>
          <w:sz w:val="32"/>
          <w:szCs w:val="32"/>
          <w:highlight w:val="none"/>
          <w:lang w:val="en-US" w:eastAsia="zh-CN"/>
        </w:rPr>
      </w:pPr>
      <w:r>
        <w:rPr>
          <w:rFonts w:hint="default" w:ascii="华文楷体" w:hAnsi="华文楷体" w:eastAsia="华文楷体" w:cs="华文楷体"/>
          <w:color w:val="auto"/>
          <w:sz w:val="32"/>
          <w:szCs w:val="32"/>
          <w:highlight w:val="none"/>
          <w:lang w:val="en-US" w:eastAsia="zh-CN"/>
        </w:rPr>
        <w:t>（三）项目线上填报</w:t>
      </w:r>
    </w:p>
    <w:p w14:paraId="7A77F8FF">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default" w:ascii="仿宋_GB2312" w:hAnsi="仿宋_GB2312" w:eastAsia="仿宋_GB2312" w:cs="仿宋_GB2312"/>
          <w:color w:val="auto"/>
          <w:sz w:val="32"/>
          <w:szCs w:val="32"/>
          <w:highlight w:val="none"/>
          <w:lang w:val="en-US" w:eastAsia="zh-CN"/>
        </w:rPr>
        <w:t>申报人登录系统，依据指南填报相关材料，提交至单位管理员审核</w:t>
      </w:r>
      <w:r>
        <w:rPr>
          <w:rFonts w:hint="eastAsia" w:ascii="仿宋_GB2312" w:hAnsi="仿宋_GB2312" w:eastAsia="仿宋_GB2312" w:cs="仿宋_GB2312"/>
          <w:color w:val="auto"/>
          <w:sz w:val="32"/>
          <w:szCs w:val="32"/>
          <w:highlight w:val="none"/>
          <w:lang w:val="en-US" w:eastAsia="zh-CN"/>
        </w:rPr>
        <w:t>，</w:t>
      </w:r>
      <w:r>
        <w:rPr>
          <w:rFonts w:hint="default" w:ascii="仿宋_GB2312" w:hAnsi="仿宋_GB2312" w:eastAsia="仿宋_GB2312" w:cs="仿宋_GB2312"/>
          <w:color w:val="auto"/>
          <w:sz w:val="32"/>
          <w:szCs w:val="32"/>
          <w:highlight w:val="none"/>
          <w:lang w:val="en-US" w:eastAsia="zh-CN"/>
        </w:rPr>
        <w:t>审核通过后推送至项目属地管理部门。</w:t>
      </w:r>
    </w:p>
    <w:p w14:paraId="5D6F093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华文楷体" w:hAnsi="华文楷体" w:eastAsia="华文楷体" w:cs="华文楷体"/>
          <w:color w:val="auto"/>
          <w:sz w:val="32"/>
          <w:szCs w:val="32"/>
          <w:highlight w:val="none"/>
        </w:rPr>
      </w:pPr>
      <w:r>
        <w:rPr>
          <w:rFonts w:hint="eastAsia" w:ascii="华文楷体" w:hAnsi="华文楷体" w:eastAsia="华文楷体" w:cs="华文楷体"/>
          <w:color w:val="auto"/>
          <w:sz w:val="32"/>
          <w:szCs w:val="32"/>
          <w:highlight w:val="none"/>
        </w:rPr>
        <w:t>（四）审核推荐</w:t>
      </w:r>
    </w:p>
    <w:p w14:paraId="73F1F9C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华文仿宋" w:hAnsi="华文仿宋" w:eastAsia="华文仿宋" w:cs="华文仿宋"/>
          <w:color w:val="auto"/>
          <w:sz w:val="32"/>
          <w:szCs w:val="32"/>
          <w:highlight w:val="none"/>
          <w:lang w:val="en-US" w:eastAsia="zh-CN"/>
        </w:rPr>
      </w:pPr>
      <w:r>
        <w:rPr>
          <w:rFonts w:hint="eastAsia" w:ascii="华文仿宋" w:hAnsi="华文仿宋" w:eastAsia="华文仿宋" w:cs="华文仿宋"/>
          <w:color w:val="auto"/>
          <w:sz w:val="32"/>
          <w:szCs w:val="32"/>
          <w:highlight w:val="none"/>
          <w:lang w:val="en-US" w:eastAsia="zh-CN"/>
        </w:rPr>
        <w:t>属地管理部门完成形式、信用、指南符合性初审，并</w:t>
      </w:r>
      <w:r>
        <w:rPr>
          <w:rFonts w:hint="eastAsia" w:ascii="华文仿宋" w:hAnsi="华文仿宋" w:eastAsia="华文仿宋" w:cs="华文仿宋"/>
          <w:color w:val="auto"/>
          <w:sz w:val="32"/>
          <w:szCs w:val="32"/>
          <w:highlight w:val="none"/>
        </w:rPr>
        <w:t>重点核查企业研发投入、技术合同真实性、关联关系</w:t>
      </w:r>
      <w:r>
        <w:rPr>
          <w:rFonts w:hint="eastAsia" w:ascii="华文仿宋" w:hAnsi="华文仿宋" w:eastAsia="华文仿宋" w:cs="华文仿宋"/>
          <w:color w:val="auto"/>
          <w:sz w:val="32"/>
          <w:szCs w:val="32"/>
          <w:highlight w:val="none"/>
          <w:lang w:eastAsia="zh-CN"/>
        </w:rPr>
        <w:t>等，</w:t>
      </w:r>
      <w:r>
        <w:rPr>
          <w:rFonts w:hint="eastAsia" w:ascii="华文仿宋" w:hAnsi="华文仿宋" w:eastAsia="华文仿宋" w:cs="华文仿宋"/>
          <w:color w:val="auto"/>
          <w:sz w:val="32"/>
          <w:szCs w:val="32"/>
          <w:highlight w:val="none"/>
          <w:lang w:val="en-US" w:eastAsia="zh-CN"/>
        </w:rPr>
        <w:t>线上推荐至市科技局。本年度企业出题项目立项前无需线下报送纸质材料，系统电子材料为评审主要依据。</w:t>
      </w:r>
    </w:p>
    <w:p w14:paraId="6A7486A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华文仿宋" w:hAnsi="华文仿宋" w:eastAsia="华文仿宋" w:cs="华文仿宋"/>
          <w:color w:val="auto"/>
          <w:sz w:val="32"/>
          <w:szCs w:val="32"/>
          <w:highlight w:val="none"/>
        </w:rPr>
      </w:pPr>
      <w:r>
        <w:rPr>
          <w:rFonts w:hint="eastAsia" w:ascii="华文仿宋" w:hAnsi="华文仿宋" w:eastAsia="华文仿宋" w:cs="华文仿宋"/>
          <w:color w:val="auto"/>
          <w:sz w:val="32"/>
          <w:szCs w:val="32"/>
          <w:highlight w:val="none"/>
          <w:lang w:val="en-US" w:eastAsia="zh-CN"/>
        </w:rPr>
        <w:t>公示立项后，申报单位按任务书约定开展项目研发，到期由市科技局统一组织验收。</w:t>
      </w:r>
    </w:p>
    <w:p w14:paraId="143C977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华文楷体" w:hAnsi="华文楷体" w:eastAsia="华文楷体" w:cs="华文楷体"/>
          <w:color w:val="auto"/>
          <w:sz w:val="32"/>
          <w:szCs w:val="32"/>
          <w:highlight w:val="none"/>
          <w:lang w:val="en-US" w:eastAsia="zh-CN"/>
        </w:rPr>
      </w:pPr>
      <w:r>
        <w:rPr>
          <w:rFonts w:hint="eastAsia" w:ascii="华文楷体" w:hAnsi="华文楷体" w:eastAsia="华文楷体" w:cs="华文楷体"/>
          <w:color w:val="auto"/>
          <w:sz w:val="32"/>
          <w:szCs w:val="32"/>
          <w:highlight w:val="none"/>
          <w:lang w:val="en-US" w:eastAsia="zh-CN"/>
        </w:rPr>
        <w:t>（五）咨询电话</w:t>
      </w:r>
    </w:p>
    <w:p w14:paraId="53910E1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华文仿宋" w:hAnsi="华文仿宋" w:eastAsia="华文仿宋" w:cs="华文仿宋"/>
          <w:color w:val="auto"/>
          <w:sz w:val="32"/>
          <w:szCs w:val="32"/>
          <w:highlight w:val="none"/>
          <w:lang w:val="en-US" w:eastAsia="zh-CN"/>
        </w:rPr>
      </w:pPr>
      <w:r>
        <w:rPr>
          <w:rFonts w:hint="eastAsia" w:ascii="华文仿宋" w:hAnsi="华文仿宋" w:eastAsia="华文仿宋" w:cs="华文仿宋"/>
          <w:color w:val="auto"/>
          <w:sz w:val="32"/>
          <w:szCs w:val="32"/>
          <w:highlight w:val="none"/>
          <w:lang w:val="en-US" w:eastAsia="zh-CN"/>
        </w:rPr>
        <w:t>1.</w:t>
      </w:r>
      <w:r>
        <w:rPr>
          <w:rFonts w:hint="eastAsia" w:ascii="华文仿宋" w:hAnsi="华文仿宋" w:eastAsia="华文仿宋" w:cs="华文仿宋"/>
          <w:color w:val="auto"/>
          <w:sz w:val="32"/>
          <w:szCs w:val="32"/>
          <w:highlight w:val="none"/>
          <w:lang w:eastAsia="zh-CN"/>
        </w:rPr>
        <w:t>高新领域：市科技局</w:t>
      </w:r>
      <w:r>
        <w:rPr>
          <w:rFonts w:hint="eastAsia" w:ascii="华文仿宋" w:hAnsi="华文仿宋" w:eastAsia="华文仿宋" w:cs="华文仿宋"/>
          <w:color w:val="auto"/>
          <w:sz w:val="32"/>
          <w:szCs w:val="32"/>
          <w:highlight w:val="none"/>
        </w:rPr>
        <w:t>高新处</w:t>
      </w:r>
      <w:r>
        <w:rPr>
          <w:rFonts w:hint="eastAsia" w:ascii="华文仿宋" w:hAnsi="华文仿宋" w:eastAsia="华文仿宋" w:cs="华文仿宋"/>
          <w:color w:val="auto"/>
          <w:sz w:val="32"/>
          <w:szCs w:val="32"/>
          <w:highlight w:val="none"/>
          <w:lang w:val="en-US" w:eastAsia="zh-CN"/>
        </w:rPr>
        <w:t>67883885</w:t>
      </w:r>
    </w:p>
    <w:p w14:paraId="00F7107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华文仿宋" w:hAnsi="华文仿宋" w:eastAsia="华文仿宋" w:cs="华文仿宋"/>
          <w:color w:val="auto"/>
          <w:sz w:val="32"/>
          <w:szCs w:val="32"/>
          <w:highlight w:val="none"/>
          <w:lang w:val="en-US" w:eastAsia="zh-CN"/>
        </w:rPr>
      </w:pPr>
      <w:r>
        <w:rPr>
          <w:rFonts w:hint="eastAsia" w:ascii="华文仿宋" w:hAnsi="华文仿宋" w:eastAsia="华文仿宋" w:cs="华文仿宋"/>
          <w:color w:val="auto"/>
          <w:sz w:val="32"/>
          <w:szCs w:val="32"/>
          <w:highlight w:val="none"/>
          <w:lang w:val="en-US" w:eastAsia="zh-CN"/>
        </w:rPr>
        <w:t>2.</w:t>
      </w:r>
      <w:r>
        <w:rPr>
          <w:rFonts w:hint="eastAsia" w:ascii="华文仿宋" w:hAnsi="华文仿宋" w:eastAsia="华文仿宋" w:cs="华文仿宋"/>
          <w:color w:val="auto"/>
          <w:sz w:val="32"/>
          <w:szCs w:val="32"/>
          <w:highlight w:val="none"/>
          <w:lang w:eastAsia="zh-CN"/>
        </w:rPr>
        <w:t>农业领域：市科技局农村</w:t>
      </w:r>
      <w:r>
        <w:rPr>
          <w:rFonts w:hint="eastAsia" w:ascii="华文仿宋" w:hAnsi="华文仿宋" w:eastAsia="华文仿宋" w:cs="华文仿宋"/>
          <w:color w:val="auto"/>
          <w:sz w:val="32"/>
          <w:szCs w:val="32"/>
          <w:highlight w:val="none"/>
        </w:rPr>
        <w:t>处</w:t>
      </w:r>
      <w:r>
        <w:rPr>
          <w:rFonts w:hint="eastAsia" w:ascii="华文仿宋" w:hAnsi="华文仿宋" w:eastAsia="华文仿宋" w:cs="华文仿宋"/>
          <w:color w:val="auto"/>
          <w:sz w:val="32"/>
          <w:szCs w:val="32"/>
          <w:highlight w:val="none"/>
          <w:lang w:val="en-US" w:eastAsia="zh-CN"/>
        </w:rPr>
        <w:t>67180457</w:t>
      </w:r>
    </w:p>
    <w:p w14:paraId="5299628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华文仿宋" w:hAnsi="华文仿宋" w:eastAsia="华文仿宋" w:cs="华文仿宋"/>
          <w:color w:val="auto"/>
          <w:sz w:val="32"/>
          <w:szCs w:val="32"/>
          <w:highlight w:val="none"/>
          <w:lang w:val="en-US" w:eastAsia="zh-CN"/>
        </w:rPr>
      </w:pPr>
      <w:r>
        <w:rPr>
          <w:rFonts w:hint="eastAsia" w:ascii="华文仿宋" w:hAnsi="华文仿宋" w:eastAsia="华文仿宋" w:cs="华文仿宋"/>
          <w:color w:val="auto"/>
          <w:sz w:val="32"/>
          <w:szCs w:val="32"/>
          <w:highlight w:val="none"/>
          <w:lang w:val="en-US" w:eastAsia="zh-CN"/>
        </w:rPr>
        <w:t>3.</w:t>
      </w:r>
      <w:r>
        <w:rPr>
          <w:rFonts w:hint="eastAsia" w:ascii="华文仿宋" w:hAnsi="华文仿宋" w:eastAsia="华文仿宋" w:cs="华文仿宋"/>
          <w:color w:val="auto"/>
          <w:sz w:val="32"/>
          <w:szCs w:val="32"/>
          <w:highlight w:val="none"/>
          <w:lang w:eastAsia="zh-CN"/>
        </w:rPr>
        <w:t>社发领域：市科技局社发</w:t>
      </w:r>
      <w:r>
        <w:rPr>
          <w:rFonts w:hint="eastAsia" w:ascii="华文仿宋" w:hAnsi="华文仿宋" w:eastAsia="华文仿宋" w:cs="华文仿宋"/>
          <w:color w:val="auto"/>
          <w:sz w:val="32"/>
          <w:szCs w:val="32"/>
          <w:highlight w:val="none"/>
        </w:rPr>
        <w:t>处</w:t>
      </w:r>
      <w:r>
        <w:rPr>
          <w:rFonts w:hint="eastAsia" w:ascii="华文仿宋" w:hAnsi="华文仿宋" w:eastAsia="华文仿宋" w:cs="华文仿宋"/>
          <w:color w:val="auto"/>
          <w:sz w:val="32"/>
          <w:szCs w:val="32"/>
          <w:highlight w:val="none"/>
          <w:lang w:val="en-US" w:eastAsia="zh-CN"/>
        </w:rPr>
        <w:t>67177022</w:t>
      </w:r>
    </w:p>
    <w:p w14:paraId="0899450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华文仿宋" w:hAnsi="华文仿宋" w:eastAsia="华文仿宋" w:cs="华文仿宋"/>
          <w:color w:val="auto"/>
          <w:sz w:val="32"/>
          <w:szCs w:val="32"/>
          <w:highlight w:val="none"/>
          <w:lang w:val="en-US" w:eastAsia="zh-CN"/>
        </w:rPr>
      </w:pPr>
      <w:r>
        <w:rPr>
          <w:rFonts w:hint="eastAsia" w:ascii="华文仿宋" w:hAnsi="华文仿宋" w:eastAsia="华文仿宋" w:cs="华文仿宋"/>
          <w:color w:val="auto"/>
          <w:sz w:val="32"/>
          <w:szCs w:val="32"/>
          <w:highlight w:val="none"/>
          <w:lang w:val="en-US" w:eastAsia="zh-CN"/>
        </w:rPr>
        <w:t>4.工会创新载体、建会入会、劳模助企行对接咨询：郑州市总工会电子信息科技工会67883192</w:t>
      </w:r>
    </w:p>
    <w:p w14:paraId="0B0AD67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黑体_GBK" w:hAnsi="方正黑体_GBK" w:eastAsia="方正黑体_GBK" w:cs="方正黑体_GBK"/>
          <w:color w:val="auto"/>
          <w:sz w:val="32"/>
          <w:szCs w:val="32"/>
          <w:highlight w:val="none"/>
          <w:lang w:eastAsia="zh-CN"/>
        </w:rPr>
      </w:pPr>
      <w:r>
        <w:rPr>
          <w:rFonts w:hint="eastAsia" w:ascii="方正黑体_GBK" w:hAnsi="方正黑体_GBK" w:eastAsia="方正黑体_GBK" w:cs="方正黑体_GBK"/>
          <w:color w:val="auto"/>
          <w:sz w:val="32"/>
          <w:szCs w:val="32"/>
          <w:highlight w:val="none"/>
          <w:lang w:eastAsia="zh-CN"/>
        </w:rPr>
        <w:t>三</w:t>
      </w:r>
      <w:r>
        <w:rPr>
          <w:rFonts w:hint="eastAsia" w:ascii="方正黑体_GBK" w:hAnsi="方正黑体_GBK" w:eastAsia="方正黑体_GBK" w:cs="方正黑体_GBK"/>
          <w:color w:val="auto"/>
          <w:sz w:val="32"/>
          <w:szCs w:val="32"/>
          <w:highlight w:val="none"/>
        </w:rPr>
        <w:t>、</w:t>
      </w:r>
      <w:r>
        <w:rPr>
          <w:rFonts w:hint="eastAsia" w:ascii="方正黑体_GBK" w:hAnsi="方正黑体_GBK" w:eastAsia="方正黑体_GBK" w:cs="方正黑体_GBK"/>
          <w:color w:val="auto"/>
          <w:sz w:val="32"/>
          <w:szCs w:val="32"/>
          <w:highlight w:val="none"/>
          <w:lang w:eastAsia="zh-CN"/>
        </w:rPr>
        <w:t>项目榜单</w:t>
      </w:r>
    </w:p>
    <w:p w14:paraId="1AFF215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华文仿宋" w:hAnsi="华文仿宋" w:eastAsia="华文仿宋" w:cs="华文仿宋"/>
          <w:color w:val="auto"/>
          <w:sz w:val="32"/>
          <w:szCs w:val="32"/>
          <w:highlight w:val="none"/>
          <w:lang w:eastAsia="zh-CN"/>
        </w:rPr>
        <w:sectPr>
          <w:footerReference r:id="rId3" w:type="default"/>
          <w:pgSz w:w="11906" w:h="16838"/>
          <w:pgMar w:top="2098" w:right="1531" w:bottom="1984" w:left="1531" w:header="851" w:footer="992" w:gutter="0"/>
          <w:pgNumType w:fmt="decimal"/>
          <w:cols w:space="720" w:num="1"/>
          <w:docGrid w:type="lines" w:linePitch="312" w:charSpace="0"/>
        </w:sectPr>
      </w:pPr>
      <w:r>
        <w:rPr>
          <w:rFonts w:hint="eastAsia" w:ascii="华文仿宋" w:hAnsi="华文仿宋" w:eastAsia="华文仿宋" w:cs="华文仿宋"/>
          <w:color w:val="auto"/>
          <w:sz w:val="32"/>
          <w:szCs w:val="32"/>
          <w:highlight w:val="none"/>
          <w:lang w:eastAsia="zh-CN"/>
        </w:rPr>
        <w:t>榜单具体内容见下表：</w:t>
      </w:r>
    </w:p>
    <w:p w14:paraId="0E8E64B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华文仿宋" w:hAnsi="华文仿宋" w:eastAsia="华文仿宋" w:cs="华文仿宋"/>
          <w:color w:val="auto"/>
          <w:sz w:val="32"/>
          <w:szCs w:val="32"/>
          <w:highlight w:val="none"/>
          <w:lang w:eastAsia="zh-CN"/>
        </w:rPr>
      </w:pPr>
    </w:p>
    <w:p w14:paraId="02981EAD">
      <w:pPr>
        <w:keepNext w:val="0"/>
        <w:keepLines w:val="0"/>
        <w:pageBreakBefore w:val="0"/>
        <w:widowControl w:val="0"/>
        <w:kinsoku/>
        <w:wordWrap/>
        <w:overflowPunct/>
        <w:topLinePunct w:val="0"/>
        <w:autoSpaceDE/>
        <w:autoSpaceDN/>
        <w:bidi w:val="0"/>
        <w:adjustRightInd/>
        <w:snapToGrid/>
        <w:spacing w:line="560" w:lineRule="exact"/>
        <w:ind w:firstLine="641" w:firstLineChars="200"/>
        <w:jc w:val="center"/>
        <w:textAlignment w:val="auto"/>
        <w:rPr>
          <w:rFonts w:hint="eastAsia" w:ascii="华文宋体" w:hAnsi="华文宋体" w:eastAsia="华文宋体" w:cs="华文宋体"/>
          <w:b/>
          <w:bCs/>
          <w:color w:val="auto"/>
          <w:sz w:val="32"/>
          <w:szCs w:val="32"/>
          <w:highlight w:val="none"/>
          <w:lang w:eastAsia="zh-CN"/>
        </w:rPr>
      </w:pPr>
      <w:r>
        <w:rPr>
          <w:rFonts w:hint="eastAsia" w:ascii="华文宋体" w:hAnsi="华文宋体" w:eastAsia="华文宋体" w:cs="华文宋体"/>
          <w:b/>
          <w:bCs/>
          <w:color w:val="auto"/>
          <w:sz w:val="32"/>
          <w:szCs w:val="32"/>
          <w:highlight w:val="none"/>
          <w:lang w:eastAsia="zh-CN"/>
        </w:rPr>
        <w:t>郑州市科技计划“揭榜挂帅”企业出题项目榜单</w:t>
      </w:r>
    </w:p>
    <w:p w14:paraId="308465D3">
      <w:pPr>
        <w:keepNext w:val="0"/>
        <w:keepLines w:val="0"/>
        <w:pageBreakBefore w:val="0"/>
        <w:widowControl w:val="0"/>
        <w:kinsoku/>
        <w:wordWrap/>
        <w:overflowPunct/>
        <w:topLinePunct w:val="0"/>
        <w:autoSpaceDE/>
        <w:autoSpaceDN/>
        <w:bidi w:val="0"/>
        <w:adjustRightInd/>
        <w:snapToGrid/>
        <w:spacing w:line="560" w:lineRule="exact"/>
        <w:ind w:firstLine="420" w:firstLineChars="200"/>
        <w:jc w:val="right"/>
        <w:textAlignment w:val="auto"/>
        <w:rPr>
          <w:rFonts w:hint="eastAsia" w:ascii="华文宋体" w:hAnsi="华文宋体" w:eastAsia="华文宋体" w:cs="华文宋体"/>
          <w:b/>
          <w:bCs/>
          <w:color w:val="auto"/>
          <w:sz w:val="21"/>
          <w:szCs w:val="21"/>
          <w:highlight w:val="none"/>
          <w:lang w:eastAsia="zh-CN"/>
        </w:rPr>
      </w:pPr>
      <w:r>
        <w:rPr>
          <w:rFonts w:hint="eastAsia" w:ascii="华文宋体" w:hAnsi="华文宋体" w:eastAsia="华文宋体" w:cs="华文宋体"/>
          <w:b/>
          <w:bCs/>
          <w:color w:val="auto"/>
          <w:sz w:val="21"/>
          <w:szCs w:val="21"/>
          <w:highlight w:val="none"/>
          <w:lang w:eastAsia="zh-CN"/>
        </w:rPr>
        <w:t>单位：万元</w:t>
      </w:r>
    </w:p>
    <w:tbl>
      <w:tblPr>
        <w:tblStyle w:val="14"/>
        <w:tblW w:w="5560" w:type="pct"/>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5"/>
        <w:gridCol w:w="1288"/>
        <w:gridCol w:w="799"/>
        <w:gridCol w:w="2275"/>
        <w:gridCol w:w="3052"/>
        <w:gridCol w:w="652"/>
        <w:gridCol w:w="584"/>
        <w:gridCol w:w="687"/>
        <w:gridCol w:w="584"/>
        <w:gridCol w:w="2377"/>
        <w:gridCol w:w="913"/>
        <w:gridCol w:w="689"/>
      </w:tblGrid>
      <w:tr w14:paraId="430FF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23" w:hRule="atLeast"/>
          <w:tblHeader/>
        </w:trPr>
        <w:tc>
          <w:tcPr>
            <w:tcW w:w="181" w:type="pct"/>
            <w:tcBorders>
              <w:top w:val="single" w:color="000000" w:sz="4" w:space="0"/>
              <w:left w:val="single" w:color="000000" w:sz="4" w:space="0"/>
              <w:bottom w:val="single" w:color="000000" w:sz="4" w:space="0"/>
              <w:right w:val="single" w:color="000000" w:sz="4" w:space="0"/>
            </w:tcBorders>
            <w:noWrap w:val="0"/>
            <w:vAlign w:val="center"/>
          </w:tcPr>
          <w:p w14:paraId="2227A1DA">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ascii="黑体" w:hAnsi="宋体" w:eastAsia="黑体" w:cs="黑体"/>
                <w:i w:val="0"/>
                <w:iCs w:val="0"/>
                <w:color w:val="auto"/>
                <w:sz w:val="21"/>
                <w:szCs w:val="21"/>
                <w:highlight w:val="none"/>
                <w:u w:val="none"/>
              </w:rPr>
            </w:pPr>
            <w:r>
              <w:rPr>
                <w:rFonts w:hint="default" w:ascii="黑体" w:hAnsi="宋体" w:eastAsia="黑体" w:cs="黑体"/>
                <w:i w:val="0"/>
                <w:iCs w:val="0"/>
                <w:color w:val="auto"/>
                <w:kern w:val="0"/>
                <w:sz w:val="21"/>
                <w:szCs w:val="21"/>
                <w:highlight w:val="none"/>
                <w:u w:val="none"/>
                <w:lang w:val="en-US" w:eastAsia="zh-CN" w:bidi="ar"/>
              </w:rPr>
              <w:t>序号</w:t>
            </w:r>
          </w:p>
        </w:tc>
        <w:tc>
          <w:tcPr>
            <w:tcW w:w="446" w:type="pct"/>
            <w:tcBorders>
              <w:top w:val="single" w:color="000000" w:sz="4" w:space="0"/>
              <w:left w:val="single" w:color="000000" w:sz="4" w:space="0"/>
              <w:bottom w:val="single" w:color="000000" w:sz="4" w:space="0"/>
              <w:right w:val="single" w:color="000000" w:sz="4" w:space="0"/>
            </w:tcBorders>
            <w:noWrap w:val="0"/>
            <w:vAlign w:val="center"/>
          </w:tcPr>
          <w:p w14:paraId="66610EAB">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黑体" w:hAnsi="宋体" w:eastAsia="黑体" w:cs="黑体"/>
                <w:i w:val="0"/>
                <w:iCs w:val="0"/>
                <w:color w:val="auto"/>
                <w:sz w:val="21"/>
                <w:szCs w:val="21"/>
                <w:highlight w:val="none"/>
                <w:u w:val="none"/>
              </w:rPr>
            </w:pPr>
            <w:r>
              <w:rPr>
                <w:rFonts w:hint="default" w:ascii="黑体" w:hAnsi="宋体" w:eastAsia="黑体" w:cs="黑体"/>
                <w:i w:val="0"/>
                <w:iCs w:val="0"/>
                <w:color w:val="auto"/>
                <w:kern w:val="0"/>
                <w:sz w:val="21"/>
                <w:szCs w:val="21"/>
                <w:highlight w:val="none"/>
                <w:u w:val="none"/>
                <w:lang w:val="en-US" w:eastAsia="zh-CN" w:bidi="ar"/>
              </w:rPr>
              <w:t>课题名称</w:t>
            </w:r>
          </w:p>
        </w:tc>
        <w:tc>
          <w:tcPr>
            <w:tcW w:w="276" w:type="pct"/>
            <w:tcBorders>
              <w:top w:val="single" w:color="000000" w:sz="4" w:space="0"/>
              <w:left w:val="single" w:color="000000" w:sz="4" w:space="0"/>
              <w:bottom w:val="single" w:color="000000" w:sz="4" w:space="0"/>
              <w:right w:val="single" w:color="000000" w:sz="4" w:space="0"/>
            </w:tcBorders>
            <w:noWrap w:val="0"/>
            <w:vAlign w:val="center"/>
          </w:tcPr>
          <w:p w14:paraId="582C8371">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黑体" w:hAnsi="宋体" w:eastAsia="黑体" w:cs="黑体"/>
                <w:i w:val="0"/>
                <w:iCs w:val="0"/>
                <w:color w:val="auto"/>
                <w:sz w:val="21"/>
                <w:szCs w:val="21"/>
                <w:highlight w:val="none"/>
                <w:u w:val="none"/>
              </w:rPr>
            </w:pPr>
            <w:r>
              <w:rPr>
                <w:rFonts w:hint="default" w:ascii="黑体" w:hAnsi="宋体" w:eastAsia="黑体" w:cs="黑体"/>
                <w:i w:val="0"/>
                <w:iCs w:val="0"/>
                <w:color w:val="auto"/>
                <w:kern w:val="0"/>
                <w:sz w:val="21"/>
                <w:szCs w:val="21"/>
                <w:highlight w:val="none"/>
                <w:u w:val="none"/>
                <w:lang w:val="en-US" w:eastAsia="zh-CN" w:bidi="ar"/>
              </w:rPr>
              <w:t>项目领域</w:t>
            </w:r>
          </w:p>
        </w:tc>
        <w:tc>
          <w:tcPr>
            <w:tcW w:w="788" w:type="pct"/>
            <w:tcBorders>
              <w:top w:val="single" w:color="000000" w:sz="4" w:space="0"/>
              <w:left w:val="single" w:color="000000" w:sz="4" w:space="0"/>
              <w:bottom w:val="single" w:color="000000" w:sz="4" w:space="0"/>
              <w:right w:val="single" w:color="000000" w:sz="4" w:space="0"/>
            </w:tcBorders>
            <w:noWrap w:val="0"/>
            <w:vAlign w:val="center"/>
          </w:tcPr>
          <w:p w14:paraId="45204942">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黑体" w:hAnsi="宋体" w:eastAsia="黑体" w:cs="黑体"/>
                <w:i w:val="0"/>
                <w:iCs w:val="0"/>
                <w:color w:val="auto"/>
                <w:sz w:val="21"/>
                <w:szCs w:val="21"/>
                <w:highlight w:val="none"/>
                <w:u w:val="none"/>
              </w:rPr>
            </w:pPr>
            <w:r>
              <w:rPr>
                <w:rFonts w:hint="default" w:ascii="黑体" w:hAnsi="宋体" w:eastAsia="黑体" w:cs="黑体"/>
                <w:i w:val="0"/>
                <w:iCs w:val="0"/>
                <w:color w:val="auto"/>
                <w:kern w:val="0"/>
                <w:sz w:val="21"/>
                <w:szCs w:val="21"/>
                <w:highlight w:val="none"/>
                <w:u w:val="none"/>
                <w:lang w:val="en-US" w:eastAsia="zh-CN" w:bidi="ar"/>
              </w:rPr>
              <w:t>研究内容</w:t>
            </w:r>
          </w:p>
        </w:tc>
        <w:tc>
          <w:tcPr>
            <w:tcW w:w="1057" w:type="pct"/>
            <w:tcBorders>
              <w:top w:val="single" w:color="000000" w:sz="4" w:space="0"/>
              <w:left w:val="single" w:color="000000" w:sz="4" w:space="0"/>
              <w:bottom w:val="single" w:color="000000" w:sz="4" w:space="0"/>
              <w:right w:val="single" w:color="000000" w:sz="4" w:space="0"/>
            </w:tcBorders>
            <w:noWrap w:val="0"/>
            <w:vAlign w:val="center"/>
          </w:tcPr>
          <w:p w14:paraId="71DE40C6">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黑体" w:hAnsi="宋体" w:eastAsia="黑体" w:cs="黑体"/>
                <w:i w:val="0"/>
                <w:iCs w:val="0"/>
                <w:color w:val="auto"/>
                <w:sz w:val="21"/>
                <w:szCs w:val="21"/>
                <w:highlight w:val="none"/>
                <w:u w:val="none"/>
              </w:rPr>
            </w:pPr>
            <w:r>
              <w:rPr>
                <w:rFonts w:hint="default" w:ascii="黑体" w:hAnsi="宋体" w:eastAsia="黑体" w:cs="黑体"/>
                <w:i w:val="0"/>
                <w:iCs w:val="0"/>
                <w:color w:val="auto"/>
                <w:kern w:val="0"/>
                <w:sz w:val="21"/>
                <w:szCs w:val="21"/>
                <w:highlight w:val="none"/>
                <w:u w:val="none"/>
                <w:lang w:val="en-US" w:eastAsia="zh-CN" w:bidi="ar"/>
              </w:rPr>
              <w:t>考核指标</w:t>
            </w:r>
          </w:p>
        </w:tc>
        <w:tc>
          <w:tcPr>
            <w:tcW w:w="225" w:type="pct"/>
            <w:tcBorders>
              <w:top w:val="single" w:color="000000" w:sz="4" w:space="0"/>
              <w:left w:val="single" w:color="000000" w:sz="4" w:space="0"/>
              <w:bottom w:val="single" w:color="000000" w:sz="4" w:space="0"/>
              <w:right w:val="single" w:color="000000" w:sz="4" w:space="0"/>
            </w:tcBorders>
            <w:noWrap w:val="0"/>
            <w:vAlign w:val="center"/>
          </w:tcPr>
          <w:p w14:paraId="3CBBA24F">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黑体" w:hAnsi="宋体" w:eastAsia="黑体" w:cs="黑体"/>
                <w:i w:val="0"/>
                <w:iCs w:val="0"/>
                <w:color w:val="auto"/>
                <w:sz w:val="21"/>
                <w:szCs w:val="21"/>
                <w:highlight w:val="none"/>
                <w:u w:val="none"/>
              </w:rPr>
            </w:pPr>
            <w:r>
              <w:rPr>
                <w:rFonts w:hint="default" w:ascii="黑体" w:hAnsi="宋体" w:eastAsia="黑体" w:cs="黑体"/>
                <w:i w:val="0"/>
                <w:iCs w:val="0"/>
                <w:color w:val="auto"/>
                <w:kern w:val="0"/>
                <w:sz w:val="21"/>
                <w:szCs w:val="21"/>
                <w:highlight w:val="none"/>
                <w:u w:val="none"/>
                <w:lang w:val="en-US" w:eastAsia="zh-CN" w:bidi="ar"/>
              </w:rPr>
              <w:t>发榜单位</w:t>
            </w:r>
          </w:p>
        </w:tc>
        <w:tc>
          <w:tcPr>
            <w:tcW w:w="202" w:type="pct"/>
            <w:tcBorders>
              <w:top w:val="single" w:color="000000" w:sz="4" w:space="0"/>
              <w:left w:val="single" w:color="000000" w:sz="4" w:space="0"/>
              <w:bottom w:val="single" w:color="000000" w:sz="4" w:space="0"/>
              <w:right w:val="single" w:color="000000" w:sz="4" w:space="0"/>
            </w:tcBorders>
            <w:noWrap w:val="0"/>
            <w:vAlign w:val="center"/>
          </w:tcPr>
          <w:p w14:paraId="57F0942F">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黑体" w:hAnsi="宋体" w:eastAsia="黑体" w:cs="黑体"/>
                <w:i w:val="0"/>
                <w:iCs w:val="0"/>
                <w:color w:val="auto"/>
                <w:sz w:val="21"/>
                <w:szCs w:val="21"/>
                <w:highlight w:val="none"/>
                <w:u w:val="none"/>
              </w:rPr>
            </w:pPr>
            <w:r>
              <w:rPr>
                <w:rFonts w:hint="default" w:ascii="黑体" w:hAnsi="宋体" w:eastAsia="黑体" w:cs="黑体"/>
                <w:i w:val="0"/>
                <w:iCs w:val="0"/>
                <w:color w:val="auto"/>
                <w:kern w:val="0"/>
                <w:sz w:val="21"/>
                <w:szCs w:val="21"/>
                <w:highlight w:val="none"/>
                <w:u w:val="none"/>
                <w:lang w:val="en-US" w:eastAsia="zh-CN" w:bidi="ar"/>
              </w:rPr>
              <w:t>总投入</w:t>
            </w:r>
            <w:r>
              <w:rPr>
                <w:rFonts w:hint="default" w:ascii="黑体" w:hAnsi="宋体" w:eastAsia="黑体" w:cs="黑体"/>
                <w:i w:val="0"/>
                <w:iCs w:val="0"/>
                <w:color w:val="auto"/>
                <w:kern w:val="0"/>
                <w:sz w:val="21"/>
                <w:szCs w:val="21"/>
                <w:highlight w:val="none"/>
                <w:u w:val="none"/>
                <w:lang w:val="en-US" w:eastAsia="zh-CN" w:bidi="ar"/>
              </w:rPr>
              <w:br w:type="textWrapping"/>
            </w:r>
          </w:p>
        </w:tc>
        <w:tc>
          <w:tcPr>
            <w:tcW w:w="238" w:type="pct"/>
            <w:tcBorders>
              <w:top w:val="single" w:color="000000" w:sz="4" w:space="0"/>
              <w:left w:val="single" w:color="000000" w:sz="4" w:space="0"/>
              <w:bottom w:val="single" w:color="000000" w:sz="4" w:space="0"/>
              <w:right w:val="single" w:color="000000" w:sz="4" w:space="0"/>
            </w:tcBorders>
            <w:noWrap w:val="0"/>
            <w:vAlign w:val="center"/>
          </w:tcPr>
          <w:p w14:paraId="53FC5B48">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黑体" w:hAnsi="宋体" w:eastAsia="黑体" w:cs="黑体"/>
                <w:i w:val="0"/>
                <w:iCs w:val="0"/>
                <w:color w:val="auto"/>
                <w:sz w:val="21"/>
                <w:szCs w:val="21"/>
                <w:highlight w:val="none"/>
                <w:u w:val="none"/>
              </w:rPr>
            </w:pPr>
            <w:r>
              <w:rPr>
                <w:rFonts w:hint="default" w:ascii="黑体" w:hAnsi="宋体" w:eastAsia="黑体" w:cs="黑体"/>
                <w:i w:val="0"/>
                <w:iCs w:val="0"/>
                <w:color w:val="auto"/>
                <w:kern w:val="0"/>
                <w:sz w:val="21"/>
                <w:szCs w:val="21"/>
                <w:highlight w:val="none"/>
                <w:u w:val="none"/>
                <w:lang w:val="en-US" w:eastAsia="zh-CN" w:bidi="ar"/>
              </w:rPr>
              <w:t>企业</w:t>
            </w:r>
            <w:r>
              <w:rPr>
                <w:rFonts w:hint="default" w:ascii="黑体" w:hAnsi="宋体" w:eastAsia="黑体" w:cs="黑体"/>
                <w:i w:val="0"/>
                <w:iCs w:val="0"/>
                <w:color w:val="auto"/>
                <w:kern w:val="0"/>
                <w:sz w:val="21"/>
                <w:szCs w:val="21"/>
                <w:highlight w:val="none"/>
                <w:u w:val="none"/>
                <w:lang w:val="en-US" w:eastAsia="zh-CN" w:bidi="ar"/>
              </w:rPr>
              <w:br w:type="textWrapping"/>
            </w:r>
            <w:r>
              <w:rPr>
                <w:rFonts w:hint="default" w:ascii="黑体" w:hAnsi="宋体" w:eastAsia="黑体" w:cs="黑体"/>
                <w:i w:val="0"/>
                <w:iCs w:val="0"/>
                <w:color w:val="auto"/>
                <w:kern w:val="0"/>
                <w:sz w:val="21"/>
                <w:szCs w:val="21"/>
                <w:highlight w:val="none"/>
                <w:u w:val="none"/>
                <w:lang w:val="en-US" w:eastAsia="zh-CN" w:bidi="ar"/>
              </w:rPr>
              <w:t>出资额</w:t>
            </w:r>
            <w:r>
              <w:rPr>
                <w:rFonts w:hint="default" w:ascii="黑体" w:hAnsi="宋体" w:eastAsia="黑体" w:cs="黑体"/>
                <w:i w:val="0"/>
                <w:iCs w:val="0"/>
                <w:color w:val="auto"/>
                <w:kern w:val="0"/>
                <w:sz w:val="21"/>
                <w:szCs w:val="21"/>
                <w:highlight w:val="none"/>
                <w:u w:val="none"/>
                <w:lang w:val="en-US" w:eastAsia="zh-CN" w:bidi="ar"/>
              </w:rPr>
              <w:br w:type="textWrapping"/>
            </w:r>
          </w:p>
        </w:tc>
        <w:tc>
          <w:tcPr>
            <w:tcW w:w="202" w:type="pct"/>
            <w:tcBorders>
              <w:top w:val="single" w:color="000000" w:sz="4" w:space="0"/>
              <w:left w:val="single" w:color="000000" w:sz="4" w:space="0"/>
              <w:bottom w:val="single" w:color="000000" w:sz="4" w:space="0"/>
              <w:right w:val="single" w:color="000000" w:sz="4" w:space="0"/>
            </w:tcBorders>
            <w:noWrap w:val="0"/>
            <w:vAlign w:val="center"/>
          </w:tcPr>
          <w:p w14:paraId="5D3828A9">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黑体" w:hAnsi="宋体" w:eastAsia="黑体" w:cs="黑体"/>
                <w:i w:val="0"/>
                <w:iCs w:val="0"/>
                <w:color w:val="auto"/>
                <w:sz w:val="21"/>
                <w:szCs w:val="21"/>
                <w:highlight w:val="none"/>
                <w:u w:val="none"/>
              </w:rPr>
            </w:pPr>
            <w:r>
              <w:rPr>
                <w:rFonts w:hint="default" w:ascii="黑体" w:hAnsi="宋体" w:eastAsia="黑体" w:cs="黑体"/>
                <w:i w:val="0"/>
                <w:iCs w:val="0"/>
                <w:color w:val="auto"/>
                <w:kern w:val="0"/>
                <w:sz w:val="21"/>
                <w:szCs w:val="21"/>
                <w:highlight w:val="none"/>
                <w:u w:val="none"/>
                <w:lang w:val="en-US" w:eastAsia="zh-CN" w:bidi="ar"/>
              </w:rPr>
              <w:t>完成时限</w:t>
            </w:r>
          </w:p>
        </w:tc>
        <w:tc>
          <w:tcPr>
            <w:tcW w:w="823" w:type="pct"/>
            <w:tcBorders>
              <w:top w:val="single" w:color="000000" w:sz="4" w:space="0"/>
              <w:left w:val="single" w:color="000000" w:sz="4" w:space="0"/>
              <w:bottom w:val="single" w:color="000000" w:sz="4" w:space="0"/>
              <w:right w:val="single" w:color="000000" w:sz="4" w:space="0"/>
            </w:tcBorders>
            <w:noWrap w:val="0"/>
            <w:vAlign w:val="center"/>
          </w:tcPr>
          <w:p w14:paraId="45E2C189">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黑体" w:hAnsi="宋体" w:eastAsia="黑体" w:cs="黑体"/>
                <w:i w:val="0"/>
                <w:iCs w:val="0"/>
                <w:color w:val="auto"/>
                <w:sz w:val="21"/>
                <w:szCs w:val="21"/>
                <w:highlight w:val="none"/>
                <w:u w:val="none"/>
              </w:rPr>
            </w:pPr>
            <w:r>
              <w:rPr>
                <w:rFonts w:hint="default" w:ascii="黑体" w:hAnsi="宋体" w:eastAsia="黑体" w:cs="黑体"/>
                <w:i w:val="0"/>
                <w:iCs w:val="0"/>
                <w:color w:val="auto"/>
                <w:kern w:val="0"/>
                <w:sz w:val="21"/>
                <w:szCs w:val="21"/>
                <w:highlight w:val="none"/>
                <w:u w:val="none"/>
                <w:lang w:val="en-US" w:eastAsia="zh-CN" w:bidi="ar"/>
              </w:rPr>
              <w:t>对揭榜单位要求（提交的成果或技术）</w:t>
            </w:r>
          </w:p>
        </w:tc>
        <w:tc>
          <w:tcPr>
            <w:tcW w:w="316" w:type="pct"/>
            <w:tcBorders>
              <w:top w:val="single" w:color="000000" w:sz="4" w:space="0"/>
              <w:left w:val="single" w:color="000000" w:sz="4" w:space="0"/>
              <w:bottom w:val="single" w:color="000000" w:sz="4" w:space="0"/>
              <w:right w:val="single" w:color="000000" w:sz="4" w:space="0"/>
            </w:tcBorders>
            <w:noWrap w:val="0"/>
            <w:vAlign w:val="center"/>
          </w:tcPr>
          <w:p w14:paraId="50647271">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黑体" w:hAnsi="宋体" w:eastAsia="黑体" w:cs="黑体"/>
                <w:i w:val="0"/>
                <w:iCs w:val="0"/>
                <w:color w:val="auto"/>
                <w:sz w:val="21"/>
                <w:szCs w:val="21"/>
                <w:highlight w:val="none"/>
                <w:u w:val="none"/>
              </w:rPr>
            </w:pPr>
            <w:r>
              <w:rPr>
                <w:rFonts w:hint="default" w:ascii="黑体" w:hAnsi="宋体" w:eastAsia="黑体" w:cs="黑体"/>
                <w:i w:val="0"/>
                <w:iCs w:val="0"/>
                <w:color w:val="auto"/>
                <w:kern w:val="0"/>
                <w:sz w:val="21"/>
                <w:szCs w:val="21"/>
                <w:highlight w:val="none"/>
                <w:u w:val="none"/>
                <w:lang w:val="en-US" w:eastAsia="zh-CN" w:bidi="ar"/>
              </w:rPr>
              <w:t>联系人及联系方式</w:t>
            </w:r>
          </w:p>
        </w:tc>
        <w:tc>
          <w:tcPr>
            <w:tcW w:w="238" w:type="pct"/>
            <w:tcBorders>
              <w:top w:val="single" w:color="000000" w:sz="4" w:space="0"/>
              <w:left w:val="single" w:color="000000" w:sz="4" w:space="0"/>
              <w:bottom w:val="single" w:color="000000" w:sz="4" w:space="0"/>
              <w:right w:val="single" w:color="000000" w:sz="4" w:space="0"/>
            </w:tcBorders>
            <w:noWrap w:val="0"/>
            <w:vAlign w:val="center"/>
          </w:tcPr>
          <w:p w14:paraId="710F6464">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黑体" w:hAnsi="宋体" w:eastAsia="黑体" w:cs="黑体"/>
                <w:i w:val="0"/>
                <w:iCs w:val="0"/>
                <w:color w:val="auto"/>
                <w:sz w:val="21"/>
                <w:szCs w:val="21"/>
                <w:highlight w:val="none"/>
                <w:u w:val="none"/>
              </w:rPr>
            </w:pPr>
            <w:r>
              <w:rPr>
                <w:rFonts w:hint="default" w:ascii="黑体" w:hAnsi="宋体" w:eastAsia="黑体" w:cs="黑体"/>
                <w:i w:val="0"/>
                <w:iCs w:val="0"/>
                <w:color w:val="auto"/>
                <w:kern w:val="0"/>
                <w:sz w:val="21"/>
                <w:szCs w:val="21"/>
                <w:highlight w:val="none"/>
                <w:u w:val="none"/>
                <w:lang w:val="en-US" w:eastAsia="zh-CN" w:bidi="ar"/>
              </w:rPr>
              <w:t>属地</w:t>
            </w:r>
          </w:p>
        </w:tc>
      </w:tr>
      <w:tr w14:paraId="661ECF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1" w:hRule="atLeast"/>
        </w:trPr>
        <w:tc>
          <w:tcPr>
            <w:tcW w:w="181" w:type="pct"/>
            <w:tcBorders>
              <w:top w:val="single" w:color="000000" w:sz="4" w:space="0"/>
              <w:left w:val="single" w:color="000000" w:sz="4" w:space="0"/>
              <w:bottom w:val="single" w:color="000000" w:sz="4" w:space="0"/>
              <w:right w:val="single" w:color="000000" w:sz="4" w:space="0"/>
            </w:tcBorders>
            <w:noWrap w:val="0"/>
            <w:vAlign w:val="center"/>
          </w:tcPr>
          <w:p w14:paraId="437829AC">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center"/>
              <w:rPr>
                <w:rFonts w:hint="default" w:ascii="黑体" w:hAnsi="宋体" w:eastAsia="黑体" w:cs="黑体"/>
                <w:i w:val="0"/>
                <w:iCs w:val="0"/>
                <w:color w:val="auto"/>
                <w:sz w:val="21"/>
                <w:szCs w:val="21"/>
                <w:highlight w:val="none"/>
                <w:u w:val="none"/>
              </w:rPr>
            </w:pPr>
            <w:r>
              <w:rPr>
                <w:rFonts w:hint="default" w:ascii="黑体" w:hAnsi="宋体" w:eastAsia="黑体" w:cs="黑体"/>
                <w:i w:val="0"/>
                <w:iCs w:val="0"/>
                <w:color w:val="auto"/>
                <w:kern w:val="0"/>
                <w:sz w:val="21"/>
                <w:szCs w:val="21"/>
                <w:highlight w:val="none"/>
                <w:u w:val="none"/>
                <w:lang w:val="en-US" w:eastAsia="zh-CN" w:bidi="ar"/>
              </w:rPr>
              <w:t>一</w:t>
            </w:r>
          </w:p>
        </w:tc>
        <w:tc>
          <w:tcPr>
            <w:tcW w:w="446" w:type="pct"/>
            <w:tcBorders>
              <w:top w:val="single" w:color="000000" w:sz="4" w:space="0"/>
              <w:left w:val="single" w:color="000000" w:sz="4" w:space="0"/>
              <w:bottom w:val="single" w:color="000000" w:sz="4" w:space="0"/>
              <w:right w:val="single" w:color="000000" w:sz="4" w:space="0"/>
            </w:tcBorders>
            <w:noWrap w:val="0"/>
            <w:vAlign w:val="center"/>
          </w:tcPr>
          <w:p w14:paraId="099E3402">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黑体" w:hAnsi="宋体" w:eastAsia="黑体" w:cs="黑体"/>
                <w:i w:val="0"/>
                <w:iCs w:val="0"/>
                <w:color w:val="auto"/>
                <w:sz w:val="21"/>
                <w:szCs w:val="21"/>
                <w:highlight w:val="none"/>
                <w:u w:val="none"/>
              </w:rPr>
            </w:pPr>
            <w:r>
              <w:rPr>
                <w:rFonts w:hint="default" w:ascii="黑体" w:hAnsi="宋体" w:eastAsia="黑体" w:cs="黑体"/>
                <w:i w:val="0"/>
                <w:iCs w:val="0"/>
                <w:color w:val="auto"/>
                <w:kern w:val="0"/>
                <w:sz w:val="21"/>
                <w:szCs w:val="21"/>
                <w:highlight w:val="none"/>
                <w:u w:val="none"/>
                <w:lang w:val="en-US" w:eastAsia="zh-CN" w:bidi="ar"/>
              </w:rPr>
              <w:t>高新领域</w:t>
            </w:r>
          </w:p>
        </w:tc>
        <w:tc>
          <w:tcPr>
            <w:tcW w:w="276" w:type="pct"/>
            <w:tcBorders>
              <w:top w:val="single" w:color="000000" w:sz="4" w:space="0"/>
              <w:left w:val="single" w:color="000000" w:sz="4" w:space="0"/>
              <w:bottom w:val="single" w:color="000000" w:sz="4" w:space="0"/>
              <w:right w:val="single" w:color="000000" w:sz="4" w:space="0"/>
            </w:tcBorders>
            <w:noWrap w:val="0"/>
            <w:vAlign w:val="center"/>
          </w:tcPr>
          <w:p w14:paraId="0677EEF0">
            <w:pPr>
              <w:keepNext w:val="0"/>
              <w:keepLines w:val="0"/>
              <w:pageBreakBefore w:val="0"/>
              <w:widowControl/>
              <w:kinsoku/>
              <w:wordWrap/>
              <w:overflowPunct/>
              <w:topLinePunct w:val="0"/>
              <w:autoSpaceDE/>
              <w:autoSpaceDN/>
              <w:bidi w:val="0"/>
              <w:adjustRightInd/>
              <w:snapToGrid/>
              <w:spacing w:line="280" w:lineRule="exact"/>
              <w:jc w:val="center"/>
              <w:rPr>
                <w:rFonts w:hint="default" w:ascii="黑体" w:hAnsi="宋体" w:eastAsia="黑体" w:cs="黑体"/>
                <w:i w:val="0"/>
                <w:iCs w:val="0"/>
                <w:color w:val="auto"/>
                <w:sz w:val="21"/>
                <w:szCs w:val="21"/>
                <w:highlight w:val="none"/>
                <w:u w:val="none"/>
              </w:rPr>
            </w:pPr>
          </w:p>
        </w:tc>
        <w:tc>
          <w:tcPr>
            <w:tcW w:w="788" w:type="pct"/>
            <w:tcBorders>
              <w:top w:val="single" w:color="000000" w:sz="4" w:space="0"/>
              <w:left w:val="single" w:color="000000" w:sz="4" w:space="0"/>
              <w:bottom w:val="single" w:color="000000" w:sz="4" w:space="0"/>
              <w:right w:val="single" w:color="000000" w:sz="4" w:space="0"/>
            </w:tcBorders>
            <w:noWrap w:val="0"/>
            <w:vAlign w:val="center"/>
          </w:tcPr>
          <w:p w14:paraId="023624BB">
            <w:pPr>
              <w:keepNext w:val="0"/>
              <w:keepLines w:val="0"/>
              <w:pageBreakBefore w:val="0"/>
              <w:widowControl/>
              <w:kinsoku/>
              <w:wordWrap/>
              <w:overflowPunct/>
              <w:topLinePunct w:val="0"/>
              <w:autoSpaceDE/>
              <w:autoSpaceDN/>
              <w:bidi w:val="0"/>
              <w:adjustRightInd/>
              <w:snapToGrid/>
              <w:spacing w:line="280" w:lineRule="exact"/>
              <w:jc w:val="left"/>
              <w:rPr>
                <w:rFonts w:hint="default" w:ascii="黑体" w:hAnsi="宋体" w:eastAsia="黑体" w:cs="黑体"/>
                <w:i w:val="0"/>
                <w:iCs w:val="0"/>
                <w:color w:val="auto"/>
                <w:sz w:val="21"/>
                <w:szCs w:val="21"/>
                <w:highlight w:val="none"/>
                <w:u w:val="none"/>
              </w:rPr>
            </w:pPr>
          </w:p>
        </w:tc>
        <w:tc>
          <w:tcPr>
            <w:tcW w:w="1057" w:type="pct"/>
            <w:tcBorders>
              <w:top w:val="single" w:color="000000" w:sz="4" w:space="0"/>
              <w:left w:val="single" w:color="000000" w:sz="4" w:space="0"/>
              <w:bottom w:val="single" w:color="000000" w:sz="4" w:space="0"/>
              <w:right w:val="single" w:color="000000" w:sz="4" w:space="0"/>
            </w:tcBorders>
            <w:noWrap w:val="0"/>
            <w:vAlign w:val="center"/>
          </w:tcPr>
          <w:p w14:paraId="222E6974">
            <w:pPr>
              <w:keepNext w:val="0"/>
              <w:keepLines w:val="0"/>
              <w:pageBreakBefore w:val="0"/>
              <w:widowControl/>
              <w:kinsoku/>
              <w:wordWrap/>
              <w:overflowPunct/>
              <w:topLinePunct w:val="0"/>
              <w:autoSpaceDE/>
              <w:autoSpaceDN/>
              <w:bidi w:val="0"/>
              <w:adjustRightInd/>
              <w:snapToGrid/>
              <w:spacing w:line="280" w:lineRule="exact"/>
              <w:jc w:val="left"/>
              <w:rPr>
                <w:rFonts w:hint="default" w:ascii="黑体" w:hAnsi="宋体" w:eastAsia="黑体" w:cs="黑体"/>
                <w:i w:val="0"/>
                <w:iCs w:val="0"/>
                <w:color w:val="auto"/>
                <w:sz w:val="21"/>
                <w:szCs w:val="21"/>
                <w:highlight w:val="none"/>
                <w:u w:val="none"/>
              </w:rPr>
            </w:pPr>
          </w:p>
        </w:tc>
        <w:tc>
          <w:tcPr>
            <w:tcW w:w="225" w:type="pct"/>
            <w:tcBorders>
              <w:top w:val="single" w:color="000000" w:sz="4" w:space="0"/>
              <w:left w:val="single" w:color="000000" w:sz="4" w:space="0"/>
              <w:bottom w:val="single" w:color="000000" w:sz="4" w:space="0"/>
              <w:right w:val="single" w:color="000000" w:sz="4" w:space="0"/>
            </w:tcBorders>
            <w:noWrap w:val="0"/>
            <w:vAlign w:val="center"/>
          </w:tcPr>
          <w:p w14:paraId="550128EC">
            <w:pPr>
              <w:keepNext w:val="0"/>
              <w:keepLines w:val="0"/>
              <w:pageBreakBefore w:val="0"/>
              <w:widowControl/>
              <w:kinsoku/>
              <w:wordWrap/>
              <w:overflowPunct/>
              <w:topLinePunct w:val="0"/>
              <w:autoSpaceDE/>
              <w:autoSpaceDN/>
              <w:bidi w:val="0"/>
              <w:adjustRightInd/>
              <w:snapToGrid/>
              <w:spacing w:line="280" w:lineRule="exact"/>
              <w:jc w:val="left"/>
              <w:rPr>
                <w:rFonts w:hint="default" w:ascii="黑体" w:hAnsi="宋体" w:eastAsia="黑体" w:cs="黑体"/>
                <w:i w:val="0"/>
                <w:iCs w:val="0"/>
                <w:color w:val="auto"/>
                <w:sz w:val="21"/>
                <w:szCs w:val="21"/>
                <w:highlight w:val="none"/>
                <w:u w:val="none"/>
              </w:rPr>
            </w:pPr>
          </w:p>
        </w:tc>
        <w:tc>
          <w:tcPr>
            <w:tcW w:w="202" w:type="pct"/>
            <w:tcBorders>
              <w:top w:val="single" w:color="000000" w:sz="4" w:space="0"/>
              <w:left w:val="single" w:color="000000" w:sz="4" w:space="0"/>
              <w:bottom w:val="single" w:color="000000" w:sz="4" w:space="0"/>
              <w:right w:val="single" w:color="000000" w:sz="4" w:space="0"/>
            </w:tcBorders>
            <w:noWrap w:val="0"/>
            <w:vAlign w:val="center"/>
          </w:tcPr>
          <w:p w14:paraId="389D5E70">
            <w:pPr>
              <w:keepNext w:val="0"/>
              <w:keepLines w:val="0"/>
              <w:pageBreakBefore w:val="0"/>
              <w:widowControl/>
              <w:kinsoku/>
              <w:wordWrap/>
              <w:overflowPunct/>
              <w:topLinePunct w:val="0"/>
              <w:autoSpaceDE/>
              <w:autoSpaceDN/>
              <w:bidi w:val="0"/>
              <w:adjustRightInd/>
              <w:snapToGrid/>
              <w:spacing w:line="280" w:lineRule="exact"/>
              <w:jc w:val="center"/>
              <w:rPr>
                <w:rFonts w:hint="default" w:ascii="黑体" w:hAnsi="宋体" w:eastAsia="黑体" w:cs="黑体"/>
                <w:i w:val="0"/>
                <w:iCs w:val="0"/>
                <w:color w:val="auto"/>
                <w:sz w:val="21"/>
                <w:szCs w:val="21"/>
                <w:highlight w:val="none"/>
                <w:u w:val="none"/>
              </w:rPr>
            </w:pPr>
          </w:p>
        </w:tc>
        <w:tc>
          <w:tcPr>
            <w:tcW w:w="238" w:type="pct"/>
            <w:tcBorders>
              <w:top w:val="single" w:color="000000" w:sz="4" w:space="0"/>
              <w:left w:val="single" w:color="000000" w:sz="4" w:space="0"/>
              <w:bottom w:val="single" w:color="000000" w:sz="4" w:space="0"/>
              <w:right w:val="single" w:color="000000" w:sz="4" w:space="0"/>
            </w:tcBorders>
            <w:noWrap w:val="0"/>
            <w:vAlign w:val="center"/>
          </w:tcPr>
          <w:p w14:paraId="1537506E">
            <w:pPr>
              <w:keepNext w:val="0"/>
              <w:keepLines w:val="0"/>
              <w:pageBreakBefore w:val="0"/>
              <w:widowControl/>
              <w:kinsoku/>
              <w:wordWrap/>
              <w:overflowPunct/>
              <w:topLinePunct w:val="0"/>
              <w:autoSpaceDE/>
              <w:autoSpaceDN/>
              <w:bidi w:val="0"/>
              <w:adjustRightInd/>
              <w:snapToGrid/>
              <w:spacing w:line="280" w:lineRule="exact"/>
              <w:jc w:val="center"/>
              <w:rPr>
                <w:rFonts w:hint="default" w:ascii="黑体" w:hAnsi="宋体" w:eastAsia="黑体" w:cs="黑体"/>
                <w:i w:val="0"/>
                <w:iCs w:val="0"/>
                <w:color w:val="auto"/>
                <w:sz w:val="21"/>
                <w:szCs w:val="21"/>
                <w:highlight w:val="none"/>
                <w:u w:val="none"/>
              </w:rPr>
            </w:pPr>
          </w:p>
        </w:tc>
        <w:tc>
          <w:tcPr>
            <w:tcW w:w="202" w:type="pct"/>
            <w:tcBorders>
              <w:top w:val="single" w:color="000000" w:sz="4" w:space="0"/>
              <w:left w:val="single" w:color="000000" w:sz="4" w:space="0"/>
              <w:bottom w:val="single" w:color="000000" w:sz="4" w:space="0"/>
              <w:right w:val="single" w:color="000000" w:sz="4" w:space="0"/>
            </w:tcBorders>
            <w:noWrap w:val="0"/>
            <w:vAlign w:val="center"/>
          </w:tcPr>
          <w:p w14:paraId="41149763">
            <w:pPr>
              <w:keepNext w:val="0"/>
              <w:keepLines w:val="0"/>
              <w:pageBreakBefore w:val="0"/>
              <w:widowControl/>
              <w:kinsoku/>
              <w:wordWrap/>
              <w:overflowPunct/>
              <w:topLinePunct w:val="0"/>
              <w:autoSpaceDE/>
              <w:autoSpaceDN/>
              <w:bidi w:val="0"/>
              <w:adjustRightInd/>
              <w:snapToGrid/>
              <w:spacing w:line="280" w:lineRule="exact"/>
              <w:jc w:val="center"/>
              <w:rPr>
                <w:rFonts w:hint="default" w:ascii="黑体" w:hAnsi="宋体" w:eastAsia="黑体" w:cs="黑体"/>
                <w:i w:val="0"/>
                <w:iCs w:val="0"/>
                <w:color w:val="auto"/>
                <w:sz w:val="21"/>
                <w:szCs w:val="21"/>
                <w:highlight w:val="none"/>
                <w:u w:val="none"/>
              </w:rPr>
            </w:pPr>
          </w:p>
        </w:tc>
        <w:tc>
          <w:tcPr>
            <w:tcW w:w="823" w:type="pct"/>
            <w:tcBorders>
              <w:top w:val="single" w:color="000000" w:sz="4" w:space="0"/>
              <w:left w:val="single" w:color="000000" w:sz="4" w:space="0"/>
              <w:bottom w:val="single" w:color="000000" w:sz="4" w:space="0"/>
              <w:right w:val="single" w:color="000000" w:sz="4" w:space="0"/>
            </w:tcBorders>
            <w:noWrap w:val="0"/>
            <w:vAlign w:val="center"/>
          </w:tcPr>
          <w:p w14:paraId="622F7F86">
            <w:pPr>
              <w:keepNext w:val="0"/>
              <w:keepLines w:val="0"/>
              <w:pageBreakBefore w:val="0"/>
              <w:widowControl/>
              <w:kinsoku/>
              <w:wordWrap/>
              <w:overflowPunct/>
              <w:topLinePunct w:val="0"/>
              <w:autoSpaceDE/>
              <w:autoSpaceDN/>
              <w:bidi w:val="0"/>
              <w:adjustRightInd/>
              <w:snapToGrid/>
              <w:spacing w:line="280" w:lineRule="exact"/>
              <w:jc w:val="left"/>
              <w:rPr>
                <w:rFonts w:hint="default" w:ascii="黑体" w:hAnsi="宋体" w:eastAsia="黑体" w:cs="黑体"/>
                <w:i w:val="0"/>
                <w:iCs w:val="0"/>
                <w:color w:val="auto"/>
                <w:sz w:val="21"/>
                <w:szCs w:val="21"/>
                <w:highlight w:val="none"/>
                <w:u w:val="none"/>
              </w:rPr>
            </w:pPr>
          </w:p>
        </w:tc>
        <w:tc>
          <w:tcPr>
            <w:tcW w:w="316" w:type="pct"/>
            <w:tcBorders>
              <w:top w:val="single" w:color="000000" w:sz="4" w:space="0"/>
              <w:left w:val="single" w:color="000000" w:sz="4" w:space="0"/>
              <w:bottom w:val="single" w:color="000000" w:sz="4" w:space="0"/>
              <w:right w:val="single" w:color="000000" w:sz="4" w:space="0"/>
            </w:tcBorders>
            <w:noWrap w:val="0"/>
            <w:vAlign w:val="center"/>
          </w:tcPr>
          <w:p w14:paraId="6CD5C263">
            <w:pPr>
              <w:keepNext w:val="0"/>
              <w:keepLines w:val="0"/>
              <w:pageBreakBefore w:val="0"/>
              <w:widowControl/>
              <w:kinsoku/>
              <w:wordWrap/>
              <w:overflowPunct/>
              <w:topLinePunct w:val="0"/>
              <w:autoSpaceDE/>
              <w:autoSpaceDN/>
              <w:bidi w:val="0"/>
              <w:adjustRightInd/>
              <w:snapToGrid/>
              <w:spacing w:line="280" w:lineRule="exact"/>
              <w:jc w:val="left"/>
              <w:rPr>
                <w:rFonts w:hint="default" w:ascii="黑体" w:hAnsi="宋体" w:eastAsia="黑体" w:cs="黑体"/>
                <w:i w:val="0"/>
                <w:iCs w:val="0"/>
                <w:color w:val="auto"/>
                <w:sz w:val="21"/>
                <w:szCs w:val="21"/>
                <w:highlight w:val="none"/>
                <w:u w:val="none"/>
              </w:rPr>
            </w:pPr>
          </w:p>
        </w:tc>
        <w:tc>
          <w:tcPr>
            <w:tcW w:w="238" w:type="pct"/>
            <w:tcBorders>
              <w:top w:val="single" w:color="000000" w:sz="4" w:space="0"/>
              <w:left w:val="single" w:color="000000" w:sz="4" w:space="0"/>
              <w:bottom w:val="single" w:color="000000" w:sz="4" w:space="0"/>
              <w:right w:val="single" w:color="000000" w:sz="4" w:space="0"/>
            </w:tcBorders>
            <w:noWrap w:val="0"/>
            <w:vAlign w:val="center"/>
          </w:tcPr>
          <w:p w14:paraId="7BE56CF2">
            <w:pPr>
              <w:keepNext w:val="0"/>
              <w:keepLines w:val="0"/>
              <w:pageBreakBefore w:val="0"/>
              <w:widowControl/>
              <w:kinsoku/>
              <w:wordWrap/>
              <w:overflowPunct/>
              <w:topLinePunct w:val="0"/>
              <w:autoSpaceDE/>
              <w:autoSpaceDN/>
              <w:bidi w:val="0"/>
              <w:adjustRightInd/>
              <w:snapToGrid/>
              <w:spacing w:line="280" w:lineRule="exact"/>
              <w:jc w:val="center"/>
              <w:rPr>
                <w:rFonts w:hint="default" w:ascii="黑体" w:hAnsi="宋体" w:eastAsia="黑体" w:cs="黑体"/>
                <w:i w:val="0"/>
                <w:iCs w:val="0"/>
                <w:color w:val="auto"/>
                <w:sz w:val="21"/>
                <w:szCs w:val="21"/>
                <w:highlight w:val="none"/>
                <w:u w:val="none"/>
              </w:rPr>
            </w:pPr>
          </w:p>
        </w:tc>
      </w:tr>
      <w:tr w14:paraId="69136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6" w:hRule="atLeast"/>
        </w:trPr>
        <w:tc>
          <w:tcPr>
            <w:tcW w:w="181" w:type="pct"/>
            <w:tcBorders>
              <w:top w:val="single" w:color="000000" w:sz="4" w:space="0"/>
              <w:left w:val="single" w:color="000000" w:sz="4" w:space="0"/>
              <w:bottom w:val="single" w:color="000000" w:sz="4" w:space="0"/>
              <w:right w:val="single" w:color="000000" w:sz="4" w:space="0"/>
            </w:tcBorders>
            <w:noWrap w:val="0"/>
            <w:vAlign w:val="center"/>
          </w:tcPr>
          <w:p w14:paraId="07EF6325">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1</w:t>
            </w:r>
          </w:p>
        </w:tc>
        <w:tc>
          <w:tcPr>
            <w:tcW w:w="446" w:type="pct"/>
            <w:tcBorders>
              <w:top w:val="single" w:color="000000" w:sz="4" w:space="0"/>
              <w:left w:val="single" w:color="000000" w:sz="4" w:space="0"/>
              <w:bottom w:val="single" w:color="000000" w:sz="4" w:space="0"/>
              <w:right w:val="single" w:color="000000" w:sz="4" w:space="0"/>
            </w:tcBorders>
            <w:noWrap w:val="0"/>
            <w:vAlign w:val="center"/>
          </w:tcPr>
          <w:p w14:paraId="03F55344">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基于视觉引导的焊接复杂轨迹规划及智能质检系统开发</w:t>
            </w:r>
          </w:p>
        </w:tc>
        <w:tc>
          <w:tcPr>
            <w:tcW w:w="276" w:type="pct"/>
            <w:tcBorders>
              <w:top w:val="nil"/>
              <w:left w:val="single" w:color="000000" w:sz="4" w:space="0"/>
              <w:bottom w:val="single" w:color="000000" w:sz="4" w:space="0"/>
              <w:right w:val="single" w:color="000000" w:sz="4" w:space="0"/>
            </w:tcBorders>
            <w:noWrap w:val="0"/>
            <w:vAlign w:val="center"/>
          </w:tcPr>
          <w:p w14:paraId="468BE23D">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电子信息与数字技术领域-新一代信息技术</w:t>
            </w:r>
          </w:p>
        </w:tc>
        <w:tc>
          <w:tcPr>
            <w:tcW w:w="788" w:type="pct"/>
            <w:tcBorders>
              <w:top w:val="single" w:color="000000" w:sz="4" w:space="0"/>
              <w:left w:val="single" w:color="000000" w:sz="4" w:space="0"/>
              <w:bottom w:val="single" w:color="000000" w:sz="4" w:space="0"/>
              <w:right w:val="single" w:color="000000" w:sz="4" w:space="0"/>
            </w:tcBorders>
            <w:noWrap w:val="0"/>
            <w:vAlign w:val="center"/>
          </w:tcPr>
          <w:p w14:paraId="65692A29">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1、极端工况下视觉成像抗干扰难题；</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2、异形构件复杂焊缝自适应轨迹规划与动态纠偏难题；</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3、焊缝微小隐性缺陷高精度识别与量化难题；</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4、极端工况下系统高稳定、高可靠集成适配难题。</w:t>
            </w:r>
          </w:p>
        </w:tc>
        <w:tc>
          <w:tcPr>
            <w:tcW w:w="1057" w:type="pct"/>
            <w:tcBorders>
              <w:top w:val="single" w:color="000000" w:sz="4" w:space="0"/>
              <w:left w:val="single" w:color="000000" w:sz="4" w:space="0"/>
              <w:bottom w:val="single" w:color="000000" w:sz="4" w:space="0"/>
              <w:right w:val="single" w:color="000000" w:sz="4" w:space="0"/>
            </w:tcBorders>
            <w:noWrap w:val="0"/>
            <w:vAlign w:val="center"/>
          </w:tcPr>
          <w:p w14:paraId="340BDB26">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1.成像适配：抑制铝材反光，坡口尺寸识别偏差±3mm、工件对位偏差≤50mm；</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2.坡口测量精度：≤0.1mm；</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3.坡口自适应：0～5mm；</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4.轨迹控制：依检测偏差自动规划焊接路径、引导机器人施焊；</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5.焊道自适应：超上位机设定阈值，自动增减焊道数量；</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6.钢件双面焊：双面坡口多层多道自动焊，工件位置偏差容许40mm；</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7.裂纹检测：≥1mm的焊缝裂纹可检出；</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8.弯形检测：弯曲度≤5°精准检测。</w:t>
            </w:r>
          </w:p>
        </w:tc>
        <w:tc>
          <w:tcPr>
            <w:tcW w:w="225" w:type="pct"/>
            <w:tcBorders>
              <w:top w:val="single" w:color="000000" w:sz="4" w:space="0"/>
              <w:left w:val="single" w:color="000000" w:sz="4" w:space="0"/>
              <w:bottom w:val="single" w:color="000000" w:sz="4" w:space="0"/>
              <w:right w:val="single" w:color="000000" w:sz="4" w:space="0"/>
            </w:tcBorders>
            <w:noWrap w:val="0"/>
            <w:vAlign w:val="center"/>
          </w:tcPr>
          <w:p w14:paraId="050FD1DE">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郑州经纬科技实业股份有限公司</w:t>
            </w:r>
          </w:p>
        </w:tc>
        <w:tc>
          <w:tcPr>
            <w:tcW w:w="202" w:type="pct"/>
            <w:tcBorders>
              <w:top w:val="single" w:color="000000" w:sz="4" w:space="0"/>
              <w:left w:val="single" w:color="000000" w:sz="4" w:space="0"/>
              <w:bottom w:val="single" w:color="000000" w:sz="4" w:space="0"/>
              <w:right w:val="single" w:color="000000" w:sz="4" w:space="0"/>
            </w:tcBorders>
            <w:noWrap w:val="0"/>
            <w:vAlign w:val="center"/>
          </w:tcPr>
          <w:p w14:paraId="4A871355">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100</w:t>
            </w:r>
          </w:p>
        </w:tc>
        <w:tc>
          <w:tcPr>
            <w:tcW w:w="238" w:type="pct"/>
            <w:tcBorders>
              <w:top w:val="single" w:color="000000" w:sz="4" w:space="0"/>
              <w:left w:val="single" w:color="000000" w:sz="4" w:space="0"/>
              <w:bottom w:val="single" w:color="000000" w:sz="4" w:space="0"/>
              <w:right w:val="single" w:color="000000" w:sz="4" w:space="0"/>
            </w:tcBorders>
            <w:noWrap w:val="0"/>
            <w:vAlign w:val="center"/>
          </w:tcPr>
          <w:p w14:paraId="13BF4E18">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100</w:t>
            </w:r>
          </w:p>
        </w:tc>
        <w:tc>
          <w:tcPr>
            <w:tcW w:w="202" w:type="pct"/>
            <w:tcBorders>
              <w:top w:val="single" w:color="000000" w:sz="4" w:space="0"/>
              <w:left w:val="single" w:color="000000" w:sz="4" w:space="0"/>
              <w:bottom w:val="single" w:color="000000" w:sz="4" w:space="0"/>
              <w:right w:val="single" w:color="000000" w:sz="4" w:space="0"/>
            </w:tcBorders>
            <w:noWrap w:val="0"/>
            <w:vAlign w:val="center"/>
          </w:tcPr>
          <w:p w14:paraId="30BA17AB">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2年</w:t>
            </w:r>
          </w:p>
        </w:tc>
        <w:tc>
          <w:tcPr>
            <w:tcW w:w="823" w:type="pct"/>
            <w:tcBorders>
              <w:top w:val="single" w:color="000000" w:sz="4" w:space="0"/>
              <w:left w:val="single" w:color="000000" w:sz="4" w:space="0"/>
              <w:bottom w:val="single" w:color="000000" w:sz="4" w:space="0"/>
              <w:right w:val="single" w:color="000000" w:sz="4" w:space="0"/>
            </w:tcBorders>
            <w:noWrap w:val="0"/>
            <w:vAlign w:val="center"/>
          </w:tcPr>
          <w:p w14:paraId="4D123074">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1.提交一套电解铝行业专用视觉引导焊接复杂轨迹规划及智能视觉质检系统算法视觉软件，并可依托硬件设备直接适配电解铝现场极端工况连续稳定运行。</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2.提交知识产权申请受理通知书/授权证书5-8项。</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3.提交检测报告1份。</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4.提交技术文件一套。</w:t>
            </w:r>
          </w:p>
        </w:tc>
        <w:tc>
          <w:tcPr>
            <w:tcW w:w="316" w:type="pct"/>
            <w:tcBorders>
              <w:top w:val="single" w:color="000000" w:sz="4" w:space="0"/>
              <w:left w:val="single" w:color="000000" w:sz="4" w:space="0"/>
              <w:bottom w:val="single" w:color="000000" w:sz="4" w:space="0"/>
              <w:right w:val="single" w:color="000000" w:sz="4" w:space="0"/>
            </w:tcBorders>
            <w:noWrap w:val="0"/>
            <w:vAlign w:val="center"/>
          </w:tcPr>
          <w:p w14:paraId="1ECEB153">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李伟华18638655603</w:t>
            </w:r>
          </w:p>
        </w:tc>
        <w:tc>
          <w:tcPr>
            <w:tcW w:w="238" w:type="pct"/>
            <w:tcBorders>
              <w:top w:val="single" w:color="000000" w:sz="4" w:space="0"/>
              <w:left w:val="single" w:color="000000" w:sz="4" w:space="0"/>
              <w:bottom w:val="single" w:color="000000" w:sz="4" w:space="0"/>
              <w:right w:val="single" w:color="000000" w:sz="4" w:space="0"/>
            </w:tcBorders>
            <w:noWrap w:val="0"/>
            <w:vAlign w:val="center"/>
          </w:tcPr>
          <w:p w14:paraId="2D7F6E22">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高新区</w:t>
            </w:r>
          </w:p>
        </w:tc>
      </w:tr>
      <w:tr w14:paraId="0DC607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0" w:hRule="atLeast"/>
        </w:trPr>
        <w:tc>
          <w:tcPr>
            <w:tcW w:w="181" w:type="pct"/>
            <w:tcBorders>
              <w:top w:val="single" w:color="000000" w:sz="4" w:space="0"/>
              <w:left w:val="single" w:color="000000" w:sz="4" w:space="0"/>
              <w:bottom w:val="single" w:color="000000" w:sz="4" w:space="0"/>
              <w:right w:val="single" w:color="000000" w:sz="4" w:space="0"/>
            </w:tcBorders>
            <w:noWrap w:val="0"/>
            <w:vAlign w:val="center"/>
          </w:tcPr>
          <w:p w14:paraId="16BF4FBE">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2</w:t>
            </w:r>
          </w:p>
        </w:tc>
        <w:tc>
          <w:tcPr>
            <w:tcW w:w="446" w:type="pct"/>
            <w:tcBorders>
              <w:top w:val="nil"/>
              <w:left w:val="single" w:color="000000" w:sz="4" w:space="0"/>
              <w:bottom w:val="single" w:color="000000" w:sz="4" w:space="0"/>
              <w:right w:val="single" w:color="000000" w:sz="4" w:space="0"/>
            </w:tcBorders>
            <w:noWrap w:val="0"/>
            <w:vAlign w:val="center"/>
          </w:tcPr>
          <w:p w14:paraId="34F6709C">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面向工业多协议融合的实时云平台关键技术攻关</w:t>
            </w:r>
          </w:p>
        </w:tc>
        <w:tc>
          <w:tcPr>
            <w:tcW w:w="276" w:type="pct"/>
            <w:tcBorders>
              <w:top w:val="nil"/>
              <w:left w:val="single" w:color="000000" w:sz="4" w:space="0"/>
              <w:bottom w:val="single" w:color="000000" w:sz="4" w:space="0"/>
              <w:right w:val="single" w:color="000000" w:sz="4" w:space="0"/>
            </w:tcBorders>
            <w:noWrap w:val="0"/>
            <w:vAlign w:val="center"/>
          </w:tcPr>
          <w:p w14:paraId="151DA7F1">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电子信息与数字技术领域-新一代信息技术</w:t>
            </w:r>
          </w:p>
        </w:tc>
        <w:tc>
          <w:tcPr>
            <w:tcW w:w="788" w:type="pct"/>
            <w:tcBorders>
              <w:top w:val="nil"/>
              <w:left w:val="single" w:color="000000" w:sz="4" w:space="0"/>
              <w:bottom w:val="single" w:color="000000" w:sz="4" w:space="0"/>
              <w:right w:val="single" w:color="000000" w:sz="4" w:space="0"/>
            </w:tcBorders>
            <w:noWrap w:val="0"/>
            <w:vAlign w:val="center"/>
          </w:tcPr>
          <w:p w14:paraId="6E830CBF">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1.突破多协议异构数据统一接入技术，实现Modbus、IEC60870、SNMP、DL/T、JSON等主流工业协议的轻量化适配与快速转换；</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2.攻克低延迟数据传输与同步技术，实现工业数据毫秒级上传与云端下发；</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3.研发大规模设备并发接入与高可靠数据处理技术，支持万级设备同时在线接入；</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4.构建边云协同实时计算架构，实现多协议数据的本地预处理与云端高效分析。</w:t>
            </w:r>
          </w:p>
        </w:tc>
        <w:tc>
          <w:tcPr>
            <w:tcW w:w="1057" w:type="pct"/>
            <w:tcBorders>
              <w:top w:val="nil"/>
              <w:left w:val="single" w:color="000000" w:sz="4" w:space="0"/>
              <w:bottom w:val="single" w:color="000000" w:sz="4" w:space="0"/>
              <w:right w:val="single" w:color="000000" w:sz="4" w:space="0"/>
            </w:tcBorders>
            <w:noWrap w:val="0"/>
            <w:vAlign w:val="center"/>
          </w:tcPr>
          <w:p w14:paraId="414D91A2">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1.支持Modbus、EC60870、SNMP、DL/T、JSON等主流协议适配；</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2.数据传输延迟≤100ms；</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3.支持≥10000台设备同时在线接入；</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4.数据采集准确率≥99.99%；</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5.形成具有自主知识产权的工业实时云平台产品，整体技术达到国内先进水平。</w:t>
            </w:r>
          </w:p>
        </w:tc>
        <w:tc>
          <w:tcPr>
            <w:tcW w:w="225" w:type="pct"/>
            <w:tcBorders>
              <w:top w:val="nil"/>
              <w:left w:val="single" w:color="000000" w:sz="4" w:space="0"/>
              <w:bottom w:val="single" w:color="000000" w:sz="4" w:space="0"/>
              <w:right w:val="single" w:color="000000" w:sz="4" w:space="0"/>
            </w:tcBorders>
            <w:noWrap w:val="0"/>
            <w:vAlign w:val="center"/>
          </w:tcPr>
          <w:p w14:paraId="27D02C37">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郑州捷宸电子科技有限公司</w:t>
            </w:r>
          </w:p>
        </w:tc>
        <w:tc>
          <w:tcPr>
            <w:tcW w:w="202" w:type="pct"/>
            <w:tcBorders>
              <w:top w:val="nil"/>
              <w:left w:val="single" w:color="000000" w:sz="4" w:space="0"/>
              <w:bottom w:val="single" w:color="000000" w:sz="4" w:space="0"/>
              <w:right w:val="single" w:color="000000" w:sz="4" w:space="0"/>
            </w:tcBorders>
            <w:noWrap w:val="0"/>
            <w:vAlign w:val="center"/>
          </w:tcPr>
          <w:p w14:paraId="7702729F">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400</w:t>
            </w:r>
          </w:p>
        </w:tc>
        <w:tc>
          <w:tcPr>
            <w:tcW w:w="238" w:type="pct"/>
            <w:tcBorders>
              <w:top w:val="nil"/>
              <w:left w:val="single" w:color="000000" w:sz="4" w:space="0"/>
              <w:bottom w:val="single" w:color="000000" w:sz="4" w:space="0"/>
              <w:right w:val="single" w:color="000000" w:sz="4" w:space="0"/>
            </w:tcBorders>
            <w:noWrap w:val="0"/>
            <w:vAlign w:val="center"/>
          </w:tcPr>
          <w:p w14:paraId="51251C2E">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300</w:t>
            </w:r>
          </w:p>
        </w:tc>
        <w:tc>
          <w:tcPr>
            <w:tcW w:w="202" w:type="pct"/>
            <w:tcBorders>
              <w:top w:val="nil"/>
              <w:left w:val="single" w:color="000000" w:sz="4" w:space="0"/>
              <w:bottom w:val="single" w:color="000000" w:sz="4" w:space="0"/>
              <w:right w:val="single" w:color="000000" w:sz="4" w:space="0"/>
            </w:tcBorders>
            <w:noWrap w:val="0"/>
            <w:vAlign w:val="center"/>
          </w:tcPr>
          <w:p w14:paraId="23EBCB3D">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2年</w:t>
            </w:r>
          </w:p>
        </w:tc>
        <w:tc>
          <w:tcPr>
            <w:tcW w:w="823" w:type="pct"/>
            <w:tcBorders>
              <w:top w:val="nil"/>
              <w:left w:val="single" w:color="000000" w:sz="4" w:space="0"/>
              <w:bottom w:val="single" w:color="000000" w:sz="4" w:space="0"/>
              <w:right w:val="single" w:color="000000" w:sz="4" w:space="0"/>
            </w:tcBorders>
            <w:noWrap w:val="0"/>
            <w:vAlign w:val="center"/>
          </w:tcPr>
          <w:p w14:paraId="583BD900">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1.提供完整的工业多协议融合实时云平台原型系统及技术文档。</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2.提交相关技术专利申请文件或软件著作权。</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3.提供第三方权威机构出具的性能测试报告。</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4.提供在装备制造/工业能源场景的试点应用验证报告。</w:t>
            </w:r>
          </w:p>
        </w:tc>
        <w:tc>
          <w:tcPr>
            <w:tcW w:w="316" w:type="pct"/>
            <w:tcBorders>
              <w:top w:val="nil"/>
              <w:left w:val="single" w:color="000000" w:sz="4" w:space="0"/>
              <w:bottom w:val="single" w:color="000000" w:sz="4" w:space="0"/>
              <w:right w:val="single" w:color="000000" w:sz="4" w:space="0"/>
            </w:tcBorders>
            <w:noWrap w:val="0"/>
            <w:vAlign w:val="center"/>
          </w:tcPr>
          <w:p w14:paraId="738D8966">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陈云果15639259507</w:t>
            </w:r>
          </w:p>
        </w:tc>
        <w:tc>
          <w:tcPr>
            <w:tcW w:w="238" w:type="pct"/>
            <w:tcBorders>
              <w:top w:val="nil"/>
              <w:left w:val="single" w:color="000000" w:sz="4" w:space="0"/>
              <w:bottom w:val="single" w:color="000000" w:sz="4" w:space="0"/>
              <w:right w:val="single" w:color="000000" w:sz="4" w:space="0"/>
            </w:tcBorders>
            <w:noWrap w:val="0"/>
            <w:vAlign w:val="center"/>
          </w:tcPr>
          <w:p w14:paraId="50081798">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中原区</w:t>
            </w:r>
          </w:p>
        </w:tc>
      </w:tr>
      <w:tr w14:paraId="39A7F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1" w:type="pct"/>
            <w:tcBorders>
              <w:top w:val="single" w:color="000000" w:sz="4" w:space="0"/>
              <w:left w:val="single" w:color="000000" w:sz="4" w:space="0"/>
              <w:bottom w:val="single" w:color="000000" w:sz="4" w:space="0"/>
              <w:right w:val="single" w:color="000000" w:sz="4" w:space="0"/>
            </w:tcBorders>
            <w:noWrap w:val="0"/>
            <w:vAlign w:val="center"/>
          </w:tcPr>
          <w:p w14:paraId="6EE12292">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3</w:t>
            </w:r>
          </w:p>
        </w:tc>
        <w:tc>
          <w:tcPr>
            <w:tcW w:w="446" w:type="pct"/>
            <w:tcBorders>
              <w:top w:val="single" w:color="000000" w:sz="4" w:space="0"/>
              <w:left w:val="single" w:color="000000" w:sz="4" w:space="0"/>
              <w:bottom w:val="single" w:color="000000" w:sz="4" w:space="0"/>
              <w:right w:val="single" w:color="000000" w:sz="4" w:space="0"/>
            </w:tcBorders>
            <w:noWrap w:val="0"/>
            <w:vAlign w:val="center"/>
          </w:tcPr>
          <w:p w14:paraId="0667A1B7">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一种耐高温紧凑型水侧热管理集成模块的研发及应用</w:t>
            </w:r>
          </w:p>
        </w:tc>
        <w:tc>
          <w:tcPr>
            <w:tcW w:w="276" w:type="pct"/>
            <w:tcBorders>
              <w:top w:val="single" w:color="000000" w:sz="4" w:space="0"/>
              <w:left w:val="single" w:color="000000" w:sz="4" w:space="0"/>
              <w:bottom w:val="single" w:color="000000" w:sz="4" w:space="0"/>
              <w:right w:val="single" w:color="000000" w:sz="4" w:space="0"/>
            </w:tcBorders>
            <w:noWrap w:val="0"/>
            <w:vAlign w:val="center"/>
          </w:tcPr>
          <w:p w14:paraId="040E187D">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先进制造领域-新能源汽车</w:t>
            </w:r>
          </w:p>
        </w:tc>
        <w:tc>
          <w:tcPr>
            <w:tcW w:w="788" w:type="pct"/>
            <w:tcBorders>
              <w:top w:val="single" w:color="000000" w:sz="4" w:space="0"/>
              <w:left w:val="single" w:color="000000" w:sz="4" w:space="0"/>
              <w:bottom w:val="single" w:color="000000" w:sz="4" w:space="0"/>
              <w:right w:val="single" w:color="000000" w:sz="4" w:space="0"/>
            </w:tcBorders>
            <w:noWrap w:val="0"/>
            <w:vAlign w:val="center"/>
          </w:tcPr>
          <w:p w14:paraId="1925DF2D">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1.高温工况下PA66-GF30材料一体化注塑成型型腔充填、形变抑制难题；</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2.异形集成阀体流道结构一体化拓扑优化与轻量化结构设计难题；</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3.高熔点PA66-GF30焊缝无缺陷热气焊工艺与参数自适应调控难题；</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4.高低温交变服役环境下集成模块可靠性集成匹配与耐久验证难题。</w:t>
            </w:r>
          </w:p>
        </w:tc>
        <w:tc>
          <w:tcPr>
            <w:tcW w:w="1057" w:type="pct"/>
            <w:tcBorders>
              <w:top w:val="single" w:color="000000" w:sz="4" w:space="0"/>
              <w:left w:val="single" w:color="000000" w:sz="4" w:space="0"/>
              <w:bottom w:val="single" w:color="000000" w:sz="4" w:space="0"/>
              <w:right w:val="single" w:color="000000" w:sz="4" w:space="0"/>
            </w:tcBorders>
            <w:noWrap w:val="0"/>
            <w:vAlign w:val="center"/>
          </w:tcPr>
          <w:p w14:paraId="6A73FC9B">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1.成果指标：（1）攻克4项关键技术开发一套耐高温一体化热管理集成模块产品及配套结构仿真、焊接工艺参数标定专用设计软件，产品可适配新能源汽车机舱高温热源周边工况长期稳定装车使用；</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（2）申请发明专利2项、实用新型专利1-2项；</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2.技术指标：（1）耐高温性能：产品长期125℃连续工况稳定运行，短时耐受145℃极限高温无形变渗漏，材料高温抗蠕变满足整车服役标准；</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（2）集成轻量化指标：阀体与流道板一体化成型，相较传统螺栓分体结构产品体积缩减≥25%；</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（3）结构自适应：可兼容0~4mm装配公差波动，整车装配安装误差自适应补偿；</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（5）焊接性能：焊缝无气孔、分层缺陷，全段气密检测零泄漏，焊接强度≥800kpa；</w:t>
            </w:r>
          </w:p>
        </w:tc>
        <w:tc>
          <w:tcPr>
            <w:tcW w:w="225" w:type="pct"/>
            <w:tcBorders>
              <w:top w:val="single" w:color="000000" w:sz="4" w:space="0"/>
              <w:left w:val="single" w:color="000000" w:sz="4" w:space="0"/>
              <w:bottom w:val="single" w:color="000000" w:sz="4" w:space="0"/>
              <w:right w:val="single" w:color="000000" w:sz="4" w:space="0"/>
            </w:tcBorders>
            <w:noWrap w:val="0"/>
            <w:vAlign w:val="center"/>
          </w:tcPr>
          <w:p w14:paraId="25D9906E">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郑州飞龙汽车部件有限公司</w:t>
            </w:r>
          </w:p>
        </w:tc>
        <w:tc>
          <w:tcPr>
            <w:tcW w:w="202" w:type="pct"/>
            <w:tcBorders>
              <w:top w:val="single" w:color="000000" w:sz="4" w:space="0"/>
              <w:left w:val="single" w:color="000000" w:sz="4" w:space="0"/>
              <w:bottom w:val="single" w:color="000000" w:sz="4" w:space="0"/>
              <w:right w:val="single" w:color="000000" w:sz="4" w:space="0"/>
            </w:tcBorders>
            <w:noWrap w:val="0"/>
            <w:vAlign w:val="center"/>
          </w:tcPr>
          <w:p w14:paraId="22A8DD5D">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200</w:t>
            </w:r>
          </w:p>
        </w:tc>
        <w:tc>
          <w:tcPr>
            <w:tcW w:w="238" w:type="pct"/>
            <w:tcBorders>
              <w:top w:val="single" w:color="000000" w:sz="4" w:space="0"/>
              <w:left w:val="single" w:color="000000" w:sz="4" w:space="0"/>
              <w:bottom w:val="single" w:color="000000" w:sz="4" w:space="0"/>
              <w:right w:val="single" w:color="000000" w:sz="4" w:space="0"/>
            </w:tcBorders>
            <w:noWrap w:val="0"/>
            <w:vAlign w:val="center"/>
          </w:tcPr>
          <w:p w14:paraId="78949ED2">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200</w:t>
            </w:r>
          </w:p>
        </w:tc>
        <w:tc>
          <w:tcPr>
            <w:tcW w:w="202" w:type="pct"/>
            <w:tcBorders>
              <w:top w:val="single" w:color="000000" w:sz="4" w:space="0"/>
              <w:left w:val="single" w:color="000000" w:sz="4" w:space="0"/>
              <w:bottom w:val="single" w:color="000000" w:sz="4" w:space="0"/>
              <w:right w:val="single" w:color="000000" w:sz="4" w:space="0"/>
            </w:tcBorders>
            <w:noWrap w:val="0"/>
            <w:vAlign w:val="center"/>
          </w:tcPr>
          <w:p w14:paraId="506AF24E">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2年</w:t>
            </w:r>
          </w:p>
        </w:tc>
        <w:tc>
          <w:tcPr>
            <w:tcW w:w="823" w:type="pct"/>
            <w:tcBorders>
              <w:top w:val="single" w:color="000000" w:sz="4" w:space="0"/>
              <w:left w:val="single" w:color="000000" w:sz="4" w:space="0"/>
              <w:bottom w:val="single" w:color="000000" w:sz="4" w:space="0"/>
              <w:right w:val="single" w:color="000000" w:sz="4" w:space="0"/>
            </w:tcBorders>
            <w:noWrap w:val="0"/>
            <w:vAlign w:val="center"/>
          </w:tcPr>
          <w:p w14:paraId="3764817E">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1.需攻克四项关键技术，完成耐高温热管理集成模块样机研制，配套专用仿真设计软件，产品满足125℃长期耐热、体积缩减≥25%等全部技术指标。</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2.提交检测报告1份；</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3.提交技术文件一套。</w:t>
            </w:r>
          </w:p>
        </w:tc>
        <w:tc>
          <w:tcPr>
            <w:tcW w:w="316" w:type="pct"/>
            <w:tcBorders>
              <w:top w:val="single" w:color="000000" w:sz="4" w:space="0"/>
              <w:left w:val="single" w:color="000000" w:sz="4" w:space="0"/>
              <w:bottom w:val="single" w:color="000000" w:sz="4" w:space="0"/>
              <w:right w:val="single" w:color="000000" w:sz="4" w:space="0"/>
            </w:tcBorders>
            <w:noWrap w:val="0"/>
            <w:vAlign w:val="center"/>
          </w:tcPr>
          <w:p w14:paraId="15011AA2">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史玲13526582762</w:t>
            </w:r>
          </w:p>
        </w:tc>
        <w:tc>
          <w:tcPr>
            <w:tcW w:w="238" w:type="pct"/>
            <w:tcBorders>
              <w:top w:val="single" w:color="000000" w:sz="4" w:space="0"/>
              <w:left w:val="single" w:color="000000" w:sz="4" w:space="0"/>
              <w:bottom w:val="single" w:color="000000" w:sz="4" w:space="0"/>
              <w:right w:val="single" w:color="000000" w:sz="4" w:space="0"/>
            </w:tcBorders>
            <w:noWrap w:val="0"/>
            <w:vAlign w:val="center"/>
          </w:tcPr>
          <w:p w14:paraId="4B24C172">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中牟县</w:t>
            </w:r>
          </w:p>
        </w:tc>
      </w:tr>
      <w:tr w14:paraId="00B57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20" w:hRule="atLeast"/>
        </w:trPr>
        <w:tc>
          <w:tcPr>
            <w:tcW w:w="181" w:type="pct"/>
            <w:tcBorders>
              <w:top w:val="single" w:color="000000" w:sz="4" w:space="0"/>
              <w:left w:val="single" w:color="000000" w:sz="4" w:space="0"/>
              <w:bottom w:val="single" w:color="000000" w:sz="4" w:space="0"/>
              <w:right w:val="single" w:color="000000" w:sz="4" w:space="0"/>
            </w:tcBorders>
            <w:noWrap w:val="0"/>
            <w:vAlign w:val="center"/>
          </w:tcPr>
          <w:p w14:paraId="7E74FC1F">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4</w:t>
            </w:r>
          </w:p>
        </w:tc>
        <w:tc>
          <w:tcPr>
            <w:tcW w:w="446" w:type="pct"/>
            <w:tcBorders>
              <w:top w:val="single" w:color="000000" w:sz="4" w:space="0"/>
              <w:left w:val="single" w:color="000000" w:sz="4" w:space="0"/>
              <w:bottom w:val="single" w:color="000000" w:sz="4" w:space="0"/>
              <w:right w:val="single" w:color="000000" w:sz="4" w:space="0"/>
            </w:tcBorders>
            <w:noWrap w:val="0"/>
            <w:vAlign w:val="center"/>
          </w:tcPr>
          <w:p w14:paraId="3C8C6EF9">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面向PHEV的舱驾一体化域控架构及车身控制系统研发</w:t>
            </w:r>
          </w:p>
        </w:tc>
        <w:tc>
          <w:tcPr>
            <w:tcW w:w="276" w:type="pct"/>
            <w:tcBorders>
              <w:top w:val="single" w:color="000000" w:sz="4" w:space="0"/>
              <w:left w:val="single" w:color="000000" w:sz="4" w:space="0"/>
              <w:bottom w:val="single" w:color="000000" w:sz="4" w:space="0"/>
              <w:right w:val="single" w:color="000000" w:sz="4" w:space="0"/>
            </w:tcBorders>
            <w:noWrap w:val="0"/>
            <w:vAlign w:val="center"/>
          </w:tcPr>
          <w:p w14:paraId="51682B1B">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先进制造领域-智能网联汽车</w:t>
            </w:r>
          </w:p>
        </w:tc>
        <w:tc>
          <w:tcPr>
            <w:tcW w:w="788" w:type="pct"/>
            <w:tcBorders>
              <w:top w:val="single" w:color="000000" w:sz="4" w:space="0"/>
              <w:left w:val="single" w:color="000000" w:sz="4" w:space="0"/>
              <w:bottom w:val="single" w:color="000000" w:sz="4" w:space="0"/>
              <w:right w:val="single" w:color="000000" w:sz="4" w:space="0"/>
            </w:tcBorders>
            <w:noWrap w:val="0"/>
            <w:vAlign w:val="center"/>
          </w:tcPr>
          <w:p w14:paraId="6547688B">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针对当前行业座舱与智驾分散式架构普遍存在硬件资源重复配置、跨域数据传输延迟、协同控制响应滞后等痛点问题，本项目聚焦开展舱驾一体化域控架构与车身控制系统相关研发工作。项目依托舱驾一体域控架构硬件集成方案，同步开发适配多动力源与车身系统的协同控制算法及复杂工况动态优化策略，打通各功能模块数据壁垒，搭建高效稳定的跨域协同控制体系，最终形成自主可控的域控架构整体方案与配套核心技术集群。</w:t>
            </w:r>
          </w:p>
        </w:tc>
        <w:tc>
          <w:tcPr>
            <w:tcW w:w="1057" w:type="pct"/>
            <w:tcBorders>
              <w:top w:val="single" w:color="000000" w:sz="4" w:space="0"/>
              <w:left w:val="single" w:color="000000" w:sz="4" w:space="0"/>
              <w:bottom w:val="single" w:color="000000" w:sz="4" w:space="0"/>
              <w:right w:val="single" w:color="000000" w:sz="4" w:space="0"/>
            </w:tcBorders>
            <w:noWrap w:val="0"/>
            <w:vAlign w:val="center"/>
          </w:tcPr>
          <w:p w14:paraId="5D9F324F">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1.形成PHEV舱驾一体化域控架构方案1套，硬件集成度提升30%以上，跨域数据传输延迟≤10ms。</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2.形成工程化应用技术文档体系1套。</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3.完成典型PHEV车型（含皮卡、SUV）的适配验证，提供可量产的技术方案与样件。</w:t>
            </w:r>
          </w:p>
        </w:tc>
        <w:tc>
          <w:tcPr>
            <w:tcW w:w="225" w:type="pct"/>
            <w:tcBorders>
              <w:top w:val="single" w:color="000000" w:sz="4" w:space="0"/>
              <w:left w:val="single" w:color="000000" w:sz="4" w:space="0"/>
              <w:bottom w:val="single" w:color="000000" w:sz="4" w:space="0"/>
              <w:right w:val="single" w:color="000000" w:sz="4" w:space="0"/>
            </w:tcBorders>
            <w:noWrap w:val="0"/>
            <w:vAlign w:val="center"/>
          </w:tcPr>
          <w:p w14:paraId="3F5CC4CD">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郑州日产汽车有限公司</w:t>
            </w:r>
          </w:p>
        </w:tc>
        <w:tc>
          <w:tcPr>
            <w:tcW w:w="202" w:type="pct"/>
            <w:tcBorders>
              <w:top w:val="single" w:color="000000" w:sz="4" w:space="0"/>
              <w:left w:val="single" w:color="000000" w:sz="4" w:space="0"/>
              <w:bottom w:val="single" w:color="000000" w:sz="4" w:space="0"/>
              <w:right w:val="single" w:color="000000" w:sz="4" w:space="0"/>
            </w:tcBorders>
            <w:noWrap w:val="0"/>
            <w:vAlign w:val="center"/>
          </w:tcPr>
          <w:p w14:paraId="67F59BC9">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500</w:t>
            </w:r>
          </w:p>
        </w:tc>
        <w:tc>
          <w:tcPr>
            <w:tcW w:w="238" w:type="pct"/>
            <w:tcBorders>
              <w:top w:val="single" w:color="000000" w:sz="4" w:space="0"/>
              <w:left w:val="single" w:color="000000" w:sz="4" w:space="0"/>
              <w:bottom w:val="single" w:color="000000" w:sz="4" w:space="0"/>
              <w:right w:val="single" w:color="000000" w:sz="4" w:space="0"/>
            </w:tcBorders>
            <w:noWrap w:val="0"/>
            <w:vAlign w:val="center"/>
          </w:tcPr>
          <w:p w14:paraId="017E29CA">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400</w:t>
            </w:r>
          </w:p>
        </w:tc>
        <w:tc>
          <w:tcPr>
            <w:tcW w:w="202" w:type="pct"/>
            <w:tcBorders>
              <w:top w:val="single" w:color="000000" w:sz="4" w:space="0"/>
              <w:left w:val="single" w:color="000000" w:sz="4" w:space="0"/>
              <w:bottom w:val="single" w:color="000000" w:sz="4" w:space="0"/>
              <w:right w:val="single" w:color="000000" w:sz="4" w:space="0"/>
            </w:tcBorders>
            <w:noWrap w:val="0"/>
            <w:vAlign w:val="center"/>
          </w:tcPr>
          <w:p w14:paraId="17CC01E5">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2年</w:t>
            </w:r>
          </w:p>
        </w:tc>
        <w:tc>
          <w:tcPr>
            <w:tcW w:w="823" w:type="pct"/>
            <w:tcBorders>
              <w:top w:val="single" w:color="000000" w:sz="4" w:space="0"/>
              <w:left w:val="single" w:color="000000" w:sz="4" w:space="0"/>
              <w:bottom w:val="single" w:color="000000" w:sz="4" w:space="0"/>
              <w:right w:val="single" w:color="000000" w:sz="4" w:space="0"/>
            </w:tcBorders>
            <w:noWrap w:val="0"/>
            <w:vAlign w:val="center"/>
          </w:tcPr>
          <w:p w14:paraId="770E15A7">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交付试验样机满足技术指标，实验数据双方认可。</w:t>
            </w:r>
            <w:r>
              <w:rPr>
                <w:rFonts w:hint="eastAsia" w:ascii="华文宋体" w:hAnsi="华文宋体" w:eastAsia="华文宋体" w:cs="华文宋体"/>
                <w:color w:val="auto"/>
                <w:sz w:val="21"/>
                <w:szCs w:val="21"/>
                <w:highlight w:val="none"/>
                <w:lang w:val="en-US" w:eastAsia="zh-CN"/>
              </w:rPr>
              <w:br w:type="textWrapping"/>
            </w:r>
          </w:p>
        </w:tc>
        <w:tc>
          <w:tcPr>
            <w:tcW w:w="316" w:type="pct"/>
            <w:tcBorders>
              <w:top w:val="single" w:color="000000" w:sz="4" w:space="0"/>
              <w:left w:val="single" w:color="000000" w:sz="4" w:space="0"/>
              <w:bottom w:val="single" w:color="000000" w:sz="4" w:space="0"/>
              <w:right w:val="single" w:color="000000" w:sz="4" w:space="0"/>
            </w:tcBorders>
            <w:noWrap w:val="0"/>
            <w:vAlign w:val="center"/>
          </w:tcPr>
          <w:p w14:paraId="5985B9B4">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李伟莉13612045201</w:t>
            </w:r>
          </w:p>
        </w:tc>
        <w:tc>
          <w:tcPr>
            <w:tcW w:w="238" w:type="pct"/>
            <w:tcBorders>
              <w:top w:val="single" w:color="000000" w:sz="4" w:space="0"/>
              <w:left w:val="single" w:color="000000" w:sz="4" w:space="0"/>
              <w:bottom w:val="single" w:color="000000" w:sz="4" w:space="0"/>
              <w:right w:val="single" w:color="000000" w:sz="4" w:space="0"/>
            </w:tcBorders>
            <w:noWrap w:val="0"/>
            <w:vAlign w:val="center"/>
          </w:tcPr>
          <w:p w14:paraId="1BABC1FF">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中牟县</w:t>
            </w:r>
          </w:p>
        </w:tc>
      </w:tr>
      <w:tr w14:paraId="75C4C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9" w:hRule="atLeast"/>
        </w:trPr>
        <w:tc>
          <w:tcPr>
            <w:tcW w:w="181" w:type="pct"/>
            <w:tcBorders>
              <w:top w:val="single" w:color="000000" w:sz="4" w:space="0"/>
              <w:left w:val="single" w:color="000000" w:sz="4" w:space="0"/>
              <w:bottom w:val="single" w:color="000000" w:sz="4" w:space="0"/>
              <w:right w:val="single" w:color="000000" w:sz="4" w:space="0"/>
            </w:tcBorders>
            <w:noWrap w:val="0"/>
            <w:vAlign w:val="center"/>
          </w:tcPr>
          <w:p w14:paraId="74F23EDD">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5</w:t>
            </w:r>
          </w:p>
        </w:tc>
        <w:tc>
          <w:tcPr>
            <w:tcW w:w="446" w:type="pct"/>
            <w:tcBorders>
              <w:top w:val="single" w:color="000000" w:sz="4" w:space="0"/>
              <w:left w:val="single" w:color="000000" w:sz="4" w:space="0"/>
              <w:bottom w:val="single" w:color="000000" w:sz="4" w:space="0"/>
              <w:right w:val="single" w:color="000000" w:sz="4" w:space="0"/>
            </w:tcBorders>
            <w:noWrap w:val="0"/>
            <w:vAlign w:val="center"/>
          </w:tcPr>
          <w:p w14:paraId="5BFD2FD4">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面向新型电力系统的感知终端协同融合技术攻关及产业化</w:t>
            </w:r>
          </w:p>
        </w:tc>
        <w:tc>
          <w:tcPr>
            <w:tcW w:w="276" w:type="pct"/>
            <w:tcBorders>
              <w:top w:val="single" w:color="000000" w:sz="4" w:space="0"/>
              <w:left w:val="single" w:color="000000" w:sz="4" w:space="0"/>
              <w:bottom w:val="single" w:color="000000" w:sz="4" w:space="0"/>
              <w:right w:val="single" w:color="000000" w:sz="4" w:space="0"/>
            </w:tcBorders>
            <w:noWrap w:val="0"/>
            <w:vAlign w:val="center"/>
          </w:tcPr>
          <w:p w14:paraId="1352E999">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先进制造领域-高端智能装备</w:t>
            </w:r>
          </w:p>
        </w:tc>
        <w:tc>
          <w:tcPr>
            <w:tcW w:w="788" w:type="pct"/>
            <w:tcBorders>
              <w:top w:val="single" w:color="000000" w:sz="4" w:space="0"/>
              <w:left w:val="single" w:color="000000" w:sz="4" w:space="0"/>
              <w:bottom w:val="single" w:color="000000" w:sz="4" w:space="0"/>
              <w:right w:val="single" w:color="000000" w:sz="4" w:space="0"/>
            </w:tcBorders>
            <w:noWrap w:val="0"/>
            <w:vAlign w:val="center"/>
          </w:tcPr>
          <w:p w14:paraId="11C031C9">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本项目围绕新型电力系统设备协同需求，研发基于碳化硅器件的宽频带互感器，实现0.1Hz-10kHz全频段信号监测；开发“CPU+FPGA”异构架构的边缘智能融合终端，集成5GURLLC与PLC双模通信及轻量化边缘算法；构建多维度数据模型，研发多源数据融合与智能保护算法；采用抗干扰组合方案并开发适配插件，满足多场景应用需求。</w:t>
            </w:r>
          </w:p>
        </w:tc>
        <w:tc>
          <w:tcPr>
            <w:tcW w:w="1057" w:type="pct"/>
            <w:tcBorders>
              <w:top w:val="single" w:color="000000" w:sz="4" w:space="0"/>
              <w:left w:val="single" w:color="000000" w:sz="4" w:space="0"/>
              <w:bottom w:val="single" w:color="000000" w:sz="4" w:space="0"/>
              <w:right w:val="single" w:color="000000" w:sz="4" w:space="0"/>
            </w:tcBorders>
            <w:noWrap w:val="0"/>
            <w:vAlign w:val="center"/>
          </w:tcPr>
          <w:p w14:paraId="7CEC5434">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1.技术指标：（1）开发宽频带互感器技术，基于SiC器件研发0.1Hz-10kHz宽频带互感器，优化非线性补偿算法使THD≤0.5%，精度达0.01级。（2）开发CPU+FPGA架构，集成5G URLLC与PLC双模通信，支持IEEE1588v2时钟同步（误差≤1μs），通信可靠性99.999%，响应≤10ms。（3）实现故障切除≤20ms、定位±50米。（4）将强干扰下采样误差降至±0.05%，开发数字采样插件适配80%老旧互感器。</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2.成果指标：（1）形成宽频带互感器、双模通信智能终端、多协议边缘网关各1款。（2）知识产权与标准成果申请发明专利1项，实用新型专利2-3项，制定团体标准1项。</w:t>
            </w:r>
          </w:p>
        </w:tc>
        <w:tc>
          <w:tcPr>
            <w:tcW w:w="225" w:type="pct"/>
            <w:tcBorders>
              <w:top w:val="single" w:color="000000" w:sz="4" w:space="0"/>
              <w:left w:val="single" w:color="000000" w:sz="4" w:space="0"/>
              <w:bottom w:val="single" w:color="000000" w:sz="4" w:space="0"/>
              <w:right w:val="single" w:color="000000" w:sz="4" w:space="0"/>
            </w:tcBorders>
            <w:noWrap w:val="0"/>
            <w:vAlign w:val="center"/>
          </w:tcPr>
          <w:p w14:paraId="039728F6">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沃力特电力科技集团有限公司</w:t>
            </w:r>
          </w:p>
        </w:tc>
        <w:tc>
          <w:tcPr>
            <w:tcW w:w="202" w:type="pct"/>
            <w:tcBorders>
              <w:top w:val="single" w:color="000000" w:sz="4" w:space="0"/>
              <w:left w:val="single" w:color="000000" w:sz="4" w:space="0"/>
              <w:bottom w:val="single" w:color="000000" w:sz="4" w:space="0"/>
              <w:right w:val="single" w:color="000000" w:sz="4" w:space="0"/>
            </w:tcBorders>
            <w:noWrap w:val="0"/>
            <w:vAlign w:val="center"/>
          </w:tcPr>
          <w:p w14:paraId="42B85EAC">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230</w:t>
            </w:r>
          </w:p>
        </w:tc>
        <w:tc>
          <w:tcPr>
            <w:tcW w:w="238" w:type="pct"/>
            <w:tcBorders>
              <w:top w:val="single" w:color="000000" w:sz="4" w:space="0"/>
              <w:left w:val="single" w:color="000000" w:sz="4" w:space="0"/>
              <w:bottom w:val="single" w:color="000000" w:sz="4" w:space="0"/>
              <w:right w:val="single" w:color="000000" w:sz="4" w:space="0"/>
            </w:tcBorders>
            <w:noWrap w:val="0"/>
            <w:vAlign w:val="center"/>
          </w:tcPr>
          <w:p w14:paraId="5D29A70A">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230</w:t>
            </w:r>
          </w:p>
        </w:tc>
        <w:tc>
          <w:tcPr>
            <w:tcW w:w="202" w:type="pct"/>
            <w:tcBorders>
              <w:top w:val="single" w:color="000000" w:sz="4" w:space="0"/>
              <w:left w:val="single" w:color="000000" w:sz="4" w:space="0"/>
              <w:bottom w:val="single" w:color="000000" w:sz="4" w:space="0"/>
              <w:right w:val="single" w:color="000000" w:sz="4" w:space="0"/>
            </w:tcBorders>
            <w:noWrap w:val="0"/>
            <w:vAlign w:val="center"/>
          </w:tcPr>
          <w:p w14:paraId="53815860">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2年</w:t>
            </w:r>
          </w:p>
        </w:tc>
        <w:tc>
          <w:tcPr>
            <w:tcW w:w="823" w:type="pct"/>
            <w:tcBorders>
              <w:top w:val="single" w:color="000000" w:sz="4" w:space="0"/>
              <w:left w:val="single" w:color="000000" w:sz="4" w:space="0"/>
              <w:bottom w:val="single" w:color="000000" w:sz="4" w:space="0"/>
              <w:right w:val="single" w:color="000000" w:sz="4" w:space="0"/>
            </w:tcBorders>
            <w:noWrap w:val="0"/>
            <w:vAlign w:val="center"/>
          </w:tcPr>
          <w:p w14:paraId="08C0B79E">
            <w:pPr>
              <w:rPr>
                <w:rFonts w:hint="eastAsia" w:ascii="华文宋体" w:hAnsi="华文宋体" w:eastAsia="华文宋体" w:cs="华文宋体"/>
                <w:color w:val="auto"/>
                <w:sz w:val="21"/>
                <w:szCs w:val="21"/>
                <w:highlight w:val="none"/>
                <w:lang w:val="en-US" w:eastAsia="zh-CN"/>
              </w:rPr>
            </w:pPr>
            <w:r>
              <w:rPr>
                <w:rFonts w:hint="eastAsia" w:ascii="华文宋体" w:hAnsi="华文宋体" w:eastAsia="华文宋体" w:cs="华文宋体"/>
                <w:color w:val="auto"/>
                <w:sz w:val="21"/>
                <w:szCs w:val="21"/>
                <w:highlight w:val="none"/>
                <w:lang w:val="en-US" w:eastAsia="zh-CN"/>
              </w:rPr>
              <w:t>1.将宽频带感知、边缘智能计算与多协议通信等单元一体化集成设计，实现"感知-传输-处理"全链路深度融合，整体结构紧凑、功能高度集约。</w:t>
            </w:r>
          </w:p>
          <w:p w14:paraId="3B424322">
            <w:pPr>
              <w:rPr>
                <w:rFonts w:hint="eastAsia" w:ascii="华文宋体" w:hAnsi="华文宋体" w:eastAsia="华文宋体" w:cs="华文宋体"/>
                <w:color w:val="auto"/>
                <w:sz w:val="21"/>
                <w:szCs w:val="21"/>
                <w:highlight w:val="none"/>
                <w:lang w:val="en-US" w:eastAsia="zh-CN"/>
              </w:rPr>
            </w:pPr>
            <w:r>
              <w:rPr>
                <w:rFonts w:hint="eastAsia" w:ascii="华文宋体" w:hAnsi="华文宋体" w:eastAsia="华文宋体" w:cs="华文宋体"/>
                <w:color w:val="auto"/>
                <w:sz w:val="21"/>
                <w:szCs w:val="21"/>
                <w:highlight w:val="none"/>
                <w:lang w:val="en-US" w:eastAsia="zh-CN"/>
              </w:rPr>
              <w:t>2.将高精度传感器、FPGA异构处理器及5G/PLC双模通信模块等硬件内嵌于设备机体，赋予其宽频信号自动校准、多源数据实时融合与故障自主决策能力，实现从"被动响应"到"主动智能"的升级。</w:t>
            </w:r>
          </w:p>
          <w:p w14:paraId="68577467">
            <w:pPr>
              <w:rPr>
                <w:rFonts w:hint="eastAsia" w:ascii="华文宋体" w:hAnsi="华文宋体" w:eastAsia="华文宋体" w:cs="华文宋体"/>
                <w:color w:val="auto"/>
                <w:sz w:val="21"/>
                <w:szCs w:val="21"/>
                <w:highlight w:val="none"/>
                <w:lang w:val="en-US" w:eastAsia="zh-CN"/>
              </w:rPr>
            </w:pPr>
            <w:r>
              <w:rPr>
                <w:rFonts w:hint="eastAsia" w:ascii="华文宋体" w:hAnsi="华文宋体" w:eastAsia="华文宋体" w:cs="华文宋体"/>
                <w:color w:val="auto"/>
                <w:sz w:val="21"/>
                <w:szCs w:val="21"/>
                <w:highlight w:val="none"/>
                <w:lang w:val="en-US" w:eastAsia="zh-CN"/>
              </w:rPr>
              <w:t>3.申请发明专利1项，申请实用新型专利2项。</w:t>
            </w:r>
          </w:p>
          <w:p w14:paraId="4992CF15">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4.样机1件。</w:t>
            </w:r>
          </w:p>
        </w:tc>
        <w:tc>
          <w:tcPr>
            <w:tcW w:w="316" w:type="pct"/>
            <w:tcBorders>
              <w:top w:val="single" w:color="000000" w:sz="4" w:space="0"/>
              <w:left w:val="single" w:color="000000" w:sz="4" w:space="0"/>
              <w:bottom w:val="single" w:color="000000" w:sz="4" w:space="0"/>
              <w:right w:val="single" w:color="000000" w:sz="4" w:space="0"/>
            </w:tcBorders>
            <w:noWrap w:val="0"/>
            <w:vAlign w:val="center"/>
          </w:tcPr>
          <w:p w14:paraId="31F8EA25">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王华15225149692</w:t>
            </w:r>
          </w:p>
        </w:tc>
        <w:tc>
          <w:tcPr>
            <w:tcW w:w="238" w:type="pct"/>
            <w:tcBorders>
              <w:top w:val="single" w:color="000000" w:sz="4" w:space="0"/>
              <w:left w:val="single" w:color="000000" w:sz="4" w:space="0"/>
              <w:bottom w:val="single" w:color="000000" w:sz="4" w:space="0"/>
              <w:right w:val="single" w:color="000000" w:sz="4" w:space="0"/>
            </w:tcBorders>
            <w:noWrap w:val="0"/>
            <w:vAlign w:val="center"/>
          </w:tcPr>
          <w:p w14:paraId="13CE57A5">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高新区</w:t>
            </w:r>
          </w:p>
        </w:tc>
      </w:tr>
      <w:tr w14:paraId="1BEB81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0" w:hRule="atLeast"/>
        </w:trPr>
        <w:tc>
          <w:tcPr>
            <w:tcW w:w="181" w:type="pct"/>
            <w:tcBorders>
              <w:top w:val="single" w:color="000000" w:sz="4" w:space="0"/>
              <w:left w:val="single" w:color="000000" w:sz="4" w:space="0"/>
              <w:bottom w:val="single" w:color="000000" w:sz="4" w:space="0"/>
              <w:right w:val="single" w:color="000000" w:sz="4" w:space="0"/>
            </w:tcBorders>
            <w:noWrap w:val="0"/>
            <w:vAlign w:val="center"/>
          </w:tcPr>
          <w:p w14:paraId="4618A9B3">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6</w:t>
            </w:r>
          </w:p>
        </w:tc>
        <w:tc>
          <w:tcPr>
            <w:tcW w:w="446" w:type="pct"/>
            <w:tcBorders>
              <w:top w:val="single" w:color="000000" w:sz="4" w:space="0"/>
              <w:left w:val="single" w:color="000000" w:sz="4" w:space="0"/>
              <w:bottom w:val="single" w:color="000000" w:sz="4" w:space="0"/>
              <w:right w:val="single" w:color="000000" w:sz="4" w:space="0"/>
            </w:tcBorders>
            <w:noWrap w:val="0"/>
            <w:vAlign w:val="center"/>
          </w:tcPr>
          <w:p w14:paraId="40302377">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永磁减速变位一体智能驱动部</w:t>
            </w:r>
          </w:p>
        </w:tc>
        <w:tc>
          <w:tcPr>
            <w:tcW w:w="276" w:type="pct"/>
            <w:tcBorders>
              <w:top w:val="single" w:color="000000" w:sz="4" w:space="0"/>
              <w:left w:val="single" w:color="000000" w:sz="4" w:space="0"/>
              <w:bottom w:val="single" w:color="000000" w:sz="4" w:space="0"/>
              <w:right w:val="single" w:color="000000" w:sz="4" w:space="0"/>
            </w:tcBorders>
            <w:noWrap w:val="0"/>
            <w:vAlign w:val="center"/>
          </w:tcPr>
          <w:p w14:paraId="1B7F9279">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先进制造领域-高端装备制造</w:t>
            </w:r>
          </w:p>
        </w:tc>
        <w:tc>
          <w:tcPr>
            <w:tcW w:w="788" w:type="pct"/>
            <w:tcBorders>
              <w:top w:val="single" w:color="000000" w:sz="4" w:space="0"/>
              <w:left w:val="single" w:color="000000" w:sz="4" w:space="0"/>
              <w:bottom w:val="single" w:color="000000" w:sz="4" w:space="0"/>
              <w:right w:val="single" w:color="000000" w:sz="4" w:space="0"/>
            </w:tcBorders>
            <w:noWrap w:val="0"/>
            <w:vAlign w:val="center"/>
          </w:tcPr>
          <w:p w14:paraId="6CA49542">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1.永磁电机、变频器与减速器融合开发，将机械部分通过齿轮逐级传动形成速比链，达到刮板机链条需要的转速。同时兼顾外形尺寸和降低重量。</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2.变位机构开发，采用齿轮传动的变位技术，实现高速轴到低速轴由高到低的变位，从而适配伸缩机尾低矮型设计。</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3.紧链制动开发，改变传统刮板链制动由外置液压马达紧链到内置液压制动紧链，减小外部占用空间。结合齿轮传动速比，开发体积较小的电机外筒及制动器。</w:t>
            </w:r>
          </w:p>
        </w:tc>
        <w:tc>
          <w:tcPr>
            <w:tcW w:w="1057" w:type="pct"/>
            <w:tcBorders>
              <w:top w:val="single" w:color="000000" w:sz="4" w:space="0"/>
              <w:left w:val="single" w:color="000000" w:sz="4" w:space="0"/>
              <w:bottom w:val="single" w:color="000000" w:sz="4" w:space="0"/>
              <w:right w:val="single" w:color="000000" w:sz="4" w:space="0"/>
            </w:tcBorders>
            <w:noWrap w:val="0"/>
            <w:vAlign w:val="center"/>
          </w:tcPr>
          <w:p w14:paraId="0CB4C679">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1.整机传动效率提升5%。</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2.驱动部体积缩小30%，重量减轻20%。</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3.机尾与支架连接的滞后距离缩短10%。</w:t>
            </w:r>
          </w:p>
        </w:tc>
        <w:tc>
          <w:tcPr>
            <w:tcW w:w="225" w:type="pct"/>
            <w:tcBorders>
              <w:top w:val="single" w:color="000000" w:sz="4" w:space="0"/>
              <w:left w:val="single" w:color="000000" w:sz="4" w:space="0"/>
              <w:bottom w:val="single" w:color="000000" w:sz="4" w:space="0"/>
              <w:right w:val="single" w:color="000000" w:sz="4" w:space="0"/>
            </w:tcBorders>
            <w:noWrap w:val="0"/>
            <w:vAlign w:val="center"/>
          </w:tcPr>
          <w:p w14:paraId="7FE60AF4">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郑州煤机长壁机械有限公司</w:t>
            </w:r>
          </w:p>
        </w:tc>
        <w:tc>
          <w:tcPr>
            <w:tcW w:w="202" w:type="pct"/>
            <w:tcBorders>
              <w:top w:val="single" w:color="000000" w:sz="4" w:space="0"/>
              <w:left w:val="single" w:color="000000" w:sz="4" w:space="0"/>
              <w:bottom w:val="single" w:color="000000" w:sz="4" w:space="0"/>
              <w:right w:val="single" w:color="000000" w:sz="4" w:space="0"/>
            </w:tcBorders>
            <w:noWrap w:val="0"/>
            <w:vAlign w:val="center"/>
          </w:tcPr>
          <w:p w14:paraId="75BC94DE">
            <w:pPr>
              <w:rPr>
                <w:rFonts w:hint="eastAsia" w:ascii="华文宋体" w:hAnsi="华文宋体" w:eastAsia="华文宋体" w:cs="华文宋体"/>
                <w:color w:val="auto"/>
                <w:sz w:val="21"/>
                <w:szCs w:val="21"/>
                <w:highlight w:val="none"/>
                <w:lang w:val="en-US"/>
              </w:rPr>
            </w:pPr>
            <w:r>
              <w:rPr>
                <w:rFonts w:hint="eastAsia" w:ascii="华文宋体" w:hAnsi="华文宋体" w:eastAsia="华文宋体" w:cs="华文宋体"/>
                <w:color w:val="auto"/>
                <w:sz w:val="21"/>
                <w:szCs w:val="21"/>
                <w:highlight w:val="none"/>
                <w:lang w:val="en-US" w:eastAsia="zh-CN"/>
              </w:rPr>
              <w:t>400</w:t>
            </w:r>
          </w:p>
        </w:tc>
        <w:tc>
          <w:tcPr>
            <w:tcW w:w="238" w:type="pct"/>
            <w:tcBorders>
              <w:top w:val="single" w:color="000000" w:sz="4" w:space="0"/>
              <w:left w:val="single" w:color="000000" w:sz="4" w:space="0"/>
              <w:bottom w:val="single" w:color="000000" w:sz="4" w:space="0"/>
              <w:right w:val="single" w:color="000000" w:sz="4" w:space="0"/>
            </w:tcBorders>
            <w:noWrap w:val="0"/>
            <w:vAlign w:val="center"/>
          </w:tcPr>
          <w:p w14:paraId="5D64F0B4">
            <w:pPr>
              <w:rPr>
                <w:rFonts w:hint="eastAsia" w:ascii="华文宋体" w:hAnsi="华文宋体" w:eastAsia="华文宋体" w:cs="华文宋体"/>
                <w:color w:val="auto"/>
                <w:sz w:val="21"/>
                <w:szCs w:val="21"/>
                <w:highlight w:val="none"/>
                <w:lang w:val="en-US"/>
              </w:rPr>
            </w:pPr>
            <w:r>
              <w:rPr>
                <w:rFonts w:hint="eastAsia" w:ascii="华文宋体" w:hAnsi="华文宋体" w:eastAsia="华文宋体" w:cs="华文宋体"/>
                <w:color w:val="auto"/>
                <w:sz w:val="21"/>
                <w:szCs w:val="21"/>
                <w:highlight w:val="none"/>
                <w:lang w:val="en-US" w:eastAsia="zh-CN"/>
              </w:rPr>
              <w:t>300</w:t>
            </w:r>
          </w:p>
        </w:tc>
        <w:tc>
          <w:tcPr>
            <w:tcW w:w="202" w:type="pct"/>
            <w:tcBorders>
              <w:top w:val="single" w:color="000000" w:sz="4" w:space="0"/>
              <w:left w:val="single" w:color="000000" w:sz="4" w:space="0"/>
              <w:bottom w:val="single" w:color="000000" w:sz="4" w:space="0"/>
              <w:right w:val="single" w:color="000000" w:sz="4" w:space="0"/>
            </w:tcBorders>
            <w:noWrap w:val="0"/>
            <w:vAlign w:val="center"/>
          </w:tcPr>
          <w:p w14:paraId="06527B9C">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1-2年</w:t>
            </w:r>
          </w:p>
        </w:tc>
        <w:tc>
          <w:tcPr>
            <w:tcW w:w="823" w:type="pct"/>
            <w:tcBorders>
              <w:top w:val="single" w:color="000000" w:sz="4" w:space="0"/>
              <w:left w:val="single" w:color="000000" w:sz="4" w:space="0"/>
              <w:bottom w:val="single" w:color="000000" w:sz="4" w:space="0"/>
              <w:right w:val="single" w:color="000000" w:sz="4" w:space="0"/>
            </w:tcBorders>
            <w:noWrap w:val="0"/>
            <w:vAlign w:val="center"/>
          </w:tcPr>
          <w:p w14:paraId="5EEF64B0">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1.将永磁半直驱、变位齿轮箱及健康管理系统等一体化集成设计,体积紧凑。</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2.将多系统传感器、控制器等硬件内嵌于机体，并赋予其自动感知与自主决策能力。</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3.申请发明专利1项。</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4.软件著作权1项。</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5.样机1件。</w:t>
            </w:r>
          </w:p>
        </w:tc>
        <w:tc>
          <w:tcPr>
            <w:tcW w:w="316" w:type="pct"/>
            <w:tcBorders>
              <w:top w:val="single" w:color="000000" w:sz="4" w:space="0"/>
              <w:left w:val="single" w:color="000000" w:sz="4" w:space="0"/>
              <w:bottom w:val="single" w:color="000000" w:sz="4" w:space="0"/>
              <w:right w:val="single" w:color="000000" w:sz="4" w:space="0"/>
            </w:tcBorders>
            <w:noWrap w:val="0"/>
            <w:vAlign w:val="center"/>
          </w:tcPr>
          <w:p w14:paraId="33F3E9F6">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鲁凤15003801967</w:t>
            </w:r>
          </w:p>
        </w:tc>
        <w:tc>
          <w:tcPr>
            <w:tcW w:w="238" w:type="pct"/>
            <w:tcBorders>
              <w:top w:val="single" w:color="000000" w:sz="4" w:space="0"/>
              <w:left w:val="single" w:color="000000" w:sz="4" w:space="0"/>
              <w:bottom w:val="single" w:color="000000" w:sz="4" w:space="0"/>
              <w:right w:val="single" w:color="000000" w:sz="4" w:space="0"/>
            </w:tcBorders>
            <w:noWrap w:val="0"/>
            <w:vAlign w:val="center"/>
          </w:tcPr>
          <w:p w14:paraId="1C6670B6">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经开区</w:t>
            </w:r>
          </w:p>
        </w:tc>
      </w:tr>
      <w:tr w14:paraId="75C17A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0" w:hRule="atLeast"/>
        </w:trPr>
        <w:tc>
          <w:tcPr>
            <w:tcW w:w="181" w:type="pct"/>
            <w:tcBorders>
              <w:top w:val="single" w:color="000000" w:sz="4" w:space="0"/>
              <w:left w:val="single" w:color="000000" w:sz="4" w:space="0"/>
              <w:bottom w:val="single" w:color="000000" w:sz="4" w:space="0"/>
              <w:right w:val="single" w:color="000000" w:sz="4" w:space="0"/>
            </w:tcBorders>
            <w:noWrap w:val="0"/>
            <w:vAlign w:val="center"/>
          </w:tcPr>
          <w:p w14:paraId="25D6BA46">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7</w:t>
            </w:r>
          </w:p>
        </w:tc>
        <w:tc>
          <w:tcPr>
            <w:tcW w:w="446" w:type="pct"/>
            <w:tcBorders>
              <w:top w:val="nil"/>
              <w:left w:val="single" w:color="000000" w:sz="4" w:space="0"/>
              <w:bottom w:val="single" w:color="000000" w:sz="4" w:space="0"/>
              <w:right w:val="single" w:color="000000" w:sz="4" w:space="0"/>
            </w:tcBorders>
            <w:noWrap w:val="0"/>
            <w:vAlign w:val="center"/>
          </w:tcPr>
          <w:p w14:paraId="0D3DC871">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矿用特种机器人目标识别及运动控制系统研究难题</w:t>
            </w:r>
          </w:p>
        </w:tc>
        <w:tc>
          <w:tcPr>
            <w:tcW w:w="276" w:type="pct"/>
            <w:tcBorders>
              <w:top w:val="nil"/>
              <w:left w:val="single" w:color="000000" w:sz="4" w:space="0"/>
              <w:bottom w:val="single" w:color="000000" w:sz="4" w:space="0"/>
              <w:right w:val="single" w:color="000000" w:sz="4" w:space="0"/>
            </w:tcBorders>
            <w:noWrap w:val="0"/>
            <w:vAlign w:val="center"/>
          </w:tcPr>
          <w:p w14:paraId="500AC8C5">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先进制造领域-高端智能装备</w:t>
            </w:r>
          </w:p>
        </w:tc>
        <w:tc>
          <w:tcPr>
            <w:tcW w:w="788" w:type="pct"/>
            <w:tcBorders>
              <w:top w:val="nil"/>
              <w:left w:val="single" w:color="000000" w:sz="4" w:space="0"/>
              <w:bottom w:val="single" w:color="000000" w:sz="4" w:space="0"/>
              <w:right w:val="single" w:color="000000" w:sz="4" w:space="0"/>
            </w:tcBorders>
            <w:noWrap w:val="0"/>
            <w:vAlign w:val="center"/>
          </w:tcPr>
          <w:p w14:paraId="18C82DA8">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构建以本安摄像仪为主的多源融合感知平台，采集井下数据并建立数据集；优化抗粉尘、低照度干扰的目标识别算法，实现精准检测。融合深度点云与定位数据，解算目标三维位姿，搭建感知与运动控制接口并完成嵌入式移植。研发专用运动控制系统，设计高精度、快速响应、超调抑制的控制算法及硬件架构，改善位置偏差与响应滞后。实现感知系统与执行机构稳定协同，形成自主识别定位与精准运动控制联动的机器人作业能力。</w:t>
            </w:r>
          </w:p>
        </w:tc>
        <w:tc>
          <w:tcPr>
            <w:tcW w:w="1057" w:type="pct"/>
            <w:tcBorders>
              <w:top w:val="nil"/>
              <w:left w:val="single" w:color="000000" w:sz="4" w:space="0"/>
              <w:bottom w:val="single" w:color="000000" w:sz="4" w:space="0"/>
              <w:right w:val="single" w:color="000000" w:sz="4" w:space="0"/>
            </w:tcBorders>
            <w:noWrap w:val="0"/>
            <w:vAlign w:val="center"/>
          </w:tcPr>
          <w:p w14:paraId="43DB3018">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目标识别准确率≥95%，定位绝对误差≤0.01m，单帧处理延迟≤100ms；作业机构轨迹跟随误差≤50mm，动作响应延迟≤200ms，可稳定适应井下恶劣工况。构建≥15000张标注图像的数据集，发表学术论文2篇，申请专利2项。</w:t>
            </w:r>
          </w:p>
        </w:tc>
        <w:tc>
          <w:tcPr>
            <w:tcW w:w="225" w:type="pct"/>
            <w:tcBorders>
              <w:top w:val="nil"/>
              <w:left w:val="single" w:color="000000" w:sz="4" w:space="0"/>
              <w:bottom w:val="single" w:color="000000" w:sz="4" w:space="0"/>
              <w:right w:val="single" w:color="000000" w:sz="4" w:space="0"/>
            </w:tcBorders>
            <w:noWrap w:val="0"/>
            <w:vAlign w:val="center"/>
          </w:tcPr>
          <w:p w14:paraId="29C0CE44">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郑州恒达智控科技股份有限公司</w:t>
            </w:r>
          </w:p>
        </w:tc>
        <w:tc>
          <w:tcPr>
            <w:tcW w:w="202" w:type="pct"/>
            <w:tcBorders>
              <w:top w:val="nil"/>
              <w:left w:val="single" w:color="000000" w:sz="4" w:space="0"/>
              <w:bottom w:val="single" w:color="000000" w:sz="4" w:space="0"/>
              <w:right w:val="single" w:color="000000" w:sz="4" w:space="0"/>
            </w:tcBorders>
            <w:noWrap w:val="0"/>
            <w:vAlign w:val="center"/>
          </w:tcPr>
          <w:p w14:paraId="4C09B1A1">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400</w:t>
            </w:r>
          </w:p>
        </w:tc>
        <w:tc>
          <w:tcPr>
            <w:tcW w:w="238" w:type="pct"/>
            <w:tcBorders>
              <w:top w:val="nil"/>
              <w:left w:val="single" w:color="000000" w:sz="4" w:space="0"/>
              <w:bottom w:val="single" w:color="000000" w:sz="4" w:space="0"/>
              <w:right w:val="single" w:color="000000" w:sz="4" w:space="0"/>
            </w:tcBorders>
            <w:noWrap w:val="0"/>
            <w:vAlign w:val="center"/>
          </w:tcPr>
          <w:p w14:paraId="5BDB81A5">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300</w:t>
            </w:r>
          </w:p>
        </w:tc>
        <w:tc>
          <w:tcPr>
            <w:tcW w:w="202" w:type="pct"/>
            <w:tcBorders>
              <w:top w:val="nil"/>
              <w:left w:val="single" w:color="000000" w:sz="4" w:space="0"/>
              <w:bottom w:val="single" w:color="000000" w:sz="4" w:space="0"/>
              <w:right w:val="single" w:color="000000" w:sz="4" w:space="0"/>
            </w:tcBorders>
            <w:noWrap w:val="0"/>
            <w:vAlign w:val="center"/>
          </w:tcPr>
          <w:p w14:paraId="09EFC53A">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2年</w:t>
            </w:r>
          </w:p>
        </w:tc>
        <w:tc>
          <w:tcPr>
            <w:tcW w:w="823" w:type="pct"/>
            <w:tcBorders>
              <w:top w:val="nil"/>
              <w:left w:val="single" w:color="000000" w:sz="4" w:space="0"/>
              <w:bottom w:val="single" w:color="000000" w:sz="4" w:space="0"/>
              <w:right w:val="single" w:color="000000" w:sz="4" w:space="0"/>
            </w:tcBorders>
            <w:noWrap w:val="0"/>
            <w:vAlign w:val="center"/>
          </w:tcPr>
          <w:p w14:paraId="63BE2EF7">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1.完整交付执行机构控制方案、硬件系统设计资料、控制算法程序、标定文档及整机测试报告。</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2.完成感知系统硬件集成调试，输出算法模型、数据集、接口协议文档及测试报告</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3.交付论文2篇，申请专利2项</w:t>
            </w:r>
          </w:p>
        </w:tc>
        <w:tc>
          <w:tcPr>
            <w:tcW w:w="316" w:type="pct"/>
            <w:tcBorders>
              <w:top w:val="nil"/>
              <w:left w:val="single" w:color="000000" w:sz="4" w:space="0"/>
              <w:bottom w:val="single" w:color="000000" w:sz="4" w:space="0"/>
              <w:right w:val="single" w:color="000000" w:sz="4" w:space="0"/>
            </w:tcBorders>
            <w:noWrap w:val="0"/>
            <w:vAlign w:val="center"/>
          </w:tcPr>
          <w:p w14:paraId="45D53591">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李蒙蒙15639272003</w:t>
            </w:r>
          </w:p>
        </w:tc>
        <w:tc>
          <w:tcPr>
            <w:tcW w:w="238" w:type="pct"/>
            <w:tcBorders>
              <w:top w:val="single" w:color="000000" w:sz="4" w:space="0"/>
              <w:left w:val="single" w:color="000000" w:sz="4" w:space="0"/>
              <w:bottom w:val="single" w:color="000000" w:sz="4" w:space="0"/>
              <w:right w:val="single" w:color="000000" w:sz="4" w:space="0"/>
            </w:tcBorders>
            <w:noWrap w:val="0"/>
            <w:vAlign w:val="center"/>
          </w:tcPr>
          <w:p w14:paraId="11718E45">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经开区</w:t>
            </w:r>
          </w:p>
        </w:tc>
      </w:tr>
      <w:tr w14:paraId="52E97E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4" w:hRule="atLeast"/>
        </w:trPr>
        <w:tc>
          <w:tcPr>
            <w:tcW w:w="181" w:type="pct"/>
            <w:tcBorders>
              <w:top w:val="single" w:color="000000" w:sz="4" w:space="0"/>
              <w:left w:val="single" w:color="000000" w:sz="4" w:space="0"/>
              <w:bottom w:val="single" w:color="000000" w:sz="4" w:space="0"/>
              <w:right w:val="single" w:color="000000" w:sz="4" w:space="0"/>
            </w:tcBorders>
            <w:noWrap w:val="0"/>
            <w:vAlign w:val="center"/>
          </w:tcPr>
          <w:p w14:paraId="04238A7D">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8</w:t>
            </w:r>
          </w:p>
        </w:tc>
        <w:tc>
          <w:tcPr>
            <w:tcW w:w="446" w:type="pct"/>
            <w:tcBorders>
              <w:top w:val="single" w:color="000000" w:sz="4" w:space="0"/>
              <w:left w:val="single" w:color="000000" w:sz="4" w:space="0"/>
              <w:bottom w:val="single" w:color="000000" w:sz="4" w:space="0"/>
              <w:right w:val="single" w:color="000000" w:sz="4" w:space="0"/>
            </w:tcBorders>
            <w:noWrap w:val="0"/>
            <w:vAlign w:val="center"/>
          </w:tcPr>
          <w:p w14:paraId="51E769A6">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易拉罐拉环、拉盖和罐体用铝合金箔材加工工艺研究</w:t>
            </w:r>
          </w:p>
        </w:tc>
        <w:tc>
          <w:tcPr>
            <w:tcW w:w="276" w:type="pct"/>
            <w:tcBorders>
              <w:top w:val="single" w:color="000000" w:sz="4" w:space="0"/>
              <w:left w:val="single" w:color="000000" w:sz="4" w:space="0"/>
              <w:bottom w:val="single" w:color="000000" w:sz="4" w:space="0"/>
              <w:right w:val="single" w:color="000000" w:sz="4" w:space="0"/>
            </w:tcBorders>
            <w:noWrap w:val="0"/>
            <w:vAlign w:val="center"/>
          </w:tcPr>
          <w:p w14:paraId="2032E425">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新材料</w:t>
            </w:r>
          </w:p>
        </w:tc>
        <w:tc>
          <w:tcPr>
            <w:tcW w:w="788" w:type="pct"/>
            <w:tcBorders>
              <w:top w:val="single" w:color="000000" w:sz="4" w:space="0"/>
              <w:left w:val="single" w:color="000000" w:sz="4" w:space="0"/>
              <w:bottom w:val="single" w:color="000000" w:sz="4" w:space="0"/>
              <w:right w:val="single" w:color="000000" w:sz="4" w:space="0"/>
            </w:tcBorders>
            <w:noWrap w:val="0"/>
            <w:vAlign w:val="center"/>
          </w:tcPr>
          <w:p w14:paraId="7539BE42">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1、合金成分设计与优化；</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2、熔炼与铸造工艺研究；</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3、轧制工艺开发；</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4、热处理与表面处理工艺；</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5、工艺全流程集成与中试验证。</w:t>
            </w:r>
          </w:p>
        </w:tc>
        <w:tc>
          <w:tcPr>
            <w:tcW w:w="1057" w:type="pct"/>
            <w:tcBorders>
              <w:top w:val="single" w:color="000000" w:sz="4" w:space="0"/>
              <w:left w:val="single" w:color="000000" w:sz="4" w:space="0"/>
              <w:bottom w:val="single" w:color="000000" w:sz="4" w:space="0"/>
              <w:right w:val="single" w:color="000000" w:sz="4" w:space="0"/>
            </w:tcBorders>
            <w:noWrap w:val="0"/>
            <w:vAlign w:val="center"/>
          </w:tcPr>
          <w:p w14:paraId="5AAB54E1">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1.力学性能：光铝：</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3104抗拉强度Rm≥290MPa，规定塑性延伸强度Rp0.2≥260 MPa，断后伸长率A50mm≥3%；5182抗拉强度Rm≥410MPa，规定塑性延伸强度Rp0.2≥380MPa，断后伸长率A50mm≥4%；烘烤：3104抗拉强度Rm 270-330MPa，规定塑性延伸强度Rp0.2 240-300 MPa，断后伸长率A50mm≥4%；5182抗拉强度Rm 370-430MPa，规定塑性延伸强度Rp0.2 310-370MPa，断后伸长率A50mm≥5%；</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2.表面质量：表面不允许有划伤、油斑、油污、条纹、色差、辊印、压花、周期性印痕等缺陷</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3.冲压性能：通过实际模具连续冲压10000次，开裂率＜30ppm</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4.耐腐蚀性：经模拟饮料介质（pH=3.5柠檬酸溶液，50℃，7天）浸泡后，表面腐蚀失重≤0.02 mg/cm²，无点蚀穿孔。</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5.尺寸精度：厚度范围0.20~0.30 mm，厚度公差≤±0.003mm；宽度公差≤+1.5，-0mm；板形1m长度内波浪≤3个、浪高≤3mm；侧边弯曲度每1.5米≤0.5mm。</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6、其他指标：0针孔。</w:t>
            </w:r>
          </w:p>
        </w:tc>
        <w:tc>
          <w:tcPr>
            <w:tcW w:w="225" w:type="pct"/>
            <w:tcBorders>
              <w:top w:val="single" w:color="000000" w:sz="4" w:space="0"/>
              <w:left w:val="single" w:color="000000" w:sz="4" w:space="0"/>
              <w:bottom w:val="single" w:color="000000" w:sz="4" w:space="0"/>
              <w:right w:val="single" w:color="000000" w:sz="4" w:space="0"/>
            </w:tcBorders>
            <w:noWrap w:val="0"/>
            <w:vAlign w:val="center"/>
          </w:tcPr>
          <w:p w14:paraId="44042F85">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河南义瑞新材料科技有限公司</w:t>
            </w:r>
          </w:p>
        </w:tc>
        <w:tc>
          <w:tcPr>
            <w:tcW w:w="202" w:type="pct"/>
            <w:tcBorders>
              <w:top w:val="single" w:color="000000" w:sz="4" w:space="0"/>
              <w:left w:val="single" w:color="000000" w:sz="4" w:space="0"/>
              <w:bottom w:val="single" w:color="000000" w:sz="4" w:space="0"/>
              <w:right w:val="single" w:color="000000" w:sz="4" w:space="0"/>
            </w:tcBorders>
            <w:noWrap w:val="0"/>
            <w:vAlign w:val="center"/>
          </w:tcPr>
          <w:p w14:paraId="02A9D23F">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3500</w:t>
            </w:r>
          </w:p>
        </w:tc>
        <w:tc>
          <w:tcPr>
            <w:tcW w:w="238" w:type="pct"/>
            <w:tcBorders>
              <w:top w:val="single" w:color="000000" w:sz="4" w:space="0"/>
              <w:left w:val="single" w:color="000000" w:sz="4" w:space="0"/>
              <w:bottom w:val="single" w:color="000000" w:sz="4" w:space="0"/>
              <w:right w:val="single" w:color="000000" w:sz="4" w:space="0"/>
            </w:tcBorders>
            <w:noWrap w:val="0"/>
            <w:vAlign w:val="center"/>
          </w:tcPr>
          <w:p w14:paraId="2AC22446">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3000</w:t>
            </w:r>
          </w:p>
        </w:tc>
        <w:tc>
          <w:tcPr>
            <w:tcW w:w="202" w:type="pct"/>
            <w:tcBorders>
              <w:top w:val="single" w:color="000000" w:sz="4" w:space="0"/>
              <w:left w:val="single" w:color="000000" w:sz="4" w:space="0"/>
              <w:bottom w:val="single" w:color="000000" w:sz="4" w:space="0"/>
              <w:right w:val="single" w:color="000000" w:sz="4" w:space="0"/>
            </w:tcBorders>
            <w:noWrap w:val="0"/>
            <w:vAlign w:val="center"/>
          </w:tcPr>
          <w:p w14:paraId="426AE453">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2年</w:t>
            </w:r>
          </w:p>
        </w:tc>
        <w:tc>
          <w:tcPr>
            <w:tcW w:w="823" w:type="pct"/>
            <w:tcBorders>
              <w:top w:val="single" w:color="000000" w:sz="4" w:space="0"/>
              <w:left w:val="single" w:color="000000" w:sz="4" w:space="0"/>
              <w:bottom w:val="single" w:color="000000" w:sz="4" w:space="0"/>
              <w:right w:val="single" w:color="000000" w:sz="4" w:space="0"/>
            </w:tcBorders>
            <w:noWrap w:val="0"/>
            <w:vAlign w:val="center"/>
          </w:tcPr>
          <w:p w14:paraId="0FC97C04">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1.提供一套成熟、稳定、可产业化的易拉罐用铝合金箔材全流程加工工艺包，包括合金配方、熔铸工艺、轧制规范及热处理制度。</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2.协助委托方在现有生产线基础上进行工艺调试，实现批量稳定生产，综合成品率不低于85%。</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3.协助或联合申请发明专利不少于2项、实用新型专利不少于1项，内容涵盖合金成分、关键加工工艺或检测方法。专利成果由技术需求方所有。</w:t>
            </w:r>
            <w:r>
              <w:rPr>
                <w:rFonts w:hint="eastAsia" w:ascii="华文宋体" w:hAnsi="华文宋体" w:eastAsia="华文宋体" w:cs="华文宋体"/>
                <w:color w:val="auto"/>
                <w:sz w:val="21"/>
                <w:szCs w:val="21"/>
                <w:highlight w:val="none"/>
                <w:lang w:val="en-US" w:eastAsia="zh-CN"/>
              </w:rPr>
              <w:br w:type="textWrapping"/>
            </w:r>
          </w:p>
        </w:tc>
        <w:tc>
          <w:tcPr>
            <w:tcW w:w="316" w:type="pct"/>
            <w:tcBorders>
              <w:top w:val="single" w:color="000000" w:sz="4" w:space="0"/>
              <w:left w:val="single" w:color="000000" w:sz="4" w:space="0"/>
              <w:bottom w:val="single" w:color="000000" w:sz="4" w:space="0"/>
              <w:right w:val="single" w:color="000000" w:sz="4" w:space="0"/>
            </w:tcBorders>
            <w:noWrap w:val="0"/>
            <w:vAlign w:val="center"/>
          </w:tcPr>
          <w:p w14:paraId="1EB712D9">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孙文峰18239989884</w:t>
            </w:r>
          </w:p>
        </w:tc>
        <w:tc>
          <w:tcPr>
            <w:tcW w:w="238" w:type="pct"/>
            <w:tcBorders>
              <w:top w:val="single" w:color="000000" w:sz="4" w:space="0"/>
              <w:left w:val="single" w:color="000000" w:sz="4" w:space="0"/>
              <w:bottom w:val="single" w:color="000000" w:sz="4" w:space="0"/>
              <w:right w:val="single" w:color="000000" w:sz="4" w:space="0"/>
            </w:tcBorders>
            <w:noWrap w:val="0"/>
            <w:vAlign w:val="center"/>
          </w:tcPr>
          <w:p w14:paraId="503FB818">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巩义市</w:t>
            </w:r>
          </w:p>
        </w:tc>
      </w:tr>
      <w:tr w14:paraId="01BDB3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1" w:type="pct"/>
            <w:tcBorders>
              <w:top w:val="single" w:color="000000" w:sz="4" w:space="0"/>
              <w:left w:val="single" w:color="000000" w:sz="4" w:space="0"/>
              <w:bottom w:val="single" w:color="000000" w:sz="4" w:space="0"/>
              <w:right w:val="single" w:color="000000" w:sz="4" w:space="0"/>
            </w:tcBorders>
            <w:noWrap w:val="0"/>
            <w:vAlign w:val="center"/>
          </w:tcPr>
          <w:p w14:paraId="6485D8AF">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9</w:t>
            </w:r>
          </w:p>
        </w:tc>
        <w:tc>
          <w:tcPr>
            <w:tcW w:w="446" w:type="pct"/>
            <w:tcBorders>
              <w:top w:val="single" w:color="000000" w:sz="4" w:space="0"/>
              <w:left w:val="single" w:color="000000" w:sz="4" w:space="0"/>
              <w:bottom w:val="single" w:color="000000" w:sz="4" w:space="0"/>
              <w:right w:val="single" w:color="000000" w:sz="4" w:space="0"/>
            </w:tcBorders>
            <w:noWrap w:val="0"/>
            <w:vAlign w:val="center"/>
          </w:tcPr>
          <w:p w14:paraId="3A430179">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多段压裂固载型DNA智能缓释示踪剂研发及产业化</w:t>
            </w:r>
          </w:p>
        </w:tc>
        <w:tc>
          <w:tcPr>
            <w:tcW w:w="276" w:type="pct"/>
            <w:tcBorders>
              <w:top w:val="single" w:color="000000" w:sz="4" w:space="0"/>
              <w:left w:val="single" w:color="000000" w:sz="4" w:space="0"/>
              <w:bottom w:val="single" w:color="000000" w:sz="4" w:space="0"/>
              <w:right w:val="single" w:color="000000" w:sz="4" w:space="0"/>
            </w:tcBorders>
            <w:noWrap w:val="0"/>
            <w:vAlign w:val="center"/>
          </w:tcPr>
          <w:p w14:paraId="777E531A">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新材料</w:t>
            </w:r>
          </w:p>
        </w:tc>
        <w:tc>
          <w:tcPr>
            <w:tcW w:w="788" w:type="pct"/>
            <w:tcBorders>
              <w:top w:val="single" w:color="000000" w:sz="4" w:space="0"/>
              <w:left w:val="single" w:color="000000" w:sz="4" w:space="0"/>
              <w:bottom w:val="single" w:color="000000" w:sz="4" w:space="0"/>
              <w:right w:val="single" w:color="000000" w:sz="4" w:space="0"/>
            </w:tcBorders>
            <w:noWrap w:val="0"/>
            <w:vAlign w:val="center"/>
          </w:tcPr>
          <w:p w14:paraId="25CCA282">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研发适配极端工况的DNA示踪支撑剂、可控缓释体系、高精度检测技术，支撑油气精准绿色高效开发。</w:t>
            </w:r>
          </w:p>
        </w:tc>
        <w:tc>
          <w:tcPr>
            <w:tcW w:w="1057" w:type="pct"/>
            <w:tcBorders>
              <w:top w:val="single" w:color="000000" w:sz="4" w:space="0"/>
              <w:left w:val="single" w:color="000000" w:sz="4" w:space="0"/>
              <w:bottom w:val="single" w:color="000000" w:sz="4" w:space="0"/>
              <w:right w:val="single" w:color="000000" w:sz="4" w:space="0"/>
            </w:tcBorders>
            <w:noWrap w:val="0"/>
            <w:vAlign w:val="center"/>
          </w:tcPr>
          <w:p w14:paraId="7065AB3F">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1.示踪支撑剂耐温≥100℃、耐压≥50MPa；</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2.示踪剂缓释周期≥15天；</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3.返排液DNA示踪剂峰值浓度≥0.1ng/L。</w:t>
            </w:r>
          </w:p>
        </w:tc>
        <w:tc>
          <w:tcPr>
            <w:tcW w:w="225" w:type="pct"/>
            <w:tcBorders>
              <w:top w:val="single" w:color="000000" w:sz="4" w:space="0"/>
              <w:left w:val="single" w:color="000000" w:sz="4" w:space="0"/>
              <w:bottom w:val="single" w:color="000000" w:sz="4" w:space="0"/>
              <w:right w:val="single" w:color="000000" w:sz="4" w:space="0"/>
            </w:tcBorders>
            <w:noWrap w:val="0"/>
            <w:vAlign w:val="center"/>
          </w:tcPr>
          <w:p w14:paraId="7FCBFAB5">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河南天祥新材料股份有限公司</w:t>
            </w:r>
          </w:p>
        </w:tc>
        <w:tc>
          <w:tcPr>
            <w:tcW w:w="202" w:type="pct"/>
            <w:tcBorders>
              <w:top w:val="single" w:color="000000" w:sz="4" w:space="0"/>
              <w:left w:val="single" w:color="000000" w:sz="4" w:space="0"/>
              <w:bottom w:val="single" w:color="000000" w:sz="4" w:space="0"/>
              <w:right w:val="single" w:color="000000" w:sz="4" w:space="0"/>
            </w:tcBorders>
            <w:noWrap w:val="0"/>
            <w:vAlign w:val="center"/>
          </w:tcPr>
          <w:p w14:paraId="537E9F05">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1300</w:t>
            </w:r>
          </w:p>
        </w:tc>
        <w:tc>
          <w:tcPr>
            <w:tcW w:w="238" w:type="pct"/>
            <w:tcBorders>
              <w:top w:val="single" w:color="000000" w:sz="4" w:space="0"/>
              <w:left w:val="single" w:color="000000" w:sz="4" w:space="0"/>
              <w:bottom w:val="single" w:color="000000" w:sz="4" w:space="0"/>
              <w:right w:val="single" w:color="000000" w:sz="4" w:space="0"/>
            </w:tcBorders>
            <w:noWrap w:val="0"/>
            <w:vAlign w:val="center"/>
          </w:tcPr>
          <w:p w14:paraId="3A3614E1">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1000</w:t>
            </w:r>
          </w:p>
        </w:tc>
        <w:tc>
          <w:tcPr>
            <w:tcW w:w="202" w:type="pct"/>
            <w:tcBorders>
              <w:top w:val="single" w:color="000000" w:sz="4" w:space="0"/>
              <w:left w:val="single" w:color="000000" w:sz="4" w:space="0"/>
              <w:bottom w:val="single" w:color="000000" w:sz="4" w:space="0"/>
              <w:right w:val="single" w:color="000000" w:sz="4" w:space="0"/>
            </w:tcBorders>
            <w:noWrap w:val="0"/>
            <w:vAlign w:val="center"/>
          </w:tcPr>
          <w:p w14:paraId="0B0A400A">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2年</w:t>
            </w:r>
          </w:p>
        </w:tc>
        <w:tc>
          <w:tcPr>
            <w:tcW w:w="823" w:type="pct"/>
            <w:tcBorders>
              <w:top w:val="single" w:color="000000" w:sz="4" w:space="0"/>
              <w:left w:val="single" w:color="000000" w:sz="4" w:space="0"/>
              <w:bottom w:val="single" w:color="000000" w:sz="4" w:space="0"/>
              <w:right w:val="single" w:color="000000" w:sz="4" w:space="0"/>
            </w:tcBorders>
            <w:noWrap w:val="0"/>
            <w:vAlign w:val="center"/>
          </w:tcPr>
          <w:p w14:paraId="27911B13">
            <w:pPr>
              <w:rPr>
                <w:rFonts w:hint="eastAsia" w:ascii="华文宋体" w:hAnsi="华文宋体" w:eastAsia="华文宋体" w:cs="华文宋体"/>
                <w:color w:val="auto"/>
                <w:sz w:val="21"/>
                <w:szCs w:val="21"/>
                <w:highlight w:val="none"/>
                <w:lang w:val="en-US" w:eastAsia="zh-CN"/>
              </w:rPr>
            </w:pPr>
            <w:r>
              <w:rPr>
                <w:rFonts w:hint="eastAsia" w:ascii="华文宋体" w:hAnsi="华文宋体" w:eastAsia="华文宋体" w:cs="华文宋体"/>
                <w:color w:val="auto"/>
                <w:sz w:val="21"/>
                <w:szCs w:val="21"/>
                <w:highlight w:val="none"/>
                <w:lang w:val="en-US" w:eastAsia="zh-CN"/>
              </w:rPr>
              <w:t>1.完成DNA编码支撑剂研发，同DNA编码之间不得出现导致压裂段误判的交叉阳性，且新型支撑剂材料耐温≥100℃、耐压≥50 MPa，有效示踪或缓释时间不少于15天。</w:t>
            </w:r>
          </w:p>
          <w:p w14:paraId="6670A941">
            <w:pPr>
              <w:rPr>
                <w:rFonts w:hint="eastAsia" w:ascii="华文宋体" w:hAnsi="华文宋体" w:eastAsia="华文宋体" w:cs="华文宋体"/>
                <w:color w:val="auto"/>
                <w:sz w:val="21"/>
                <w:szCs w:val="21"/>
                <w:highlight w:val="none"/>
                <w:lang w:val="en-US" w:eastAsia="zh-CN"/>
              </w:rPr>
            </w:pPr>
            <w:r>
              <w:rPr>
                <w:rFonts w:hint="eastAsia" w:ascii="华文宋体" w:hAnsi="华文宋体" w:eastAsia="华文宋体" w:cs="华文宋体"/>
                <w:color w:val="auto"/>
                <w:sz w:val="21"/>
                <w:szCs w:val="21"/>
                <w:highlight w:val="none"/>
                <w:lang w:val="en-US" w:eastAsia="zh-CN"/>
              </w:rPr>
              <w:t>2.形成适用于复杂返排液基质的前处理、提取、纯化和检测方法。在原始返排液目标DNA浓度≥1 ng/L时能够稳定检出并完成定量分析。</w:t>
            </w:r>
          </w:p>
          <w:p w14:paraId="0D76B1AF">
            <w:pPr>
              <w:rPr>
                <w:rFonts w:hint="eastAsia" w:ascii="华文宋体" w:hAnsi="华文宋体" w:eastAsia="华文宋体" w:cs="华文宋体"/>
                <w:color w:val="auto"/>
                <w:sz w:val="21"/>
                <w:szCs w:val="21"/>
                <w:highlight w:val="none"/>
                <w:lang w:val="en-US" w:eastAsia="zh-CN"/>
              </w:rPr>
            </w:pPr>
            <w:r>
              <w:rPr>
                <w:rFonts w:hint="eastAsia" w:ascii="华文宋体" w:hAnsi="华文宋体" w:eastAsia="华文宋体" w:cs="华文宋体"/>
                <w:color w:val="auto"/>
                <w:sz w:val="21"/>
                <w:szCs w:val="21"/>
                <w:highlight w:val="none"/>
                <w:lang w:val="en-US" w:eastAsia="zh-CN"/>
              </w:rPr>
              <w:t>3.建立1套基于DNA编码支撑剂返排液的分段产液贡献反演方法，分段产液贡献解释相对误差≤10%，油水识别准确率≥85%；</w:t>
            </w:r>
          </w:p>
          <w:p w14:paraId="6CCE6A2F">
            <w:pPr>
              <w:rPr>
                <w:rFonts w:hint="eastAsia" w:ascii="华文宋体" w:hAnsi="华文宋体" w:eastAsia="华文宋体" w:cs="华文宋体"/>
                <w:color w:val="auto"/>
                <w:sz w:val="21"/>
                <w:szCs w:val="21"/>
                <w:highlight w:val="none"/>
                <w:lang w:val="en-US" w:eastAsia="zh-CN"/>
              </w:rPr>
            </w:pPr>
            <w:r>
              <w:rPr>
                <w:rFonts w:hint="eastAsia" w:ascii="华文宋体" w:hAnsi="华文宋体" w:eastAsia="华文宋体" w:cs="华文宋体"/>
                <w:color w:val="auto"/>
                <w:sz w:val="21"/>
                <w:szCs w:val="21"/>
                <w:highlight w:val="none"/>
                <w:lang w:val="en-US" w:eastAsia="zh-CN"/>
              </w:rPr>
              <w:t>3.完成一种适配多段压裂的DNA编码支撑剂新材料研发、制备及应用方案设计，形成材料配方、制备工艺，并提供相关测试数据。</w:t>
            </w:r>
          </w:p>
          <w:p w14:paraId="05460765">
            <w:pPr>
              <w:rPr>
                <w:rFonts w:hint="eastAsia" w:ascii="华文宋体" w:hAnsi="华文宋体" w:eastAsia="华文宋体" w:cs="华文宋体"/>
                <w:color w:val="auto"/>
                <w:sz w:val="21"/>
                <w:szCs w:val="21"/>
                <w:highlight w:val="none"/>
                <w:lang w:val="en-US" w:eastAsia="zh-CN"/>
              </w:rPr>
            </w:pPr>
            <w:r>
              <w:rPr>
                <w:rFonts w:hint="eastAsia" w:ascii="华文宋体" w:hAnsi="华文宋体" w:eastAsia="华文宋体" w:cs="华文宋体"/>
                <w:color w:val="auto"/>
                <w:sz w:val="21"/>
                <w:szCs w:val="21"/>
                <w:highlight w:val="none"/>
                <w:lang w:val="en-US" w:eastAsia="zh-CN"/>
              </w:rPr>
              <w:t>4.建立适用于返排液微量DNA前处理、提取、纯化和定量检测技术。</w:t>
            </w:r>
          </w:p>
          <w:p w14:paraId="26DC44C4">
            <w:pPr>
              <w:rPr>
                <w:rFonts w:hint="eastAsia" w:ascii="华文宋体" w:hAnsi="华文宋体" w:eastAsia="华文宋体" w:cs="华文宋体"/>
                <w:color w:val="auto"/>
                <w:sz w:val="21"/>
                <w:szCs w:val="21"/>
                <w:highlight w:val="none"/>
                <w:lang w:val="en-US" w:eastAsia="zh-CN"/>
              </w:rPr>
            </w:pPr>
            <w:r>
              <w:rPr>
                <w:rFonts w:hint="eastAsia" w:ascii="华文宋体" w:hAnsi="华文宋体" w:eastAsia="华文宋体" w:cs="华文宋体"/>
                <w:color w:val="auto"/>
                <w:sz w:val="21"/>
                <w:szCs w:val="21"/>
                <w:highlight w:val="none"/>
                <w:lang w:val="en-US" w:eastAsia="zh-CN"/>
              </w:rPr>
              <w:t>5.申请发明专利2项。</w:t>
            </w:r>
          </w:p>
          <w:p w14:paraId="215C5982">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6.形成基于DNA编码支撑剂注入-返排和编码DNA溯源技术的产业剖面反演和油水识别技术，提交完整技术研究报告，并申请软件著作权不少于2项。</w:t>
            </w:r>
          </w:p>
        </w:tc>
        <w:tc>
          <w:tcPr>
            <w:tcW w:w="316" w:type="pct"/>
            <w:tcBorders>
              <w:top w:val="single" w:color="000000" w:sz="4" w:space="0"/>
              <w:left w:val="single" w:color="000000" w:sz="4" w:space="0"/>
              <w:bottom w:val="single" w:color="000000" w:sz="4" w:space="0"/>
              <w:right w:val="single" w:color="000000" w:sz="4" w:space="0"/>
            </w:tcBorders>
            <w:noWrap w:val="0"/>
            <w:vAlign w:val="center"/>
          </w:tcPr>
          <w:p w14:paraId="387D431E">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刘现伟18637122922</w:t>
            </w:r>
          </w:p>
        </w:tc>
        <w:tc>
          <w:tcPr>
            <w:tcW w:w="238" w:type="pct"/>
            <w:tcBorders>
              <w:top w:val="single" w:color="000000" w:sz="4" w:space="0"/>
              <w:left w:val="single" w:color="000000" w:sz="4" w:space="0"/>
              <w:bottom w:val="single" w:color="000000" w:sz="4" w:space="0"/>
              <w:right w:val="single" w:color="000000" w:sz="4" w:space="0"/>
            </w:tcBorders>
            <w:noWrap w:val="0"/>
            <w:vAlign w:val="center"/>
          </w:tcPr>
          <w:p w14:paraId="20C2F267">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巩义市</w:t>
            </w:r>
          </w:p>
        </w:tc>
      </w:tr>
      <w:tr w14:paraId="659F0C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0" w:hRule="atLeast"/>
        </w:trPr>
        <w:tc>
          <w:tcPr>
            <w:tcW w:w="181" w:type="pct"/>
            <w:tcBorders>
              <w:top w:val="single" w:color="000000" w:sz="4" w:space="0"/>
              <w:left w:val="single" w:color="000000" w:sz="4" w:space="0"/>
              <w:bottom w:val="single" w:color="000000" w:sz="4" w:space="0"/>
              <w:right w:val="single" w:color="000000" w:sz="4" w:space="0"/>
            </w:tcBorders>
            <w:noWrap w:val="0"/>
            <w:vAlign w:val="center"/>
          </w:tcPr>
          <w:p w14:paraId="5EDAD2C1">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10</w:t>
            </w:r>
          </w:p>
        </w:tc>
        <w:tc>
          <w:tcPr>
            <w:tcW w:w="446" w:type="pct"/>
            <w:tcBorders>
              <w:top w:val="single" w:color="000000" w:sz="4" w:space="0"/>
              <w:left w:val="single" w:color="000000" w:sz="4" w:space="0"/>
              <w:bottom w:val="single" w:color="000000" w:sz="4" w:space="0"/>
              <w:right w:val="single" w:color="000000" w:sz="4" w:space="0"/>
            </w:tcBorders>
            <w:noWrap w:val="0"/>
            <w:vAlign w:val="center"/>
          </w:tcPr>
          <w:p w14:paraId="75C40C98">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高性能堆积磨料的制备及产业化</w:t>
            </w:r>
          </w:p>
        </w:tc>
        <w:tc>
          <w:tcPr>
            <w:tcW w:w="276" w:type="pct"/>
            <w:tcBorders>
              <w:top w:val="single" w:color="000000" w:sz="4" w:space="0"/>
              <w:left w:val="single" w:color="000000" w:sz="4" w:space="0"/>
              <w:bottom w:val="single" w:color="000000" w:sz="4" w:space="0"/>
              <w:right w:val="single" w:color="000000" w:sz="4" w:space="0"/>
            </w:tcBorders>
            <w:noWrap w:val="0"/>
            <w:vAlign w:val="center"/>
          </w:tcPr>
          <w:p w14:paraId="3BCB1795">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新材料</w:t>
            </w:r>
          </w:p>
        </w:tc>
        <w:tc>
          <w:tcPr>
            <w:tcW w:w="788" w:type="pct"/>
            <w:tcBorders>
              <w:top w:val="single" w:color="000000" w:sz="4" w:space="0"/>
              <w:left w:val="single" w:color="000000" w:sz="4" w:space="0"/>
              <w:bottom w:val="single" w:color="000000" w:sz="4" w:space="0"/>
              <w:right w:val="single" w:color="000000" w:sz="4" w:space="0"/>
            </w:tcBorders>
            <w:noWrap w:val="0"/>
            <w:vAlign w:val="center"/>
          </w:tcPr>
          <w:p w14:paraId="2F006865">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1.开发低温高强陶瓷结合剂与耐热增韧树脂/有机-无机复合结合剂，实现强度、耐热性与柔韧性协同；</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2.开展刚玉、金刚石、CBN表面镀覆改性，提升界面结合力（≥30%）与热稳定性；</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3.突破湿法和半干法造粒成型、整形等工艺，调控颗粒形貌、粒度（100um-2mm）、孔隙率（10%~45%）及抗压强度，实现强度与自锐性协同；</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4.完成堆积磨料与静电植砂、复胶固化等砂带工艺适配，制备典型砂带并验证，目标寿命提升300%以上，加工一致性提高20%。</w:t>
            </w:r>
          </w:p>
        </w:tc>
        <w:tc>
          <w:tcPr>
            <w:tcW w:w="1057" w:type="pct"/>
            <w:tcBorders>
              <w:top w:val="single" w:color="000000" w:sz="4" w:space="0"/>
              <w:left w:val="single" w:color="000000" w:sz="4" w:space="0"/>
              <w:bottom w:val="single" w:color="000000" w:sz="4" w:space="0"/>
              <w:right w:val="single" w:color="000000" w:sz="4" w:space="0"/>
            </w:tcBorders>
            <w:noWrap w:val="0"/>
            <w:vAlign w:val="center"/>
          </w:tcPr>
          <w:p w14:paraId="44C32951">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1.突破高性能堆积磨料制备技术，开发低温陶瓷结合剂和有机树脂、有机-无机复合结合剂三种不同堆积磨料结合剂体系；</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2.制备通用型、黑刚玉、金刚石超硬材料三大系列产品，分别适应不同砂带产品；</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3.申报发明专利2项。</w:t>
            </w:r>
            <w:r>
              <w:rPr>
                <w:rFonts w:hint="eastAsia" w:ascii="华文宋体" w:hAnsi="华文宋体" w:eastAsia="华文宋体" w:cs="华文宋体"/>
                <w:color w:val="auto"/>
                <w:sz w:val="21"/>
                <w:szCs w:val="21"/>
                <w:highlight w:val="none"/>
                <w:lang w:val="en-US" w:eastAsia="zh-CN"/>
              </w:rPr>
              <w:br w:type="textWrapping"/>
            </w:r>
            <w:r>
              <w:rPr>
                <w:rFonts w:hint="eastAsia" w:ascii="华文宋体" w:hAnsi="华文宋体" w:eastAsia="华文宋体" w:cs="华文宋体"/>
                <w:color w:val="auto"/>
                <w:sz w:val="21"/>
                <w:szCs w:val="21"/>
                <w:highlight w:val="none"/>
                <w:lang w:val="en-US" w:eastAsia="zh-CN"/>
              </w:rPr>
              <w:t>4.砂带寿命提升300%以上，加工一致性提高20%，降低进口依赖，带动产业升级。</w:t>
            </w:r>
          </w:p>
        </w:tc>
        <w:tc>
          <w:tcPr>
            <w:tcW w:w="225" w:type="pct"/>
            <w:tcBorders>
              <w:top w:val="single" w:color="000000" w:sz="4" w:space="0"/>
              <w:left w:val="single" w:color="000000" w:sz="4" w:space="0"/>
              <w:bottom w:val="single" w:color="000000" w:sz="4" w:space="0"/>
              <w:right w:val="single" w:color="000000" w:sz="4" w:space="0"/>
            </w:tcBorders>
            <w:noWrap w:val="0"/>
            <w:vAlign w:val="center"/>
          </w:tcPr>
          <w:p w14:paraId="313481DE">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河南烨达新材科技股份有限公司</w:t>
            </w:r>
          </w:p>
        </w:tc>
        <w:tc>
          <w:tcPr>
            <w:tcW w:w="202" w:type="pct"/>
            <w:tcBorders>
              <w:top w:val="single" w:color="000000" w:sz="4" w:space="0"/>
              <w:left w:val="single" w:color="000000" w:sz="4" w:space="0"/>
              <w:bottom w:val="single" w:color="000000" w:sz="4" w:space="0"/>
              <w:right w:val="single" w:color="000000" w:sz="4" w:space="0"/>
            </w:tcBorders>
            <w:noWrap w:val="0"/>
            <w:vAlign w:val="center"/>
          </w:tcPr>
          <w:p w14:paraId="6759D783">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200</w:t>
            </w:r>
          </w:p>
        </w:tc>
        <w:tc>
          <w:tcPr>
            <w:tcW w:w="238" w:type="pct"/>
            <w:tcBorders>
              <w:top w:val="single" w:color="000000" w:sz="4" w:space="0"/>
              <w:left w:val="single" w:color="000000" w:sz="4" w:space="0"/>
              <w:bottom w:val="single" w:color="000000" w:sz="4" w:space="0"/>
              <w:right w:val="single" w:color="000000" w:sz="4" w:space="0"/>
            </w:tcBorders>
            <w:noWrap w:val="0"/>
            <w:vAlign w:val="center"/>
          </w:tcPr>
          <w:p w14:paraId="4F6A3812">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200</w:t>
            </w:r>
          </w:p>
        </w:tc>
        <w:tc>
          <w:tcPr>
            <w:tcW w:w="202" w:type="pct"/>
            <w:tcBorders>
              <w:top w:val="single" w:color="000000" w:sz="4" w:space="0"/>
              <w:left w:val="single" w:color="000000" w:sz="4" w:space="0"/>
              <w:bottom w:val="single" w:color="000000" w:sz="4" w:space="0"/>
              <w:right w:val="single" w:color="000000" w:sz="4" w:space="0"/>
            </w:tcBorders>
            <w:noWrap w:val="0"/>
            <w:vAlign w:val="center"/>
          </w:tcPr>
          <w:p w14:paraId="34FB0A4D">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2年</w:t>
            </w:r>
          </w:p>
        </w:tc>
        <w:tc>
          <w:tcPr>
            <w:tcW w:w="823" w:type="pct"/>
            <w:tcBorders>
              <w:top w:val="single" w:color="000000" w:sz="4" w:space="0"/>
              <w:left w:val="single" w:color="000000" w:sz="4" w:space="0"/>
              <w:bottom w:val="single" w:color="000000" w:sz="4" w:space="0"/>
              <w:right w:val="single" w:color="000000" w:sz="4" w:space="0"/>
            </w:tcBorders>
            <w:noWrap w:val="0"/>
            <w:vAlign w:val="center"/>
          </w:tcPr>
          <w:p w14:paraId="170726B2">
            <w:pPr>
              <w:rPr>
                <w:rFonts w:hint="eastAsia" w:ascii="华文宋体" w:hAnsi="华文宋体" w:eastAsia="华文宋体" w:cs="华文宋体"/>
                <w:color w:val="auto"/>
                <w:sz w:val="21"/>
                <w:szCs w:val="21"/>
                <w:highlight w:val="none"/>
                <w:lang w:val="en-US" w:eastAsia="zh-CN"/>
              </w:rPr>
            </w:pPr>
            <w:r>
              <w:rPr>
                <w:rFonts w:hint="eastAsia" w:ascii="华文宋体" w:hAnsi="华文宋体" w:eastAsia="华文宋体" w:cs="华文宋体"/>
                <w:color w:val="auto"/>
                <w:sz w:val="21"/>
                <w:szCs w:val="21"/>
                <w:highlight w:val="none"/>
                <w:lang w:val="en-US" w:eastAsia="zh-CN"/>
              </w:rPr>
              <w:t>1.提供三种不同体系堆积磨料的原材料清单、技术配方、生产工艺及应用测试数据；</w:t>
            </w:r>
          </w:p>
          <w:p w14:paraId="618FEE99">
            <w:pPr>
              <w:rPr>
                <w:rFonts w:hint="eastAsia" w:ascii="华文宋体" w:hAnsi="华文宋体" w:eastAsia="华文宋体" w:cs="华文宋体"/>
                <w:color w:val="auto"/>
                <w:sz w:val="21"/>
                <w:szCs w:val="21"/>
                <w:highlight w:val="none"/>
                <w:lang w:val="en-US" w:eastAsia="zh-CN"/>
              </w:rPr>
            </w:pPr>
            <w:r>
              <w:rPr>
                <w:rFonts w:hint="eastAsia" w:ascii="华文宋体" w:hAnsi="华文宋体" w:eastAsia="华文宋体" w:cs="华文宋体"/>
                <w:color w:val="auto"/>
                <w:sz w:val="21"/>
                <w:szCs w:val="21"/>
                <w:highlight w:val="none"/>
                <w:lang w:val="en-US" w:eastAsia="zh-CN"/>
              </w:rPr>
              <w:t>2.协助委托方将堆积磨料推广至国内外涂附磨具生产企业砂带产品中；</w:t>
            </w:r>
          </w:p>
          <w:p w14:paraId="30214842">
            <w:pPr>
              <w:rPr>
                <w:rFonts w:hint="eastAsia" w:ascii="华文宋体" w:hAnsi="华文宋体" w:eastAsia="华文宋体" w:cs="华文宋体"/>
                <w:color w:val="auto"/>
                <w:sz w:val="21"/>
                <w:szCs w:val="21"/>
                <w:highlight w:val="none"/>
                <w:lang w:val="en-US" w:eastAsia="zh-CN"/>
              </w:rPr>
            </w:pPr>
            <w:r>
              <w:rPr>
                <w:rFonts w:hint="eastAsia" w:ascii="华文宋体" w:hAnsi="华文宋体" w:eastAsia="华文宋体" w:cs="华文宋体"/>
                <w:color w:val="auto"/>
                <w:sz w:val="21"/>
                <w:szCs w:val="21"/>
                <w:highlight w:val="none"/>
                <w:lang w:val="en-US" w:eastAsia="zh-CN"/>
              </w:rPr>
              <w:t>3.协助或联合申请发明专利不少于2项，发表论文2篇。</w:t>
            </w:r>
          </w:p>
        </w:tc>
        <w:tc>
          <w:tcPr>
            <w:tcW w:w="316" w:type="pct"/>
            <w:tcBorders>
              <w:top w:val="single" w:color="000000" w:sz="4" w:space="0"/>
              <w:left w:val="single" w:color="000000" w:sz="4" w:space="0"/>
              <w:bottom w:val="single" w:color="000000" w:sz="4" w:space="0"/>
              <w:right w:val="single" w:color="000000" w:sz="4" w:space="0"/>
            </w:tcBorders>
            <w:noWrap w:val="0"/>
            <w:vAlign w:val="center"/>
          </w:tcPr>
          <w:p w14:paraId="6F75DBA7">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方亚冰15981931601</w:t>
            </w:r>
          </w:p>
        </w:tc>
        <w:tc>
          <w:tcPr>
            <w:tcW w:w="238" w:type="pct"/>
            <w:tcBorders>
              <w:top w:val="single" w:color="000000" w:sz="4" w:space="0"/>
              <w:left w:val="single" w:color="000000" w:sz="4" w:space="0"/>
              <w:bottom w:val="single" w:color="000000" w:sz="4" w:space="0"/>
              <w:right w:val="single" w:color="000000" w:sz="4" w:space="0"/>
            </w:tcBorders>
            <w:noWrap w:val="0"/>
            <w:vAlign w:val="center"/>
          </w:tcPr>
          <w:p w14:paraId="4DCE3097">
            <w:pPr>
              <w:rPr>
                <w:rFonts w:hint="eastAsia" w:ascii="华文宋体" w:hAnsi="华文宋体" w:eastAsia="华文宋体" w:cs="华文宋体"/>
                <w:color w:val="auto"/>
                <w:sz w:val="21"/>
                <w:szCs w:val="21"/>
                <w:highlight w:val="none"/>
              </w:rPr>
            </w:pPr>
            <w:r>
              <w:rPr>
                <w:rFonts w:hint="eastAsia" w:ascii="华文宋体" w:hAnsi="华文宋体" w:eastAsia="华文宋体" w:cs="华文宋体"/>
                <w:color w:val="auto"/>
                <w:sz w:val="21"/>
                <w:szCs w:val="21"/>
                <w:highlight w:val="none"/>
                <w:lang w:val="en-US" w:eastAsia="zh-CN"/>
              </w:rPr>
              <w:t>新密市</w:t>
            </w:r>
          </w:p>
        </w:tc>
      </w:tr>
      <w:tr w14:paraId="4DE80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181" w:type="pct"/>
            <w:tcBorders>
              <w:top w:val="single" w:color="000000" w:sz="4" w:space="0"/>
              <w:left w:val="single" w:color="000000" w:sz="4" w:space="0"/>
              <w:bottom w:val="single" w:color="000000" w:sz="4" w:space="0"/>
              <w:right w:val="single" w:color="000000" w:sz="4" w:space="0"/>
            </w:tcBorders>
            <w:noWrap w:val="0"/>
            <w:vAlign w:val="center"/>
          </w:tcPr>
          <w:p w14:paraId="25A80D23">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二</w:t>
            </w:r>
          </w:p>
        </w:tc>
        <w:tc>
          <w:tcPr>
            <w:tcW w:w="446" w:type="pct"/>
            <w:tcBorders>
              <w:top w:val="single" w:color="000000" w:sz="4" w:space="0"/>
              <w:left w:val="single" w:color="000000" w:sz="4" w:space="0"/>
              <w:bottom w:val="single" w:color="000000" w:sz="4" w:space="0"/>
              <w:right w:val="single" w:color="000000" w:sz="4" w:space="0"/>
            </w:tcBorders>
            <w:noWrap w:val="0"/>
            <w:vAlign w:val="center"/>
          </w:tcPr>
          <w:p w14:paraId="592089D9">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农业领域</w:t>
            </w:r>
          </w:p>
        </w:tc>
        <w:tc>
          <w:tcPr>
            <w:tcW w:w="276" w:type="pct"/>
            <w:tcBorders>
              <w:top w:val="single" w:color="000000" w:sz="4" w:space="0"/>
              <w:left w:val="single" w:color="000000" w:sz="4" w:space="0"/>
              <w:bottom w:val="single" w:color="000000" w:sz="4" w:space="0"/>
              <w:right w:val="single" w:color="000000" w:sz="4" w:space="0"/>
            </w:tcBorders>
            <w:noWrap w:val="0"/>
            <w:vAlign w:val="center"/>
          </w:tcPr>
          <w:p w14:paraId="7D18739A">
            <w:pPr>
              <w:keepNext w:val="0"/>
              <w:keepLines w:val="0"/>
              <w:pageBreakBefore w:val="0"/>
              <w:widowControl/>
              <w:kinsoku/>
              <w:wordWrap/>
              <w:overflowPunct/>
              <w:topLinePunct w:val="0"/>
              <w:autoSpaceDE/>
              <w:autoSpaceDN/>
              <w:bidi w:val="0"/>
              <w:adjustRightInd/>
              <w:snapToGrid/>
              <w:spacing w:line="280" w:lineRule="exact"/>
              <w:jc w:val="center"/>
              <w:rPr>
                <w:rFonts w:hint="eastAsia" w:ascii="宋体" w:hAnsi="宋体" w:eastAsia="宋体" w:cs="宋体"/>
                <w:i w:val="0"/>
                <w:iCs w:val="0"/>
                <w:color w:val="auto"/>
                <w:sz w:val="21"/>
                <w:szCs w:val="21"/>
                <w:highlight w:val="none"/>
                <w:u w:val="none"/>
              </w:rPr>
            </w:pPr>
          </w:p>
        </w:tc>
        <w:tc>
          <w:tcPr>
            <w:tcW w:w="788" w:type="pct"/>
            <w:tcBorders>
              <w:top w:val="single" w:color="000000" w:sz="4" w:space="0"/>
              <w:left w:val="single" w:color="000000" w:sz="4" w:space="0"/>
              <w:bottom w:val="single" w:color="000000" w:sz="4" w:space="0"/>
              <w:right w:val="single" w:color="000000" w:sz="4" w:space="0"/>
            </w:tcBorders>
            <w:noWrap w:val="0"/>
            <w:vAlign w:val="center"/>
          </w:tcPr>
          <w:p w14:paraId="45E10CE8">
            <w:pPr>
              <w:keepNext w:val="0"/>
              <w:keepLines w:val="0"/>
              <w:pageBreakBefore w:val="0"/>
              <w:widowControl/>
              <w:kinsoku/>
              <w:wordWrap/>
              <w:overflowPunct/>
              <w:topLinePunct w:val="0"/>
              <w:autoSpaceDE/>
              <w:autoSpaceDN/>
              <w:bidi w:val="0"/>
              <w:adjustRightInd/>
              <w:snapToGrid/>
              <w:spacing w:line="280" w:lineRule="exact"/>
              <w:jc w:val="center"/>
              <w:rPr>
                <w:rFonts w:hint="eastAsia" w:ascii="宋体" w:hAnsi="宋体" w:eastAsia="宋体" w:cs="宋体"/>
                <w:i w:val="0"/>
                <w:iCs w:val="0"/>
                <w:color w:val="auto"/>
                <w:sz w:val="21"/>
                <w:szCs w:val="21"/>
                <w:highlight w:val="none"/>
                <w:u w:val="none"/>
              </w:rPr>
            </w:pPr>
          </w:p>
        </w:tc>
        <w:tc>
          <w:tcPr>
            <w:tcW w:w="1057" w:type="pct"/>
            <w:tcBorders>
              <w:top w:val="single" w:color="000000" w:sz="4" w:space="0"/>
              <w:left w:val="single" w:color="000000" w:sz="4" w:space="0"/>
              <w:bottom w:val="single" w:color="000000" w:sz="4" w:space="0"/>
              <w:right w:val="single" w:color="000000" w:sz="4" w:space="0"/>
            </w:tcBorders>
            <w:noWrap w:val="0"/>
            <w:vAlign w:val="center"/>
          </w:tcPr>
          <w:p w14:paraId="50EA326A">
            <w:pPr>
              <w:keepNext w:val="0"/>
              <w:keepLines w:val="0"/>
              <w:pageBreakBefore w:val="0"/>
              <w:widowControl/>
              <w:kinsoku/>
              <w:wordWrap/>
              <w:overflowPunct/>
              <w:topLinePunct w:val="0"/>
              <w:autoSpaceDE/>
              <w:autoSpaceDN/>
              <w:bidi w:val="0"/>
              <w:adjustRightInd/>
              <w:snapToGrid/>
              <w:spacing w:line="280" w:lineRule="exact"/>
              <w:jc w:val="center"/>
              <w:rPr>
                <w:rFonts w:hint="eastAsia" w:ascii="宋体" w:hAnsi="宋体" w:eastAsia="宋体" w:cs="宋体"/>
                <w:i w:val="0"/>
                <w:iCs w:val="0"/>
                <w:color w:val="auto"/>
                <w:sz w:val="21"/>
                <w:szCs w:val="21"/>
                <w:highlight w:val="none"/>
                <w:u w:val="none"/>
              </w:rPr>
            </w:pPr>
          </w:p>
        </w:tc>
        <w:tc>
          <w:tcPr>
            <w:tcW w:w="225" w:type="pct"/>
            <w:tcBorders>
              <w:top w:val="single" w:color="000000" w:sz="4" w:space="0"/>
              <w:left w:val="single" w:color="000000" w:sz="4" w:space="0"/>
              <w:bottom w:val="single" w:color="000000" w:sz="4" w:space="0"/>
              <w:right w:val="single" w:color="000000" w:sz="4" w:space="0"/>
            </w:tcBorders>
            <w:noWrap w:val="0"/>
            <w:vAlign w:val="center"/>
          </w:tcPr>
          <w:p w14:paraId="65B32AB8">
            <w:pPr>
              <w:keepNext w:val="0"/>
              <w:keepLines w:val="0"/>
              <w:pageBreakBefore w:val="0"/>
              <w:widowControl/>
              <w:kinsoku/>
              <w:wordWrap/>
              <w:overflowPunct/>
              <w:topLinePunct w:val="0"/>
              <w:autoSpaceDE/>
              <w:autoSpaceDN/>
              <w:bidi w:val="0"/>
              <w:adjustRightInd/>
              <w:snapToGrid/>
              <w:spacing w:line="280" w:lineRule="exact"/>
              <w:jc w:val="center"/>
              <w:rPr>
                <w:rFonts w:hint="eastAsia" w:ascii="宋体" w:hAnsi="宋体" w:eastAsia="宋体" w:cs="宋体"/>
                <w:i w:val="0"/>
                <w:iCs w:val="0"/>
                <w:color w:val="auto"/>
                <w:sz w:val="21"/>
                <w:szCs w:val="21"/>
                <w:highlight w:val="none"/>
                <w:u w:val="none"/>
              </w:rPr>
            </w:pPr>
          </w:p>
        </w:tc>
        <w:tc>
          <w:tcPr>
            <w:tcW w:w="202" w:type="pct"/>
            <w:tcBorders>
              <w:top w:val="single" w:color="000000" w:sz="4" w:space="0"/>
              <w:left w:val="single" w:color="000000" w:sz="4" w:space="0"/>
              <w:bottom w:val="single" w:color="000000" w:sz="4" w:space="0"/>
              <w:right w:val="single" w:color="000000" w:sz="4" w:space="0"/>
            </w:tcBorders>
            <w:noWrap w:val="0"/>
            <w:vAlign w:val="center"/>
          </w:tcPr>
          <w:p w14:paraId="4B789927">
            <w:pPr>
              <w:keepNext w:val="0"/>
              <w:keepLines w:val="0"/>
              <w:pageBreakBefore w:val="0"/>
              <w:widowControl/>
              <w:kinsoku/>
              <w:wordWrap/>
              <w:overflowPunct/>
              <w:topLinePunct w:val="0"/>
              <w:autoSpaceDE/>
              <w:autoSpaceDN/>
              <w:bidi w:val="0"/>
              <w:adjustRightInd/>
              <w:snapToGrid/>
              <w:spacing w:line="280" w:lineRule="exact"/>
              <w:jc w:val="center"/>
              <w:rPr>
                <w:rFonts w:hint="eastAsia" w:ascii="宋体" w:hAnsi="宋体" w:eastAsia="宋体" w:cs="宋体"/>
                <w:i w:val="0"/>
                <w:iCs w:val="0"/>
                <w:color w:val="auto"/>
                <w:sz w:val="21"/>
                <w:szCs w:val="21"/>
                <w:highlight w:val="none"/>
                <w:u w:val="none"/>
              </w:rPr>
            </w:pPr>
          </w:p>
        </w:tc>
        <w:tc>
          <w:tcPr>
            <w:tcW w:w="238" w:type="pct"/>
            <w:tcBorders>
              <w:top w:val="single" w:color="000000" w:sz="4" w:space="0"/>
              <w:left w:val="single" w:color="000000" w:sz="4" w:space="0"/>
              <w:bottom w:val="single" w:color="000000" w:sz="4" w:space="0"/>
              <w:right w:val="single" w:color="000000" w:sz="4" w:space="0"/>
            </w:tcBorders>
            <w:noWrap w:val="0"/>
            <w:vAlign w:val="center"/>
          </w:tcPr>
          <w:p w14:paraId="36429129">
            <w:pPr>
              <w:keepNext w:val="0"/>
              <w:keepLines w:val="0"/>
              <w:pageBreakBefore w:val="0"/>
              <w:widowControl/>
              <w:kinsoku/>
              <w:wordWrap/>
              <w:overflowPunct/>
              <w:topLinePunct w:val="0"/>
              <w:autoSpaceDE/>
              <w:autoSpaceDN/>
              <w:bidi w:val="0"/>
              <w:adjustRightInd/>
              <w:snapToGrid/>
              <w:spacing w:line="280" w:lineRule="exact"/>
              <w:jc w:val="center"/>
              <w:rPr>
                <w:rFonts w:hint="eastAsia" w:ascii="宋体" w:hAnsi="宋体" w:eastAsia="宋体" w:cs="宋体"/>
                <w:i w:val="0"/>
                <w:iCs w:val="0"/>
                <w:color w:val="auto"/>
                <w:sz w:val="21"/>
                <w:szCs w:val="21"/>
                <w:highlight w:val="none"/>
                <w:u w:val="none"/>
              </w:rPr>
            </w:pPr>
          </w:p>
        </w:tc>
        <w:tc>
          <w:tcPr>
            <w:tcW w:w="202" w:type="pct"/>
            <w:tcBorders>
              <w:top w:val="single" w:color="000000" w:sz="4" w:space="0"/>
              <w:left w:val="single" w:color="000000" w:sz="4" w:space="0"/>
              <w:bottom w:val="single" w:color="000000" w:sz="4" w:space="0"/>
              <w:right w:val="single" w:color="000000" w:sz="4" w:space="0"/>
            </w:tcBorders>
            <w:noWrap w:val="0"/>
            <w:vAlign w:val="center"/>
          </w:tcPr>
          <w:p w14:paraId="046C772D">
            <w:pPr>
              <w:keepNext w:val="0"/>
              <w:keepLines w:val="0"/>
              <w:pageBreakBefore w:val="0"/>
              <w:widowControl/>
              <w:kinsoku/>
              <w:wordWrap/>
              <w:overflowPunct/>
              <w:topLinePunct w:val="0"/>
              <w:autoSpaceDE/>
              <w:autoSpaceDN/>
              <w:bidi w:val="0"/>
              <w:adjustRightInd/>
              <w:snapToGrid/>
              <w:spacing w:line="280" w:lineRule="exact"/>
              <w:jc w:val="center"/>
              <w:rPr>
                <w:rFonts w:hint="eastAsia" w:ascii="宋体" w:hAnsi="宋体" w:eastAsia="宋体" w:cs="宋体"/>
                <w:i w:val="0"/>
                <w:iCs w:val="0"/>
                <w:color w:val="auto"/>
                <w:sz w:val="21"/>
                <w:szCs w:val="21"/>
                <w:highlight w:val="none"/>
                <w:u w:val="none"/>
              </w:rPr>
            </w:pPr>
          </w:p>
        </w:tc>
        <w:tc>
          <w:tcPr>
            <w:tcW w:w="823" w:type="pct"/>
            <w:tcBorders>
              <w:top w:val="single" w:color="000000" w:sz="4" w:space="0"/>
              <w:left w:val="single" w:color="000000" w:sz="4" w:space="0"/>
              <w:bottom w:val="single" w:color="000000" w:sz="4" w:space="0"/>
              <w:right w:val="single" w:color="000000" w:sz="4" w:space="0"/>
            </w:tcBorders>
            <w:noWrap w:val="0"/>
            <w:vAlign w:val="center"/>
          </w:tcPr>
          <w:p w14:paraId="6E3D260B">
            <w:pPr>
              <w:keepNext w:val="0"/>
              <w:keepLines w:val="0"/>
              <w:pageBreakBefore w:val="0"/>
              <w:widowControl/>
              <w:kinsoku/>
              <w:wordWrap/>
              <w:overflowPunct/>
              <w:topLinePunct w:val="0"/>
              <w:autoSpaceDE/>
              <w:autoSpaceDN/>
              <w:bidi w:val="0"/>
              <w:adjustRightInd/>
              <w:snapToGrid/>
              <w:spacing w:line="280" w:lineRule="exact"/>
              <w:jc w:val="center"/>
              <w:rPr>
                <w:rFonts w:hint="eastAsia" w:ascii="宋体" w:hAnsi="宋体" w:eastAsia="宋体" w:cs="宋体"/>
                <w:i w:val="0"/>
                <w:iCs w:val="0"/>
                <w:color w:val="auto"/>
                <w:sz w:val="21"/>
                <w:szCs w:val="21"/>
                <w:highlight w:val="none"/>
                <w:u w:val="none"/>
              </w:rPr>
            </w:pPr>
          </w:p>
        </w:tc>
        <w:tc>
          <w:tcPr>
            <w:tcW w:w="316" w:type="pct"/>
            <w:tcBorders>
              <w:top w:val="single" w:color="000000" w:sz="4" w:space="0"/>
              <w:left w:val="single" w:color="000000" w:sz="4" w:space="0"/>
              <w:bottom w:val="single" w:color="000000" w:sz="4" w:space="0"/>
              <w:right w:val="single" w:color="000000" w:sz="4" w:space="0"/>
            </w:tcBorders>
            <w:noWrap w:val="0"/>
            <w:vAlign w:val="center"/>
          </w:tcPr>
          <w:p w14:paraId="5600C1E4">
            <w:pPr>
              <w:keepNext w:val="0"/>
              <w:keepLines w:val="0"/>
              <w:pageBreakBefore w:val="0"/>
              <w:widowControl/>
              <w:kinsoku/>
              <w:wordWrap/>
              <w:overflowPunct/>
              <w:topLinePunct w:val="0"/>
              <w:autoSpaceDE/>
              <w:autoSpaceDN/>
              <w:bidi w:val="0"/>
              <w:adjustRightInd/>
              <w:snapToGrid/>
              <w:spacing w:line="280" w:lineRule="exact"/>
              <w:jc w:val="center"/>
              <w:rPr>
                <w:rFonts w:hint="eastAsia" w:ascii="宋体" w:hAnsi="宋体" w:eastAsia="宋体" w:cs="宋体"/>
                <w:i w:val="0"/>
                <w:iCs w:val="0"/>
                <w:color w:val="auto"/>
                <w:sz w:val="21"/>
                <w:szCs w:val="21"/>
                <w:highlight w:val="none"/>
                <w:u w:val="none"/>
              </w:rPr>
            </w:pPr>
          </w:p>
        </w:tc>
        <w:tc>
          <w:tcPr>
            <w:tcW w:w="238" w:type="pct"/>
            <w:tcBorders>
              <w:top w:val="single" w:color="000000" w:sz="4" w:space="0"/>
              <w:left w:val="single" w:color="000000" w:sz="4" w:space="0"/>
              <w:bottom w:val="single" w:color="000000" w:sz="4" w:space="0"/>
              <w:right w:val="single" w:color="000000" w:sz="4" w:space="0"/>
            </w:tcBorders>
            <w:noWrap w:val="0"/>
            <w:vAlign w:val="center"/>
          </w:tcPr>
          <w:p w14:paraId="4CE633F4">
            <w:pPr>
              <w:keepNext w:val="0"/>
              <w:keepLines w:val="0"/>
              <w:pageBreakBefore w:val="0"/>
              <w:widowControl/>
              <w:kinsoku/>
              <w:wordWrap/>
              <w:overflowPunct/>
              <w:topLinePunct w:val="0"/>
              <w:autoSpaceDE/>
              <w:autoSpaceDN/>
              <w:bidi w:val="0"/>
              <w:adjustRightInd/>
              <w:snapToGrid/>
              <w:spacing w:line="280" w:lineRule="exact"/>
              <w:jc w:val="center"/>
              <w:rPr>
                <w:rFonts w:hint="eastAsia" w:ascii="宋体" w:hAnsi="宋体" w:eastAsia="宋体" w:cs="宋体"/>
                <w:i w:val="0"/>
                <w:iCs w:val="0"/>
                <w:color w:val="auto"/>
                <w:sz w:val="21"/>
                <w:szCs w:val="21"/>
                <w:highlight w:val="none"/>
                <w:u w:val="none"/>
              </w:rPr>
            </w:pPr>
          </w:p>
        </w:tc>
      </w:tr>
      <w:tr w14:paraId="3A007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77" w:hRule="atLeast"/>
        </w:trPr>
        <w:tc>
          <w:tcPr>
            <w:tcW w:w="181" w:type="pct"/>
            <w:tcBorders>
              <w:top w:val="single" w:color="000000" w:sz="4" w:space="0"/>
              <w:left w:val="single" w:color="000000" w:sz="4" w:space="0"/>
              <w:bottom w:val="single" w:color="000000" w:sz="4" w:space="0"/>
              <w:right w:val="single" w:color="000000" w:sz="4" w:space="0"/>
            </w:tcBorders>
            <w:noWrap w:val="0"/>
            <w:vAlign w:val="center"/>
          </w:tcPr>
          <w:p w14:paraId="5CA235F5">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1</w:t>
            </w:r>
          </w:p>
        </w:tc>
        <w:tc>
          <w:tcPr>
            <w:tcW w:w="446" w:type="pct"/>
            <w:tcBorders>
              <w:top w:val="single" w:color="000000" w:sz="4" w:space="0"/>
              <w:left w:val="single" w:color="000000" w:sz="4" w:space="0"/>
              <w:bottom w:val="single" w:color="000000" w:sz="4" w:space="0"/>
              <w:right w:val="single" w:color="000000" w:sz="4" w:space="0"/>
            </w:tcBorders>
            <w:noWrap/>
            <w:vAlign w:val="center"/>
          </w:tcPr>
          <w:p w14:paraId="5ED70627">
            <w:pPr>
              <w:rPr>
                <w:rFonts w:hint="eastAsia" w:ascii="华文宋体" w:hAnsi="华文宋体" w:eastAsia="华文宋体" w:cs="华文宋体"/>
                <w:color w:val="auto"/>
                <w:highlight w:val="none"/>
              </w:rPr>
            </w:pPr>
            <w:r>
              <w:rPr>
                <w:rFonts w:hint="eastAsia" w:ascii="华文宋体" w:hAnsi="华文宋体" w:eastAsia="华文宋体" w:cs="华文宋体"/>
                <w:color w:val="auto"/>
                <w:highlight w:val="none"/>
                <w:lang w:val="en-US" w:eastAsia="zh-CN"/>
              </w:rPr>
              <w:t>耐密多抗高产玉米新品种的分子设计与选育</w:t>
            </w:r>
          </w:p>
        </w:tc>
        <w:tc>
          <w:tcPr>
            <w:tcW w:w="276" w:type="pct"/>
            <w:tcBorders>
              <w:top w:val="single" w:color="000000" w:sz="4" w:space="0"/>
              <w:left w:val="single" w:color="000000" w:sz="4" w:space="0"/>
              <w:bottom w:val="single" w:color="000000" w:sz="4" w:space="0"/>
              <w:right w:val="single" w:color="000000" w:sz="4" w:space="0"/>
            </w:tcBorders>
            <w:noWrap w:val="0"/>
            <w:vAlign w:val="center"/>
          </w:tcPr>
          <w:p w14:paraId="5D48F50E">
            <w:pPr>
              <w:rPr>
                <w:rFonts w:hint="eastAsia" w:ascii="华文宋体" w:hAnsi="华文宋体" w:eastAsia="华文宋体" w:cs="华文宋体"/>
                <w:color w:val="auto"/>
                <w:highlight w:val="none"/>
              </w:rPr>
            </w:pPr>
            <w:r>
              <w:rPr>
                <w:rFonts w:hint="eastAsia" w:ascii="华文宋体" w:hAnsi="华文宋体" w:eastAsia="华文宋体" w:cs="华文宋体"/>
                <w:color w:val="auto"/>
                <w:highlight w:val="none"/>
                <w:lang w:val="en-US" w:eastAsia="zh-CN"/>
              </w:rPr>
              <w:t>现代农业</w:t>
            </w:r>
          </w:p>
        </w:tc>
        <w:tc>
          <w:tcPr>
            <w:tcW w:w="788" w:type="pct"/>
            <w:tcBorders>
              <w:top w:val="single" w:color="000000" w:sz="4" w:space="0"/>
              <w:left w:val="single" w:color="000000" w:sz="4" w:space="0"/>
              <w:bottom w:val="single" w:color="000000" w:sz="4" w:space="0"/>
              <w:right w:val="single" w:color="000000" w:sz="4" w:space="0"/>
            </w:tcBorders>
            <w:noWrap w:val="0"/>
            <w:vAlign w:val="center"/>
          </w:tcPr>
          <w:p w14:paraId="53159DB7">
            <w:pPr>
              <w:rPr>
                <w:rFonts w:hint="eastAsia" w:ascii="华文宋体" w:hAnsi="华文宋体" w:eastAsia="华文宋体" w:cs="华文宋体"/>
                <w:color w:val="auto"/>
                <w:highlight w:val="none"/>
              </w:rPr>
            </w:pPr>
            <w:r>
              <w:rPr>
                <w:rFonts w:hint="eastAsia" w:ascii="华文宋体" w:hAnsi="华文宋体" w:eastAsia="华文宋体" w:cs="华文宋体"/>
                <w:color w:val="auto"/>
                <w:highlight w:val="none"/>
                <w:lang w:val="en-US" w:eastAsia="zh-CN"/>
              </w:rPr>
              <w:t>以耐密多抗高产玉米新品种的分子设计与选育为核心，突破多性状协同改良、核心基因挖掘、分子设计与常规育种融合等技术瓶颈；构建基因挖掘、分子设计、品种选育商业化育种体系；培育兼具耐密、高产、抗逆特性的玉米新品种。</w:t>
            </w:r>
          </w:p>
        </w:tc>
        <w:tc>
          <w:tcPr>
            <w:tcW w:w="1057" w:type="pct"/>
            <w:tcBorders>
              <w:top w:val="single" w:color="000000" w:sz="4" w:space="0"/>
              <w:left w:val="single" w:color="000000" w:sz="4" w:space="0"/>
              <w:bottom w:val="single" w:color="000000" w:sz="4" w:space="0"/>
              <w:right w:val="single" w:color="000000" w:sz="4" w:space="0"/>
            </w:tcBorders>
            <w:noWrap w:val="0"/>
            <w:vAlign w:val="center"/>
          </w:tcPr>
          <w:p w14:paraId="3CCFF7D5">
            <w:pPr>
              <w:rPr>
                <w:rFonts w:hint="eastAsia" w:ascii="华文宋体" w:hAnsi="华文宋体" w:eastAsia="华文宋体" w:cs="华文宋体"/>
                <w:color w:val="auto"/>
                <w:highlight w:val="none"/>
              </w:rPr>
            </w:pPr>
            <w:r>
              <w:rPr>
                <w:rFonts w:hint="eastAsia" w:ascii="华文宋体" w:hAnsi="华文宋体" w:eastAsia="华文宋体" w:cs="华文宋体"/>
                <w:color w:val="auto"/>
                <w:highlight w:val="none"/>
                <w:lang w:val="en-US" w:eastAsia="zh-CN"/>
              </w:rPr>
              <w:t>1.挖掘耐密植、耐高温和阴雨寡照、高产等重要性状控制基因2-3个，明确其优良单倍型，开发功能性分子标记2-3对。</w:t>
            </w:r>
            <w:r>
              <w:rPr>
                <w:rFonts w:hint="eastAsia" w:ascii="华文宋体" w:hAnsi="华文宋体" w:eastAsia="华文宋体" w:cs="华文宋体"/>
                <w:color w:val="auto"/>
                <w:highlight w:val="none"/>
                <w:lang w:val="en-US" w:eastAsia="zh-CN"/>
              </w:rPr>
              <w:br w:type="textWrapping"/>
            </w:r>
            <w:r>
              <w:rPr>
                <w:rFonts w:hint="eastAsia" w:ascii="华文宋体" w:hAnsi="华文宋体" w:eastAsia="华文宋体" w:cs="华文宋体"/>
                <w:color w:val="auto"/>
                <w:highlight w:val="none"/>
                <w:lang w:val="en-US" w:eastAsia="zh-CN"/>
              </w:rPr>
              <w:t>2.开发融合分子标记、基因编辑和单倍体技术的分子设计育种体系1套。</w:t>
            </w:r>
            <w:r>
              <w:rPr>
                <w:rFonts w:hint="eastAsia" w:ascii="华文宋体" w:hAnsi="华文宋体" w:eastAsia="华文宋体" w:cs="华文宋体"/>
                <w:color w:val="auto"/>
                <w:highlight w:val="none"/>
                <w:lang w:val="en-US" w:eastAsia="zh-CN"/>
              </w:rPr>
              <w:br w:type="textWrapping"/>
            </w:r>
            <w:r>
              <w:rPr>
                <w:rFonts w:hint="eastAsia" w:ascii="华文宋体" w:hAnsi="华文宋体" w:eastAsia="华文宋体" w:cs="华文宋体"/>
                <w:color w:val="auto"/>
                <w:highlight w:val="none"/>
                <w:lang w:val="en-US" w:eastAsia="zh-CN"/>
              </w:rPr>
              <w:t>3.创制耐密、多抗、高产优异种质30份以上，田间株高较对照降低5-10%，结实率提高5%以上。</w:t>
            </w:r>
            <w:r>
              <w:rPr>
                <w:rFonts w:hint="eastAsia" w:ascii="华文宋体" w:hAnsi="华文宋体" w:eastAsia="华文宋体" w:cs="华文宋体"/>
                <w:color w:val="auto"/>
                <w:highlight w:val="none"/>
                <w:lang w:val="en-US" w:eastAsia="zh-CN"/>
              </w:rPr>
              <w:br w:type="textWrapping"/>
            </w:r>
            <w:r>
              <w:rPr>
                <w:rFonts w:hint="eastAsia" w:ascii="华文宋体" w:hAnsi="华文宋体" w:eastAsia="华文宋体" w:cs="华文宋体"/>
                <w:color w:val="auto"/>
                <w:highlight w:val="none"/>
                <w:lang w:val="en-US" w:eastAsia="zh-CN"/>
              </w:rPr>
              <w:t>4.筛选参加国家/省级审定试验玉米新品种4-6个；审定国家/省级耐密、多抗、高产玉米新品种2-3个，适宜种植密度达到5000株/亩以上，产量较对照平均增产5%以上。</w:t>
            </w:r>
          </w:p>
        </w:tc>
        <w:tc>
          <w:tcPr>
            <w:tcW w:w="225" w:type="pct"/>
            <w:tcBorders>
              <w:top w:val="single" w:color="000000" w:sz="4" w:space="0"/>
              <w:left w:val="single" w:color="000000" w:sz="4" w:space="0"/>
              <w:bottom w:val="single" w:color="000000" w:sz="4" w:space="0"/>
              <w:right w:val="single" w:color="000000" w:sz="4" w:space="0"/>
            </w:tcBorders>
            <w:noWrap w:val="0"/>
            <w:vAlign w:val="center"/>
          </w:tcPr>
          <w:p w14:paraId="09CEFB70">
            <w:pPr>
              <w:rPr>
                <w:rFonts w:hint="eastAsia" w:ascii="华文宋体" w:hAnsi="华文宋体" w:eastAsia="华文宋体" w:cs="华文宋体"/>
                <w:color w:val="auto"/>
                <w:highlight w:val="none"/>
              </w:rPr>
            </w:pPr>
            <w:r>
              <w:rPr>
                <w:rFonts w:hint="eastAsia" w:ascii="华文宋体" w:hAnsi="华文宋体" w:eastAsia="华文宋体" w:cs="华文宋体"/>
                <w:color w:val="auto"/>
                <w:highlight w:val="none"/>
                <w:lang w:val="en-US" w:eastAsia="zh-CN"/>
              </w:rPr>
              <w:t>河南富吉泰种业有限公司</w:t>
            </w:r>
          </w:p>
        </w:tc>
        <w:tc>
          <w:tcPr>
            <w:tcW w:w="202" w:type="pct"/>
            <w:tcBorders>
              <w:top w:val="single" w:color="000000" w:sz="4" w:space="0"/>
              <w:left w:val="single" w:color="000000" w:sz="4" w:space="0"/>
              <w:bottom w:val="single" w:color="000000" w:sz="4" w:space="0"/>
              <w:right w:val="single" w:color="000000" w:sz="4" w:space="0"/>
            </w:tcBorders>
            <w:noWrap w:val="0"/>
            <w:vAlign w:val="center"/>
          </w:tcPr>
          <w:p w14:paraId="20C81F11">
            <w:pPr>
              <w:rPr>
                <w:rFonts w:hint="eastAsia" w:ascii="华文宋体" w:hAnsi="华文宋体" w:eastAsia="华文宋体" w:cs="华文宋体"/>
                <w:color w:val="auto"/>
                <w:highlight w:val="none"/>
              </w:rPr>
            </w:pPr>
            <w:r>
              <w:rPr>
                <w:rFonts w:hint="eastAsia" w:ascii="华文宋体" w:hAnsi="华文宋体" w:eastAsia="华文宋体" w:cs="华文宋体"/>
                <w:color w:val="auto"/>
                <w:highlight w:val="none"/>
                <w:lang w:val="en-US" w:eastAsia="zh-CN"/>
              </w:rPr>
              <w:t>150</w:t>
            </w:r>
          </w:p>
        </w:tc>
        <w:tc>
          <w:tcPr>
            <w:tcW w:w="238" w:type="pct"/>
            <w:tcBorders>
              <w:top w:val="single" w:color="000000" w:sz="4" w:space="0"/>
              <w:left w:val="single" w:color="000000" w:sz="4" w:space="0"/>
              <w:bottom w:val="single" w:color="000000" w:sz="4" w:space="0"/>
              <w:right w:val="single" w:color="000000" w:sz="4" w:space="0"/>
            </w:tcBorders>
            <w:noWrap w:val="0"/>
            <w:vAlign w:val="center"/>
          </w:tcPr>
          <w:p w14:paraId="20BFDF64">
            <w:pPr>
              <w:rPr>
                <w:rFonts w:hint="eastAsia" w:ascii="华文宋体" w:hAnsi="华文宋体" w:eastAsia="华文宋体" w:cs="华文宋体"/>
                <w:color w:val="auto"/>
                <w:highlight w:val="none"/>
              </w:rPr>
            </w:pPr>
            <w:r>
              <w:rPr>
                <w:rFonts w:hint="eastAsia" w:ascii="华文宋体" w:hAnsi="华文宋体" w:eastAsia="华文宋体" w:cs="华文宋体"/>
                <w:color w:val="auto"/>
                <w:highlight w:val="none"/>
                <w:lang w:val="en-US" w:eastAsia="zh-CN"/>
              </w:rPr>
              <w:t>150</w:t>
            </w:r>
          </w:p>
        </w:tc>
        <w:tc>
          <w:tcPr>
            <w:tcW w:w="202" w:type="pct"/>
            <w:tcBorders>
              <w:top w:val="single" w:color="000000" w:sz="4" w:space="0"/>
              <w:left w:val="single" w:color="000000" w:sz="4" w:space="0"/>
              <w:bottom w:val="single" w:color="000000" w:sz="4" w:space="0"/>
              <w:right w:val="single" w:color="000000" w:sz="4" w:space="0"/>
            </w:tcBorders>
            <w:noWrap w:val="0"/>
            <w:vAlign w:val="center"/>
          </w:tcPr>
          <w:p w14:paraId="4511DF9A">
            <w:pPr>
              <w:rPr>
                <w:rFonts w:hint="eastAsia" w:ascii="华文宋体" w:hAnsi="华文宋体" w:eastAsia="华文宋体" w:cs="华文宋体"/>
                <w:color w:val="auto"/>
                <w:highlight w:val="none"/>
              </w:rPr>
            </w:pPr>
            <w:r>
              <w:rPr>
                <w:rFonts w:hint="eastAsia" w:ascii="华文宋体" w:hAnsi="华文宋体" w:eastAsia="华文宋体" w:cs="华文宋体"/>
                <w:color w:val="auto"/>
                <w:highlight w:val="none"/>
                <w:lang w:val="en-US" w:eastAsia="zh-CN"/>
              </w:rPr>
              <w:t>2年</w:t>
            </w:r>
          </w:p>
        </w:tc>
        <w:tc>
          <w:tcPr>
            <w:tcW w:w="823" w:type="pct"/>
            <w:tcBorders>
              <w:top w:val="single" w:color="000000" w:sz="4" w:space="0"/>
              <w:left w:val="single" w:color="000000" w:sz="4" w:space="0"/>
              <w:bottom w:val="single" w:color="000000" w:sz="4" w:space="0"/>
              <w:right w:val="single" w:color="000000" w:sz="4" w:space="0"/>
            </w:tcBorders>
            <w:noWrap w:val="0"/>
            <w:vAlign w:val="center"/>
          </w:tcPr>
          <w:p w14:paraId="7E426551">
            <w:pPr>
              <w:rPr>
                <w:rFonts w:hint="eastAsia" w:ascii="华文宋体" w:hAnsi="华文宋体" w:eastAsia="华文宋体" w:cs="华文宋体"/>
                <w:color w:val="auto"/>
                <w:highlight w:val="none"/>
                <w:lang w:val="en-US" w:eastAsia="zh-CN"/>
              </w:rPr>
            </w:pPr>
            <w:r>
              <w:rPr>
                <w:rFonts w:hint="eastAsia" w:ascii="华文宋体" w:hAnsi="华文宋体" w:eastAsia="华文宋体" w:cs="华文宋体"/>
                <w:color w:val="auto"/>
                <w:highlight w:val="none"/>
                <w:lang w:val="en-US" w:eastAsia="zh-CN"/>
              </w:rPr>
              <w:t>1.挖掘耐密植、耐高温和阴雨寡照、高产等重要性状控制基因2-3个，明确其优良单倍型，开发功能性分子标记2-3对。</w:t>
            </w:r>
          </w:p>
          <w:p w14:paraId="1AE02569">
            <w:pPr>
              <w:rPr>
                <w:rFonts w:hint="eastAsia" w:ascii="华文宋体" w:hAnsi="华文宋体" w:eastAsia="华文宋体" w:cs="华文宋体"/>
                <w:color w:val="auto"/>
                <w:highlight w:val="none"/>
                <w:lang w:val="en-US" w:eastAsia="zh-CN"/>
              </w:rPr>
            </w:pPr>
            <w:r>
              <w:rPr>
                <w:rFonts w:hint="eastAsia" w:ascii="华文宋体" w:hAnsi="华文宋体" w:eastAsia="华文宋体" w:cs="华文宋体"/>
                <w:color w:val="auto"/>
                <w:highlight w:val="none"/>
                <w:lang w:val="en-US" w:eastAsia="zh-CN"/>
              </w:rPr>
              <w:t>2.开发融合分子标记、基因编辑和单倍体技术的分子设计育种体系1套。</w:t>
            </w:r>
          </w:p>
          <w:p w14:paraId="0992BED4">
            <w:pPr>
              <w:rPr>
                <w:rFonts w:hint="eastAsia" w:ascii="华文宋体" w:hAnsi="华文宋体" w:eastAsia="华文宋体" w:cs="华文宋体"/>
                <w:color w:val="auto"/>
                <w:highlight w:val="none"/>
                <w:lang w:val="en-US" w:eastAsia="zh-CN"/>
              </w:rPr>
            </w:pPr>
            <w:r>
              <w:rPr>
                <w:rFonts w:hint="eastAsia" w:ascii="华文宋体" w:hAnsi="华文宋体" w:eastAsia="华文宋体" w:cs="华文宋体"/>
                <w:color w:val="auto"/>
                <w:highlight w:val="none"/>
                <w:lang w:val="en-US" w:eastAsia="zh-CN"/>
              </w:rPr>
              <w:t>3.创制耐密、多抗、高产优异种质30份以上，田间株高较对照降低5-10%，结实率提高5%以上。</w:t>
            </w:r>
          </w:p>
          <w:p w14:paraId="125EE7BC">
            <w:pPr>
              <w:rPr>
                <w:rFonts w:hint="eastAsia" w:ascii="华文宋体" w:hAnsi="华文宋体" w:eastAsia="华文宋体" w:cs="华文宋体"/>
                <w:color w:val="auto"/>
                <w:highlight w:val="none"/>
              </w:rPr>
            </w:pPr>
            <w:r>
              <w:rPr>
                <w:rFonts w:hint="eastAsia" w:ascii="华文宋体" w:hAnsi="华文宋体" w:eastAsia="华文宋体" w:cs="华文宋体"/>
                <w:color w:val="auto"/>
                <w:highlight w:val="none"/>
                <w:lang w:val="en-US" w:eastAsia="zh-CN"/>
              </w:rPr>
              <w:t>4.筛选参加国家/省级审定试验玉米新品种4-6个；审定国家/省级耐密、多抗、高产玉米新品种2-3个，适宜种植密度达到5000株/亩以上，产量较对照平均增产5%以上。</w:t>
            </w:r>
          </w:p>
          <w:p w14:paraId="6BD4BE1C">
            <w:pPr>
              <w:rPr>
                <w:rFonts w:hint="eastAsia" w:ascii="华文宋体" w:hAnsi="华文宋体" w:eastAsia="华文宋体" w:cs="华文宋体"/>
                <w:color w:val="auto"/>
                <w:highlight w:val="none"/>
              </w:rPr>
            </w:pPr>
          </w:p>
        </w:tc>
        <w:tc>
          <w:tcPr>
            <w:tcW w:w="316" w:type="pct"/>
            <w:tcBorders>
              <w:top w:val="single" w:color="000000" w:sz="4" w:space="0"/>
              <w:left w:val="single" w:color="000000" w:sz="4" w:space="0"/>
              <w:bottom w:val="single" w:color="000000" w:sz="4" w:space="0"/>
              <w:right w:val="single" w:color="000000" w:sz="4" w:space="0"/>
            </w:tcBorders>
            <w:noWrap w:val="0"/>
            <w:vAlign w:val="center"/>
          </w:tcPr>
          <w:p w14:paraId="0FA1702F">
            <w:pPr>
              <w:rPr>
                <w:rFonts w:hint="eastAsia" w:ascii="华文宋体" w:hAnsi="华文宋体" w:eastAsia="华文宋体" w:cs="华文宋体"/>
                <w:color w:val="auto"/>
                <w:highlight w:val="none"/>
              </w:rPr>
            </w:pPr>
            <w:r>
              <w:rPr>
                <w:rFonts w:hint="eastAsia" w:ascii="华文宋体" w:hAnsi="华文宋体" w:eastAsia="华文宋体" w:cs="华文宋体"/>
                <w:color w:val="auto"/>
                <w:highlight w:val="none"/>
                <w:lang w:val="en-US" w:eastAsia="zh-CN"/>
              </w:rPr>
              <w:t>杨会庆13525041607</w:t>
            </w:r>
          </w:p>
        </w:tc>
        <w:tc>
          <w:tcPr>
            <w:tcW w:w="238" w:type="pct"/>
            <w:tcBorders>
              <w:top w:val="single" w:color="000000" w:sz="4" w:space="0"/>
              <w:left w:val="single" w:color="000000" w:sz="4" w:space="0"/>
              <w:bottom w:val="single" w:color="000000" w:sz="4" w:space="0"/>
              <w:right w:val="single" w:color="000000" w:sz="4" w:space="0"/>
            </w:tcBorders>
            <w:noWrap w:val="0"/>
            <w:vAlign w:val="center"/>
          </w:tcPr>
          <w:p w14:paraId="18C3AB78">
            <w:pPr>
              <w:rPr>
                <w:rFonts w:hint="eastAsia" w:ascii="华文宋体" w:hAnsi="华文宋体" w:eastAsia="华文宋体" w:cs="华文宋体"/>
                <w:color w:val="auto"/>
                <w:highlight w:val="none"/>
              </w:rPr>
            </w:pPr>
            <w:r>
              <w:rPr>
                <w:rFonts w:hint="eastAsia" w:ascii="华文宋体" w:hAnsi="华文宋体" w:eastAsia="华文宋体" w:cs="华文宋体"/>
                <w:color w:val="auto"/>
                <w:highlight w:val="none"/>
                <w:lang w:val="en-US" w:eastAsia="zh-CN"/>
              </w:rPr>
              <w:t>高新区</w:t>
            </w:r>
          </w:p>
        </w:tc>
      </w:tr>
      <w:tr w14:paraId="7049B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181" w:type="pct"/>
            <w:tcBorders>
              <w:top w:val="single" w:color="000000" w:sz="4" w:space="0"/>
              <w:left w:val="single" w:color="000000" w:sz="4" w:space="0"/>
              <w:bottom w:val="single" w:color="000000" w:sz="4" w:space="0"/>
              <w:right w:val="single" w:color="000000" w:sz="4" w:space="0"/>
            </w:tcBorders>
            <w:noWrap w:val="0"/>
            <w:vAlign w:val="center"/>
          </w:tcPr>
          <w:p w14:paraId="4E46CD3A">
            <w:pPr>
              <w:keepNext w:val="0"/>
              <w:keepLines w:val="0"/>
              <w:pageBreakBefore w:val="0"/>
              <w:widowControl/>
              <w:suppressLineNumbers w:val="0"/>
              <w:kinsoku/>
              <w:wordWrap/>
              <w:overflowPunct/>
              <w:topLinePunct w:val="0"/>
              <w:autoSpaceDE/>
              <w:autoSpaceDN/>
              <w:bidi w:val="0"/>
              <w:adjustRightInd/>
              <w:snapToGrid/>
              <w:spacing w:line="280" w:lineRule="exact"/>
              <w:jc w:val="both"/>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2</w:t>
            </w:r>
          </w:p>
        </w:tc>
        <w:tc>
          <w:tcPr>
            <w:tcW w:w="446" w:type="pct"/>
            <w:tcBorders>
              <w:top w:val="single" w:color="000000" w:sz="4" w:space="0"/>
              <w:left w:val="single" w:color="000000" w:sz="4" w:space="0"/>
              <w:bottom w:val="single" w:color="000000" w:sz="4" w:space="0"/>
              <w:right w:val="single" w:color="000000" w:sz="4" w:space="0"/>
            </w:tcBorders>
            <w:noWrap w:val="0"/>
            <w:vAlign w:val="center"/>
          </w:tcPr>
          <w:p w14:paraId="7E55F0CA">
            <w:pPr>
              <w:keepNext w:val="0"/>
              <w:keepLines w:val="0"/>
              <w:pageBreakBefore w:val="0"/>
              <w:widowControl/>
              <w:suppressLineNumbers w:val="0"/>
              <w:kinsoku/>
              <w:wordWrap/>
              <w:overflowPunct/>
              <w:topLinePunct w:val="0"/>
              <w:autoSpaceDE/>
              <w:autoSpaceDN/>
              <w:bidi w:val="0"/>
              <w:adjustRightInd/>
              <w:snapToGrid/>
              <w:spacing w:line="280" w:lineRule="exact"/>
              <w:jc w:val="both"/>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麦后直播棉豆“</w:t>
            </w:r>
            <w:r>
              <w:rPr>
                <w:rStyle w:val="21"/>
                <w:rFonts w:eastAsia="宋体"/>
                <w:color w:val="auto"/>
                <w:sz w:val="21"/>
                <w:szCs w:val="21"/>
                <w:highlight w:val="none"/>
                <w:lang w:val="en-US" w:eastAsia="zh-CN" w:bidi="ar"/>
              </w:rPr>
              <w:t>2:4</w:t>
            </w:r>
            <w:r>
              <w:rPr>
                <w:rStyle w:val="22"/>
                <w:color w:val="auto"/>
                <w:sz w:val="21"/>
                <w:szCs w:val="21"/>
                <w:highlight w:val="none"/>
                <w:lang w:val="en-US" w:eastAsia="zh-CN" w:bidi="ar"/>
              </w:rPr>
              <w:t>”间套作专用新品种选育及全程机械化技术集成</w:t>
            </w:r>
          </w:p>
        </w:tc>
        <w:tc>
          <w:tcPr>
            <w:tcW w:w="276" w:type="pct"/>
            <w:tcBorders>
              <w:top w:val="single" w:color="000000" w:sz="4" w:space="0"/>
              <w:left w:val="single" w:color="000000" w:sz="4" w:space="0"/>
              <w:bottom w:val="single" w:color="000000" w:sz="4" w:space="0"/>
              <w:right w:val="single" w:color="000000" w:sz="4" w:space="0"/>
            </w:tcBorders>
            <w:noWrap w:val="0"/>
            <w:vAlign w:val="center"/>
          </w:tcPr>
          <w:p w14:paraId="6045250F">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现代农业</w:t>
            </w:r>
          </w:p>
        </w:tc>
        <w:tc>
          <w:tcPr>
            <w:tcW w:w="788" w:type="pct"/>
            <w:tcBorders>
              <w:top w:val="single" w:color="000000" w:sz="4" w:space="0"/>
              <w:left w:val="single" w:color="000000" w:sz="4" w:space="0"/>
              <w:bottom w:val="single" w:color="000000" w:sz="4" w:space="0"/>
              <w:right w:val="single" w:color="000000" w:sz="4" w:space="0"/>
            </w:tcBorders>
            <w:noWrap w:val="0"/>
            <w:vAlign w:val="center"/>
          </w:tcPr>
          <w:p w14:paraId="4237EBA5">
            <w:pPr>
              <w:rPr>
                <w:rFonts w:hint="eastAsia" w:ascii="华文宋体" w:hAnsi="华文宋体" w:eastAsia="华文宋体" w:cs="华文宋体"/>
                <w:color w:val="auto"/>
                <w:highlight w:val="none"/>
                <w:lang w:val="en-US" w:eastAsia="zh-CN"/>
              </w:rPr>
            </w:pPr>
            <w:r>
              <w:rPr>
                <w:rFonts w:hint="eastAsia" w:ascii="华文宋体" w:hAnsi="华文宋体" w:eastAsia="华文宋体" w:cs="华文宋体"/>
                <w:color w:val="auto"/>
                <w:highlight w:val="none"/>
                <w:lang w:val="en-US" w:eastAsia="zh-CN"/>
              </w:rPr>
              <w:t>选育夏播生育期95-105天、株高70-85cm、紧凑窄冠、抗伏旱、抗烂铃（烂铃率＜5%）的棉花专用新品系1-2个；2.选育夏播生育期90-100天、株高55-70cm、直立耐阴（遮阴结荚率≥80%）、耐密植（1.8-2.0万株/亩）的大豆专用新品系1-2个；</w:t>
            </w:r>
          </w:p>
          <w:p w14:paraId="3087CA93">
            <w:pPr>
              <w:rPr>
                <w:rFonts w:hint="eastAsia" w:ascii="华文宋体" w:hAnsi="华文宋体" w:eastAsia="华文宋体" w:cs="华文宋体"/>
                <w:color w:val="auto"/>
                <w:highlight w:val="none"/>
                <w:lang w:val="en-US" w:eastAsia="zh-CN"/>
              </w:rPr>
            </w:pPr>
            <w:r>
              <w:rPr>
                <w:rFonts w:hint="eastAsia" w:ascii="华文宋体" w:hAnsi="华文宋体" w:eastAsia="华文宋体" w:cs="华文宋体"/>
                <w:color w:val="auto"/>
                <w:highlight w:val="none"/>
                <w:lang w:val="en-US" w:eastAsia="zh-CN"/>
              </w:rPr>
              <w:t>研发“2行棉花+4行大豆”带状间套作模式，确定最佳带宽（棉花行距76cm，大豆行距40cm，隔离带60cm），实现6月10日前后棉豆同机同步播种；</w:t>
            </w:r>
          </w:p>
          <w:p w14:paraId="2AD30308">
            <w:pPr>
              <w:rPr>
                <w:rFonts w:hint="eastAsia" w:ascii="华文宋体" w:hAnsi="华文宋体" w:eastAsia="华文宋体" w:cs="华文宋体"/>
                <w:color w:val="auto"/>
                <w:highlight w:val="none"/>
              </w:rPr>
            </w:pPr>
            <w:r>
              <w:rPr>
                <w:rFonts w:hint="eastAsia" w:ascii="华文宋体" w:hAnsi="华文宋体" w:eastAsia="华文宋体" w:cs="华文宋体"/>
                <w:color w:val="auto"/>
                <w:highlight w:val="none"/>
                <w:lang w:val="en-US" w:eastAsia="zh-CN"/>
              </w:rPr>
              <w:t>4.集成大豆固氮养地及棉花减氮施肥方案（目标减氮20%-30%），评估模式对后茬小麦产量和土壤地力的影响。</w:t>
            </w:r>
          </w:p>
        </w:tc>
        <w:tc>
          <w:tcPr>
            <w:tcW w:w="1057" w:type="pct"/>
            <w:tcBorders>
              <w:top w:val="single" w:color="000000" w:sz="4" w:space="0"/>
              <w:left w:val="single" w:color="000000" w:sz="4" w:space="0"/>
              <w:bottom w:val="single" w:color="000000" w:sz="4" w:space="0"/>
              <w:right w:val="single" w:color="000000" w:sz="4" w:space="0"/>
            </w:tcBorders>
            <w:noWrap w:val="0"/>
            <w:vAlign w:val="center"/>
          </w:tcPr>
          <w:p w14:paraId="18E5B831">
            <w:pPr>
              <w:rPr>
                <w:rFonts w:hint="eastAsia" w:ascii="华文宋体" w:hAnsi="华文宋体" w:eastAsia="华文宋体" w:cs="华文宋体"/>
                <w:color w:val="auto"/>
                <w:highlight w:val="none"/>
              </w:rPr>
            </w:pPr>
            <w:r>
              <w:rPr>
                <w:rFonts w:hint="eastAsia" w:ascii="华文宋体" w:hAnsi="华文宋体" w:eastAsia="华文宋体" w:cs="华文宋体"/>
                <w:color w:val="auto"/>
                <w:highlight w:val="none"/>
                <w:lang w:val="en-US" w:eastAsia="zh-CN"/>
              </w:rPr>
              <w:t>1.育成通过河南省审定（或完成区试）的棉花新品系1个、大豆新品系1个；</w:t>
            </w:r>
            <w:r>
              <w:rPr>
                <w:rFonts w:hint="eastAsia" w:ascii="华文宋体" w:hAnsi="华文宋体" w:eastAsia="华文宋体" w:cs="华文宋体"/>
                <w:color w:val="auto"/>
                <w:highlight w:val="none"/>
                <w:lang w:val="en-US" w:eastAsia="zh-CN"/>
              </w:rPr>
              <w:br w:type="textWrapping"/>
            </w:r>
            <w:r>
              <w:rPr>
                <w:rFonts w:hint="eastAsia" w:ascii="华文宋体" w:hAnsi="华文宋体" w:eastAsia="华文宋体" w:cs="华文宋体"/>
                <w:color w:val="auto"/>
                <w:highlight w:val="none"/>
                <w:lang w:val="en-US" w:eastAsia="zh-CN"/>
              </w:rPr>
              <w:t>2.形成《郑州麦后棉豆2:4带状间套作机械化生产技术规程》1项（团体或企业标准）；</w:t>
            </w:r>
            <w:r>
              <w:rPr>
                <w:rFonts w:hint="eastAsia" w:ascii="华文宋体" w:hAnsi="华文宋体" w:eastAsia="华文宋体" w:cs="华文宋体"/>
                <w:color w:val="auto"/>
                <w:highlight w:val="none"/>
                <w:lang w:val="en-US" w:eastAsia="zh-CN"/>
              </w:rPr>
              <w:br w:type="textWrapping"/>
            </w:r>
            <w:r>
              <w:rPr>
                <w:rFonts w:hint="eastAsia" w:ascii="华文宋体" w:hAnsi="华文宋体" w:eastAsia="华文宋体" w:cs="华文宋体"/>
                <w:color w:val="auto"/>
                <w:highlight w:val="none"/>
                <w:lang w:val="en-US" w:eastAsia="zh-CN"/>
              </w:rPr>
              <w:t>3.百亩核心示范方：前茬小麦亩产≥600kg，间作棉花皮棉亩产≥80kg，大豆亩产≥200kg；</w:t>
            </w:r>
            <w:r>
              <w:rPr>
                <w:rFonts w:hint="eastAsia" w:ascii="华文宋体" w:hAnsi="华文宋体" w:eastAsia="华文宋体" w:cs="华文宋体"/>
                <w:color w:val="auto"/>
                <w:highlight w:val="none"/>
                <w:lang w:val="en-US" w:eastAsia="zh-CN"/>
              </w:rPr>
              <w:br w:type="textWrapping"/>
            </w:r>
            <w:r>
              <w:rPr>
                <w:rFonts w:hint="eastAsia" w:ascii="华文宋体" w:hAnsi="华文宋体" w:eastAsia="华文宋体" w:cs="华文宋体"/>
                <w:color w:val="auto"/>
                <w:highlight w:val="none"/>
                <w:lang w:val="en-US" w:eastAsia="zh-CN"/>
              </w:rPr>
              <w:t>4.周年亩净收益较“小麦-玉米”模式增加30%以上，化肥减量20%以上；</w:t>
            </w:r>
            <w:r>
              <w:rPr>
                <w:rFonts w:hint="eastAsia" w:ascii="华文宋体" w:hAnsi="华文宋体" w:eastAsia="华文宋体" w:cs="华文宋体"/>
                <w:color w:val="auto"/>
                <w:highlight w:val="none"/>
                <w:lang w:val="en-US" w:eastAsia="zh-CN"/>
              </w:rPr>
              <w:br w:type="textWrapping"/>
            </w:r>
            <w:r>
              <w:rPr>
                <w:rFonts w:hint="eastAsia" w:ascii="华文宋体" w:hAnsi="华文宋体" w:eastAsia="华文宋体" w:cs="华文宋体"/>
                <w:color w:val="auto"/>
                <w:highlight w:val="none"/>
                <w:lang w:val="en-US" w:eastAsia="zh-CN"/>
              </w:rPr>
              <w:t>5.申请发明专利1-2项；</w:t>
            </w:r>
            <w:r>
              <w:rPr>
                <w:rFonts w:hint="eastAsia" w:ascii="华文宋体" w:hAnsi="华文宋体" w:eastAsia="华文宋体" w:cs="华文宋体"/>
                <w:color w:val="auto"/>
                <w:highlight w:val="none"/>
                <w:lang w:val="en-US" w:eastAsia="zh-CN"/>
              </w:rPr>
              <w:br w:type="textWrapping"/>
            </w:r>
            <w:r>
              <w:rPr>
                <w:rFonts w:hint="eastAsia" w:ascii="华文宋体" w:hAnsi="华文宋体" w:eastAsia="华文宋体" w:cs="华文宋体"/>
                <w:color w:val="auto"/>
                <w:highlight w:val="none"/>
                <w:lang w:val="en-US" w:eastAsia="zh-CN"/>
              </w:rPr>
              <w:t>6.郑州建立百亩示范区1个，辐射推广5000亩以上。</w:t>
            </w:r>
          </w:p>
        </w:tc>
        <w:tc>
          <w:tcPr>
            <w:tcW w:w="225" w:type="pct"/>
            <w:tcBorders>
              <w:top w:val="single" w:color="000000" w:sz="4" w:space="0"/>
              <w:left w:val="single" w:color="000000" w:sz="4" w:space="0"/>
              <w:bottom w:val="single" w:color="000000" w:sz="4" w:space="0"/>
              <w:right w:val="single" w:color="000000" w:sz="4" w:space="0"/>
            </w:tcBorders>
            <w:noWrap w:val="0"/>
            <w:vAlign w:val="center"/>
          </w:tcPr>
          <w:p w14:paraId="0694C441">
            <w:pPr>
              <w:keepNext w:val="0"/>
              <w:keepLines w:val="0"/>
              <w:pageBreakBefore w:val="0"/>
              <w:widowControl/>
              <w:suppressLineNumbers w:val="0"/>
              <w:kinsoku/>
              <w:wordWrap/>
              <w:overflowPunct/>
              <w:topLinePunct w:val="0"/>
              <w:autoSpaceDE/>
              <w:autoSpaceDN/>
              <w:bidi w:val="0"/>
              <w:adjustRightInd/>
              <w:snapToGrid/>
              <w:spacing w:line="280" w:lineRule="exact"/>
              <w:jc w:val="both"/>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中棉种业科技股份有限公司</w:t>
            </w:r>
          </w:p>
        </w:tc>
        <w:tc>
          <w:tcPr>
            <w:tcW w:w="202" w:type="pct"/>
            <w:tcBorders>
              <w:top w:val="single" w:color="000000" w:sz="4" w:space="0"/>
              <w:left w:val="single" w:color="000000" w:sz="4" w:space="0"/>
              <w:bottom w:val="single" w:color="000000" w:sz="4" w:space="0"/>
              <w:right w:val="single" w:color="000000" w:sz="4" w:space="0"/>
            </w:tcBorders>
            <w:noWrap w:val="0"/>
            <w:vAlign w:val="center"/>
          </w:tcPr>
          <w:p w14:paraId="15926B22">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Calibri" w:hAnsi="Calibri" w:eastAsia="宋体" w:cs="Calibri"/>
                <w:i w:val="0"/>
                <w:iCs w:val="0"/>
                <w:color w:val="auto"/>
                <w:sz w:val="21"/>
                <w:szCs w:val="21"/>
                <w:highlight w:val="none"/>
                <w:u w:val="none"/>
              </w:rPr>
            </w:pPr>
            <w:r>
              <w:rPr>
                <w:rFonts w:hint="default" w:ascii="Calibri" w:hAnsi="Calibri" w:eastAsia="宋体" w:cs="Calibri"/>
                <w:i w:val="0"/>
                <w:iCs w:val="0"/>
                <w:color w:val="auto"/>
                <w:kern w:val="0"/>
                <w:sz w:val="21"/>
                <w:szCs w:val="21"/>
                <w:highlight w:val="none"/>
                <w:u w:val="none"/>
                <w:lang w:val="en-US" w:eastAsia="zh-CN" w:bidi="ar"/>
              </w:rPr>
              <w:t>600</w:t>
            </w:r>
          </w:p>
        </w:tc>
        <w:tc>
          <w:tcPr>
            <w:tcW w:w="238" w:type="pct"/>
            <w:tcBorders>
              <w:top w:val="single" w:color="000000" w:sz="4" w:space="0"/>
              <w:left w:val="single" w:color="000000" w:sz="4" w:space="0"/>
              <w:bottom w:val="single" w:color="000000" w:sz="4" w:space="0"/>
              <w:right w:val="single" w:color="000000" w:sz="4" w:space="0"/>
            </w:tcBorders>
            <w:noWrap w:val="0"/>
            <w:vAlign w:val="center"/>
          </w:tcPr>
          <w:p w14:paraId="76C7DF48">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Calibri" w:hAnsi="Calibri" w:eastAsia="宋体" w:cs="Calibri"/>
                <w:i w:val="0"/>
                <w:iCs w:val="0"/>
                <w:color w:val="auto"/>
                <w:sz w:val="21"/>
                <w:szCs w:val="21"/>
                <w:highlight w:val="none"/>
                <w:u w:val="none"/>
              </w:rPr>
            </w:pPr>
            <w:r>
              <w:rPr>
                <w:rFonts w:hint="default" w:ascii="Calibri" w:hAnsi="Calibri" w:eastAsia="宋体" w:cs="Calibri"/>
                <w:i w:val="0"/>
                <w:iCs w:val="0"/>
                <w:color w:val="auto"/>
                <w:kern w:val="0"/>
                <w:sz w:val="21"/>
                <w:szCs w:val="21"/>
                <w:highlight w:val="none"/>
                <w:u w:val="none"/>
                <w:lang w:val="en-US" w:eastAsia="zh-CN" w:bidi="ar"/>
              </w:rPr>
              <w:t>600</w:t>
            </w:r>
          </w:p>
        </w:tc>
        <w:tc>
          <w:tcPr>
            <w:tcW w:w="202" w:type="pct"/>
            <w:tcBorders>
              <w:top w:val="single" w:color="000000" w:sz="4" w:space="0"/>
              <w:left w:val="single" w:color="000000" w:sz="4" w:space="0"/>
              <w:bottom w:val="single" w:color="000000" w:sz="4" w:space="0"/>
              <w:right w:val="single" w:color="000000" w:sz="4" w:space="0"/>
            </w:tcBorders>
            <w:noWrap w:val="0"/>
            <w:vAlign w:val="center"/>
          </w:tcPr>
          <w:p w14:paraId="2025CE9B">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default" w:ascii="Calibri" w:hAnsi="Calibri" w:eastAsia="宋体" w:cs="Calibri"/>
                <w:i w:val="0"/>
                <w:iCs w:val="0"/>
                <w:color w:val="auto"/>
                <w:sz w:val="21"/>
                <w:szCs w:val="21"/>
                <w:highlight w:val="none"/>
                <w:u w:val="none"/>
              </w:rPr>
            </w:pPr>
            <w:r>
              <w:rPr>
                <w:rFonts w:hint="default" w:ascii="Calibri" w:hAnsi="Calibri" w:eastAsia="宋体" w:cs="Calibri"/>
                <w:i w:val="0"/>
                <w:iCs w:val="0"/>
                <w:color w:val="auto"/>
                <w:kern w:val="0"/>
                <w:sz w:val="21"/>
                <w:szCs w:val="21"/>
                <w:highlight w:val="none"/>
                <w:u w:val="none"/>
                <w:lang w:val="en-US" w:eastAsia="zh-CN" w:bidi="ar"/>
              </w:rPr>
              <w:t>3</w:t>
            </w:r>
            <w:r>
              <w:rPr>
                <w:rStyle w:val="22"/>
                <w:color w:val="auto"/>
                <w:sz w:val="21"/>
                <w:szCs w:val="21"/>
                <w:highlight w:val="none"/>
                <w:lang w:val="en-US" w:eastAsia="zh-CN" w:bidi="ar"/>
              </w:rPr>
              <w:t>年</w:t>
            </w:r>
          </w:p>
        </w:tc>
        <w:tc>
          <w:tcPr>
            <w:tcW w:w="823" w:type="pct"/>
            <w:tcBorders>
              <w:top w:val="single" w:color="000000" w:sz="4" w:space="0"/>
              <w:left w:val="single" w:color="000000" w:sz="4" w:space="0"/>
              <w:bottom w:val="single" w:color="000000" w:sz="4" w:space="0"/>
              <w:right w:val="single" w:color="000000" w:sz="4" w:space="0"/>
            </w:tcBorders>
            <w:noWrap w:val="0"/>
            <w:vAlign w:val="center"/>
          </w:tcPr>
          <w:p w14:paraId="2745796C">
            <w:pPr>
              <w:rPr>
                <w:rFonts w:hint="default" w:ascii="华文宋体" w:hAnsi="华文宋体" w:eastAsia="华文宋体" w:cs="华文宋体"/>
                <w:color w:val="auto"/>
                <w:highlight w:val="none"/>
                <w:lang w:val="en-US" w:eastAsia="zh-CN"/>
              </w:rPr>
            </w:pPr>
            <w:r>
              <w:rPr>
                <w:rFonts w:hint="default" w:ascii="华文宋体" w:hAnsi="华文宋体" w:eastAsia="华文宋体" w:cs="华文宋体"/>
                <w:color w:val="auto"/>
                <w:highlight w:val="none"/>
                <w:lang w:val="en-US" w:eastAsia="zh-CN"/>
              </w:rPr>
              <w:t>1.提交棉花专用新品系1个、大豆专用新品系1个（含品种审定或区试证明）；</w:t>
            </w:r>
          </w:p>
          <w:p w14:paraId="5614D6B5">
            <w:pPr>
              <w:rPr>
                <w:rFonts w:hint="default" w:ascii="华文宋体" w:hAnsi="华文宋体" w:eastAsia="华文宋体" w:cs="华文宋体"/>
                <w:color w:val="auto"/>
                <w:highlight w:val="none"/>
                <w:lang w:val="en-US" w:eastAsia="zh-CN"/>
              </w:rPr>
            </w:pPr>
            <w:r>
              <w:rPr>
                <w:rFonts w:hint="default" w:ascii="华文宋体" w:hAnsi="华文宋体" w:eastAsia="华文宋体" w:cs="华文宋体"/>
                <w:color w:val="auto"/>
                <w:highlight w:val="none"/>
                <w:lang w:val="en-US" w:eastAsia="zh-CN"/>
              </w:rPr>
              <w:t>2.提交《麦后棉豆2:4带状间套作机械化生产技术规程》文本；</w:t>
            </w:r>
          </w:p>
          <w:p w14:paraId="0F3EF973">
            <w:pPr>
              <w:rPr>
                <w:rFonts w:hint="default" w:ascii="华文宋体" w:hAnsi="华文宋体" w:eastAsia="华文宋体" w:cs="华文宋体"/>
                <w:color w:val="auto"/>
                <w:highlight w:val="none"/>
                <w:lang w:val="en-US" w:eastAsia="zh-CN"/>
              </w:rPr>
            </w:pPr>
            <w:r>
              <w:rPr>
                <w:rFonts w:hint="default" w:ascii="华文宋体" w:hAnsi="华文宋体" w:eastAsia="华文宋体" w:cs="华文宋体"/>
                <w:color w:val="auto"/>
                <w:highlight w:val="none"/>
                <w:lang w:val="en-US" w:eastAsia="zh-CN"/>
              </w:rPr>
              <w:t>3.提交百亩示范区产量效益报告；</w:t>
            </w:r>
          </w:p>
          <w:p w14:paraId="50A51FC4">
            <w:pPr>
              <w:rPr>
                <w:rFonts w:hint="default" w:ascii="华文宋体" w:hAnsi="华文宋体" w:eastAsia="华文宋体" w:cs="华文宋体"/>
                <w:color w:val="auto"/>
                <w:highlight w:val="none"/>
                <w:lang w:val="en-US" w:eastAsia="zh-CN"/>
              </w:rPr>
            </w:pPr>
            <w:r>
              <w:rPr>
                <w:rFonts w:hint="default" w:ascii="华文宋体" w:hAnsi="华文宋体" w:eastAsia="华文宋体" w:cs="华文宋体"/>
                <w:color w:val="auto"/>
                <w:highlight w:val="none"/>
                <w:lang w:val="en-US" w:eastAsia="zh-CN"/>
              </w:rPr>
              <w:t>4.提交发明专利申请受理通知书；</w:t>
            </w:r>
          </w:p>
          <w:p w14:paraId="2EF3D261">
            <w:pPr>
              <w:rPr>
                <w:rFonts w:hint="eastAsia" w:ascii="华文宋体" w:hAnsi="华文宋体" w:eastAsia="华文宋体" w:cs="华文宋体"/>
                <w:color w:val="auto"/>
                <w:highlight w:val="none"/>
                <w:lang w:val="en-US" w:eastAsia="zh-CN"/>
              </w:rPr>
            </w:pPr>
            <w:r>
              <w:rPr>
                <w:rFonts w:hint="default" w:ascii="华文宋体" w:hAnsi="华文宋体" w:eastAsia="华文宋体" w:cs="华文宋体"/>
                <w:color w:val="auto"/>
                <w:highlight w:val="none"/>
                <w:lang w:val="en-US" w:eastAsia="zh-CN"/>
              </w:rPr>
              <w:t>5.提交辐射推广证明。</w:t>
            </w:r>
          </w:p>
          <w:p w14:paraId="6B3DA3AE">
            <w:pPr>
              <w:rPr>
                <w:rFonts w:hint="eastAsia" w:ascii="华文宋体" w:hAnsi="华文宋体" w:eastAsia="华文宋体" w:cs="华文宋体"/>
                <w:color w:val="auto"/>
                <w:highlight w:val="none"/>
              </w:rPr>
            </w:pPr>
          </w:p>
        </w:tc>
        <w:tc>
          <w:tcPr>
            <w:tcW w:w="316" w:type="pct"/>
            <w:tcBorders>
              <w:top w:val="single" w:color="000000" w:sz="4" w:space="0"/>
              <w:left w:val="single" w:color="000000" w:sz="4" w:space="0"/>
              <w:bottom w:val="single" w:color="000000" w:sz="4" w:space="0"/>
              <w:right w:val="single" w:color="000000" w:sz="4" w:space="0"/>
            </w:tcBorders>
            <w:noWrap w:val="0"/>
            <w:vAlign w:val="center"/>
          </w:tcPr>
          <w:p w14:paraId="6B6D3B7B">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王强</w:t>
            </w:r>
            <w:r>
              <w:rPr>
                <w:rStyle w:val="21"/>
                <w:rFonts w:eastAsia="宋体"/>
                <w:color w:val="auto"/>
                <w:sz w:val="21"/>
                <w:szCs w:val="21"/>
                <w:highlight w:val="none"/>
                <w:lang w:val="en-US" w:eastAsia="zh-CN" w:bidi="ar"/>
              </w:rPr>
              <w:t>18603867811</w:t>
            </w:r>
          </w:p>
        </w:tc>
        <w:tc>
          <w:tcPr>
            <w:tcW w:w="238" w:type="pct"/>
            <w:tcBorders>
              <w:top w:val="single" w:color="000000" w:sz="4" w:space="0"/>
              <w:left w:val="single" w:color="000000" w:sz="4" w:space="0"/>
              <w:bottom w:val="single" w:color="000000" w:sz="4" w:space="0"/>
              <w:right w:val="single" w:color="000000" w:sz="4" w:space="0"/>
            </w:tcBorders>
            <w:noWrap w:val="0"/>
            <w:vAlign w:val="center"/>
          </w:tcPr>
          <w:p w14:paraId="19505EBC">
            <w:pPr>
              <w:keepNext w:val="0"/>
              <w:keepLines w:val="0"/>
              <w:pageBreakBefore w:val="0"/>
              <w:widowControl/>
              <w:suppressLineNumbers w:val="0"/>
              <w:kinsoku/>
              <w:wordWrap/>
              <w:overflowPunct/>
              <w:topLinePunct w:val="0"/>
              <w:autoSpaceDE/>
              <w:autoSpaceDN/>
              <w:bidi w:val="0"/>
              <w:adjustRightInd/>
              <w:snapToGrid/>
              <w:spacing w:line="280" w:lineRule="exact"/>
              <w:jc w:val="both"/>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高新区</w:t>
            </w:r>
          </w:p>
        </w:tc>
      </w:tr>
      <w:tr w14:paraId="0FB39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1" w:type="pct"/>
            <w:tcBorders>
              <w:top w:val="single" w:color="000000" w:sz="4" w:space="0"/>
              <w:left w:val="single" w:color="000000" w:sz="4" w:space="0"/>
              <w:bottom w:val="single" w:color="000000" w:sz="4" w:space="0"/>
              <w:right w:val="single" w:color="000000" w:sz="4" w:space="0"/>
            </w:tcBorders>
            <w:noWrap w:val="0"/>
            <w:vAlign w:val="center"/>
          </w:tcPr>
          <w:p w14:paraId="21472DD8">
            <w:pPr>
              <w:keepNext w:val="0"/>
              <w:keepLines w:val="0"/>
              <w:pageBreakBefore w:val="0"/>
              <w:widowControl/>
              <w:suppressLineNumbers w:val="0"/>
              <w:kinsoku/>
              <w:wordWrap/>
              <w:overflowPunct/>
              <w:topLinePunct w:val="0"/>
              <w:autoSpaceDE/>
              <w:autoSpaceDN/>
              <w:bidi w:val="0"/>
              <w:adjustRightInd/>
              <w:snapToGrid/>
              <w:spacing w:line="280" w:lineRule="exact"/>
              <w:jc w:val="both"/>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3</w:t>
            </w:r>
          </w:p>
        </w:tc>
        <w:tc>
          <w:tcPr>
            <w:tcW w:w="446" w:type="pct"/>
            <w:tcBorders>
              <w:top w:val="single" w:color="000000" w:sz="4" w:space="0"/>
              <w:left w:val="single" w:color="000000" w:sz="4" w:space="0"/>
              <w:bottom w:val="single" w:color="000000" w:sz="4" w:space="0"/>
              <w:right w:val="single" w:color="000000" w:sz="4" w:space="0"/>
            </w:tcBorders>
            <w:noWrap w:val="0"/>
            <w:vAlign w:val="center"/>
          </w:tcPr>
          <w:p w14:paraId="33831CD2">
            <w:pPr>
              <w:keepNext w:val="0"/>
              <w:keepLines w:val="0"/>
              <w:pageBreakBefore w:val="0"/>
              <w:widowControl/>
              <w:suppressLineNumbers w:val="0"/>
              <w:kinsoku/>
              <w:wordWrap/>
              <w:overflowPunct/>
              <w:topLinePunct w:val="0"/>
              <w:autoSpaceDE/>
              <w:autoSpaceDN/>
              <w:bidi w:val="0"/>
              <w:adjustRightInd/>
              <w:snapToGrid/>
              <w:spacing w:line="280" w:lineRule="exact"/>
              <w:jc w:val="both"/>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种公牛新型性别控制技术的开发与应用</w:t>
            </w:r>
          </w:p>
        </w:tc>
        <w:tc>
          <w:tcPr>
            <w:tcW w:w="276" w:type="pct"/>
            <w:tcBorders>
              <w:top w:val="single" w:color="000000" w:sz="4" w:space="0"/>
              <w:left w:val="single" w:color="000000" w:sz="4" w:space="0"/>
              <w:bottom w:val="single" w:color="000000" w:sz="4" w:space="0"/>
              <w:right w:val="single" w:color="000000" w:sz="4" w:space="0"/>
            </w:tcBorders>
            <w:noWrap w:val="0"/>
            <w:vAlign w:val="center"/>
          </w:tcPr>
          <w:p w14:paraId="4E0AB149">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现代农业</w:t>
            </w:r>
          </w:p>
        </w:tc>
        <w:tc>
          <w:tcPr>
            <w:tcW w:w="788" w:type="pct"/>
            <w:tcBorders>
              <w:top w:val="single" w:color="000000" w:sz="4" w:space="0"/>
              <w:left w:val="single" w:color="000000" w:sz="4" w:space="0"/>
              <w:bottom w:val="single" w:color="000000" w:sz="4" w:space="0"/>
              <w:right w:val="single" w:color="000000" w:sz="4" w:space="0"/>
            </w:tcBorders>
            <w:noWrap w:val="0"/>
            <w:vAlign w:val="center"/>
          </w:tcPr>
          <w:p w14:paraId="3CFF9551">
            <w:pPr>
              <w:rPr>
                <w:rFonts w:hint="eastAsia" w:ascii="华文宋体" w:hAnsi="华文宋体" w:eastAsia="华文宋体" w:cs="华文宋体"/>
                <w:color w:val="auto"/>
                <w:highlight w:val="none"/>
              </w:rPr>
            </w:pPr>
            <w:r>
              <w:rPr>
                <w:rFonts w:hint="eastAsia" w:ascii="华文宋体" w:hAnsi="华文宋体" w:eastAsia="华文宋体" w:cs="华文宋体"/>
                <w:color w:val="auto"/>
                <w:highlight w:val="none"/>
                <w:lang w:val="en-US" w:eastAsia="zh-CN"/>
              </w:rPr>
              <w:t>鉴于X精子和Y精子的分离是实现动物性别控制的技术基础，本项目基于X精子和Y精子在物理和化学上的特性差异，比较并开发受精前分离精子的新技术，包括流式细胞分离法、免疫学分离法、pH分离法、密度梯度离心技术、微流体和纳米技术。此外，优化流式细胞分离法的分离参数；鉴定特异性抗原开发免疫学分离技术；开发磁性纳米颗粒和微流控介电泳芯片技术等，比较各技术的分离效率，开发家畜新型性别控制技术。</w:t>
            </w:r>
          </w:p>
        </w:tc>
        <w:tc>
          <w:tcPr>
            <w:tcW w:w="1057" w:type="pct"/>
            <w:tcBorders>
              <w:top w:val="single" w:color="000000" w:sz="4" w:space="0"/>
              <w:left w:val="single" w:color="000000" w:sz="4" w:space="0"/>
              <w:bottom w:val="single" w:color="000000" w:sz="4" w:space="0"/>
              <w:right w:val="single" w:color="000000" w:sz="4" w:space="0"/>
            </w:tcBorders>
            <w:noWrap w:val="0"/>
            <w:vAlign w:val="center"/>
          </w:tcPr>
          <w:p w14:paraId="138C98E1">
            <w:pPr>
              <w:rPr>
                <w:rFonts w:hint="eastAsia" w:ascii="华文宋体" w:hAnsi="华文宋体" w:eastAsia="华文宋体" w:cs="华文宋体"/>
                <w:color w:val="auto"/>
                <w:highlight w:val="none"/>
              </w:rPr>
            </w:pPr>
            <w:r>
              <w:rPr>
                <w:rFonts w:hint="eastAsia" w:ascii="华文宋体" w:hAnsi="华文宋体" w:eastAsia="华文宋体" w:cs="华文宋体"/>
                <w:color w:val="auto"/>
                <w:highlight w:val="none"/>
                <w:lang w:val="en-US" w:eastAsia="zh-CN"/>
              </w:rPr>
              <w:t>1.开发1种高效种公牛新型性别控制技术，实现离后X精子比例大于80%，</w:t>
            </w:r>
            <w:r>
              <w:rPr>
                <w:rFonts w:hint="eastAsia" w:ascii="华文宋体" w:hAnsi="华文宋体" w:eastAsia="华文宋体" w:cs="华文宋体"/>
                <w:color w:val="auto"/>
                <w:highlight w:val="none"/>
                <w:lang w:val="en-US" w:eastAsia="zh-CN"/>
              </w:rPr>
              <w:br w:type="textWrapping"/>
            </w:r>
            <w:r>
              <w:rPr>
                <w:rFonts w:hint="eastAsia" w:ascii="华文宋体" w:hAnsi="华文宋体" w:eastAsia="华文宋体" w:cs="华文宋体"/>
                <w:color w:val="auto"/>
                <w:highlight w:val="none"/>
                <w:lang w:val="en-US" w:eastAsia="zh-CN"/>
              </w:rPr>
              <w:t>2.受精雌性胚胎比例达75%，</w:t>
            </w:r>
            <w:r>
              <w:rPr>
                <w:rFonts w:hint="eastAsia" w:ascii="华文宋体" w:hAnsi="华文宋体" w:eastAsia="华文宋体" w:cs="华文宋体"/>
                <w:color w:val="auto"/>
                <w:highlight w:val="none"/>
                <w:lang w:val="en-US" w:eastAsia="zh-CN"/>
              </w:rPr>
              <w:br w:type="textWrapping"/>
            </w:r>
            <w:r>
              <w:rPr>
                <w:rFonts w:hint="eastAsia" w:ascii="华文宋体" w:hAnsi="华文宋体" w:eastAsia="华文宋体" w:cs="华文宋体"/>
                <w:color w:val="auto"/>
                <w:highlight w:val="none"/>
                <w:lang w:val="en-US" w:eastAsia="zh-CN"/>
              </w:rPr>
              <w:t>3.发表论文1-2篇，申请专利1项。</w:t>
            </w:r>
          </w:p>
        </w:tc>
        <w:tc>
          <w:tcPr>
            <w:tcW w:w="225" w:type="pct"/>
            <w:tcBorders>
              <w:top w:val="single" w:color="000000" w:sz="4" w:space="0"/>
              <w:left w:val="single" w:color="000000" w:sz="4" w:space="0"/>
              <w:bottom w:val="single" w:color="000000" w:sz="4" w:space="0"/>
              <w:right w:val="single" w:color="000000" w:sz="4" w:space="0"/>
            </w:tcBorders>
            <w:noWrap w:val="0"/>
            <w:vAlign w:val="center"/>
          </w:tcPr>
          <w:p w14:paraId="2D96D9E9">
            <w:pPr>
              <w:rPr>
                <w:rFonts w:hint="eastAsia" w:ascii="华文宋体" w:hAnsi="华文宋体" w:eastAsia="华文宋体" w:cs="华文宋体"/>
                <w:color w:val="auto"/>
                <w:highlight w:val="none"/>
              </w:rPr>
            </w:pPr>
            <w:r>
              <w:rPr>
                <w:rFonts w:hint="eastAsia" w:ascii="华文宋体" w:hAnsi="华文宋体" w:eastAsia="华文宋体" w:cs="华文宋体"/>
                <w:color w:val="auto"/>
                <w:highlight w:val="none"/>
                <w:lang w:val="en-US" w:eastAsia="zh-CN"/>
              </w:rPr>
              <w:t>河南省鼎元种牛育种有限公司</w:t>
            </w:r>
          </w:p>
        </w:tc>
        <w:tc>
          <w:tcPr>
            <w:tcW w:w="202" w:type="pct"/>
            <w:tcBorders>
              <w:top w:val="single" w:color="000000" w:sz="4" w:space="0"/>
              <w:left w:val="single" w:color="000000" w:sz="4" w:space="0"/>
              <w:bottom w:val="single" w:color="000000" w:sz="4" w:space="0"/>
              <w:right w:val="single" w:color="000000" w:sz="4" w:space="0"/>
            </w:tcBorders>
            <w:noWrap w:val="0"/>
            <w:vAlign w:val="center"/>
          </w:tcPr>
          <w:p w14:paraId="462D4B2D">
            <w:pPr>
              <w:rPr>
                <w:rFonts w:hint="eastAsia" w:ascii="华文宋体" w:hAnsi="华文宋体" w:eastAsia="华文宋体" w:cs="华文宋体"/>
                <w:color w:val="auto"/>
                <w:highlight w:val="none"/>
              </w:rPr>
            </w:pPr>
            <w:r>
              <w:rPr>
                <w:rFonts w:hint="eastAsia" w:ascii="华文宋体" w:hAnsi="华文宋体" w:eastAsia="华文宋体" w:cs="华文宋体"/>
                <w:color w:val="auto"/>
                <w:highlight w:val="none"/>
                <w:lang w:val="en-US" w:eastAsia="zh-CN"/>
              </w:rPr>
              <w:t>200</w:t>
            </w:r>
          </w:p>
        </w:tc>
        <w:tc>
          <w:tcPr>
            <w:tcW w:w="238" w:type="pct"/>
            <w:tcBorders>
              <w:top w:val="single" w:color="000000" w:sz="4" w:space="0"/>
              <w:left w:val="single" w:color="000000" w:sz="4" w:space="0"/>
              <w:bottom w:val="single" w:color="000000" w:sz="4" w:space="0"/>
              <w:right w:val="single" w:color="000000" w:sz="4" w:space="0"/>
            </w:tcBorders>
            <w:noWrap w:val="0"/>
            <w:vAlign w:val="center"/>
          </w:tcPr>
          <w:p w14:paraId="195558B9">
            <w:pPr>
              <w:rPr>
                <w:rFonts w:hint="eastAsia" w:ascii="华文宋体" w:hAnsi="华文宋体" w:eastAsia="华文宋体" w:cs="华文宋体"/>
                <w:color w:val="auto"/>
                <w:highlight w:val="none"/>
              </w:rPr>
            </w:pPr>
            <w:r>
              <w:rPr>
                <w:rFonts w:hint="eastAsia" w:ascii="华文宋体" w:hAnsi="华文宋体" w:eastAsia="华文宋体" w:cs="华文宋体"/>
                <w:color w:val="auto"/>
                <w:highlight w:val="none"/>
                <w:lang w:val="en-US" w:eastAsia="zh-CN"/>
              </w:rPr>
              <w:t>100</w:t>
            </w:r>
          </w:p>
        </w:tc>
        <w:tc>
          <w:tcPr>
            <w:tcW w:w="202" w:type="pct"/>
            <w:tcBorders>
              <w:top w:val="single" w:color="000000" w:sz="4" w:space="0"/>
              <w:left w:val="single" w:color="000000" w:sz="4" w:space="0"/>
              <w:bottom w:val="single" w:color="000000" w:sz="4" w:space="0"/>
              <w:right w:val="single" w:color="000000" w:sz="4" w:space="0"/>
            </w:tcBorders>
            <w:noWrap w:val="0"/>
            <w:vAlign w:val="center"/>
          </w:tcPr>
          <w:p w14:paraId="0417813C">
            <w:pPr>
              <w:rPr>
                <w:rFonts w:hint="eastAsia" w:ascii="华文宋体" w:hAnsi="华文宋体" w:eastAsia="华文宋体" w:cs="华文宋体"/>
                <w:color w:val="auto"/>
                <w:highlight w:val="none"/>
              </w:rPr>
            </w:pPr>
            <w:r>
              <w:rPr>
                <w:rFonts w:hint="eastAsia" w:ascii="华文宋体" w:hAnsi="华文宋体" w:eastAsia="华文宋体" w:cs="华文宋体"/>
                <w:color w:val="auto"/>
                <w:highlight w:val="none"/>
                <w:lang w:val="en-US" w:eastAsia="zh-CN"/>
              </w:rPr>
              <w:t>2年</w:t>
            </w:r>
          </w:p>
        </w:tc>
        <w:tc>
          <w:tcPr>
            <w:tcW w:w="823" w:type="pct"/>
            <w:tcBorders>
              <w:top w:val="single" w:color="000000" w:sz="4" w:space="0"/>
              <w:left w:val="single" w:color="000000" w:sz="4" w:space="0"/>
              <w:bottom w:val="single" w:color="000000" w:sz="4" w:space="0"/>
              <w:right w:val="single" w:color="000000" w:sz="4" w:space="0"/>
            </w:tcBorders>
            <w:noWrap w:val="0"/>
            <w:vAlign w:val="center"/>
          </w:tcPr>
          <w:p w14:paraId="19C1A67E">
            <w:pPr>
              <w:rPr>
                <w:rFonts w:hint="default" w:ascii="华文宋体" w:hAnsi="华文宋体" w:eastAsia="华文宋体" w:cs="华文宋体"/>
                <w:color w:val="auto"/>
                <w:highlight w:val="none"/>
                <w:lang w:val="en-US" w:eastAsia="zh-CN"/>
              </w:rPr>
            </w:pPr>
            <w:r>
              <w:rPr>
                <w:rFonts w:hint="default" w:ascii="华文宋体" w:hAnsi="华文宋体" w:eastAsia="华文宋体" w:cs="华文宋体"/>
                <w:color w:val="auto"/>
                <w:highlight w:val="none"/>
                <w:lang w:val="en-US" w:eastAsia="zh-CN"/>
              </w:rPr>
              <w:t>1.形成1套可落地、可推广的国产化公牛性别控制成套工艺与参数体系，适配良种繁育、规模化牛场生产等多类主流应用场景，补齐我国家畜性别控制技术短板；</w:t>
            </w:r>
          </w:p>
          <w:p w14:paraId="75F679D6">
            <w:pPr>
              <w:rPr>
                <w:rFonts w:hint="default" w:ascii="华文宋体" w:hAnsi="华文宋体" w:eastAsia="华文宋体" w:cs="华文宋体"/>
                <w:color w:val="auto"/>
                <w:highlight w:val="none"/>
                <w:lang w:val="en-US" w:eastAsia="zh-CN"/>
              </w:rPr>
            </w:pPr>
            <w:r>
              <w:rPr>
                <w:rFonts w:hint="default" w:ascii="华文宋体" w:hAnsi="华文宋体" w:eastAsia="华文宋体" w:cs="华文宋体"/>
                <w:color w:val="auto"/>
                <w:highlight w:val="none"/>
                <w:lang w:val="en-US" w:eastAsia="zh-CN"/>
              </w:rPr>
              <w:t>2.申报发明或实用新型专利1项、发表学术论文2篇，培养畜牧育种方向硕士研究生2名。</w:t>
            </w:r>
          </w:p>
          <w:p w14:paraId="634755CF">
            <w:pPr>
              <w:rPr>
                <w:rFonts w:hint="default" w:ascii="华文宋体" w:hAnsi="华文宋体" w:eastAsia="华文宋体" w:cs="华文宋体"/>
                <w:color w:val="auto"/>
                <w:highlight w:val="none"/>
                <w:lang w:val="en-US" w:eastAsia="zh-CN"/>
              </w:rPr>
            </w:pPr>
            <w:r>
              <w:rPr>
                <w:rFonts w:hint="default" w:ascii="华文宋体" w:hAnsi="华文宋体" w:eastAsia="华文宋体" w:cs="华文宋体"/>
                <w:color w:val="auto"/>
                <w:highlight w:val="none"/>
                <w:lang w:val="en-US" w:eastAsia="zh-CN"/>
              </w:rPr>
              <w:t>3.实现单剂冻精生产成本缩减5%–10%，提升良种目标性别犊牛产出比例，降低繁育损耗，提升养殖生产效益。</w:t>
            </w:r>
          </w:p>
          <w:p w14:paraId="400F9AA5">
            <w:pPr>
              <w:rPr>
                <w:rFonts w:hint="eastAsia" w:ascii="华文宋体" w:hAnsi="华文宋体" w:eastAsia="华文宋体" w:cs="华文宋体"/>
                <w:color w:val="auto"/>
                <w:highlight w:val="none"/>
              </w:rPr>
            </w:pPr>
            <w:r>
              <w:rPr>
                <w:rFonts w:hint="default" w:ascii="华文宋体" w:hAnsi="华文宋体" w:eastAsia="华文宋体" w:cs="华文宋体"/>
                <w:color w:val="auto"/>
                <w:highlight w:val="none"/>
                <w:lang w:val="en-US" w:eastAsia="zh-CN"/>
              </w:rPr>
              <w:t>4.实现优良种质资源的高效扩繁，减少性控精液生产所需公牛存栏量5%以上，降低养殖生态负荷，推动畜牧产业绿色低碳、可持续发展。</w:t>
            </w:r>
          </w:p>
        </w:tc>
        <w:tc>
          <w:tcPr>
            <w:tcW w:w="316" w:type="pct"/>
            <w:tcBorders>
              <w:top w:val="single" w:color="000000" w:sz="4" w:space="0"/>
              <w:left w:val="single" w:color="000000" w:sz="4" w:space="0"/>
              <w:bottom w:val="single" w:color="000000" w:sz="4" w:space="0"/>
              <w:right w:val="single" w:color="000000" w:sz="4" w:space="0"/>
            </w:tcBorders>
            <w:noWrap w:val="0"/>
            <w:vAlign w:val="center"/>
          </w:tcPr>
          <w:p w14:paraId="221E592C">
            <w:pPr>
              <w:rPr>
                <w:rFonts w:hint="eastAsia" w:ascii="华文宋体" w:hAnsi="华文宋体" w:eastAsia="华文宋体" w:cs="华文宋体"/>
                <w:color w:val="auto"/>
                <w:highlight w:val="none"/>
              </w:rPr>
            </w:pPr>
            <w:r>
              <w:rPr>
                <w:rFonts w:hint="eastAsia" w:ascii="华文宋体" w:hAnsi="华文宋体" w:eastAsia="华文宋体" w:cs="华文宋体"/>
                <w:color w:val="auto"/>
                <w:highlight w:val="none"/>
                <w:lang w:val="en-US" w:eastAsia="zh-CN"/>
              </w:rPr>
              <w:t>栗敏杰15981896949</w:t>
            </w:r>
          </w:p>
        </w:tc>
        <w:tc>
          <w:tcPr>
            <w:tcW w:w="238" w:type="pct"/>
            <w:tcBorders>
              <w:top w:val="single" w:color="000000" w:sz="4" w:space="0"/>
              <w:left w:val="single" w:color="000000" w:sz="4" w:space="0"/>
              <w:bottom w:val="single" w:color="000000" w:sz="4" w:space="0"/>
              <w:right w:val="single" w:color="000000" w:sz="4" w:space="0"/>
            </w:tcBorders>
            <w:noWrap w:val="0"/>
            <w:vAlign w:val="center"/>
          </w:tcPr>
          <w:p w14:paraId="68269855">
            <w:pPr>
              <w:keepNext w:val="0"/>
              <w:keepLines w:val="0"/>
              <w:pageBreakBefore w:val="0"/>
              <w:widowControl/>
              <w:suppressLineNumbers w:val="0"/>
              <w:kinsoku/>
              <w:wordWrap/>
              <w:overflowPunct/>
              <w:topLinePunct w:val="0"/>
              <w:autoSpaceDE/>
              <w:autoSpaceDN/>
              <w:bidi w:val="0"/>
              <w:adjustRightInd/>
              <w:snapToGrid/>
              <w:spacing w:line="280" w:lineRule="exact"/>
              <w:jc w:val="both"/>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中牟新区</w:t>
            </w:r>
          </w:p>
        </w:tc>
      </w:tr>
      <w:tr w14:paraId="7FEF5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1" w:type="pct"/>
            <w:tcBorders>
              <w:top w:val="single" w:color="000000" w:sz="4" w:space="0"/>
              <w:left w:val="single" w:color="000000" w:sz="4" w:space="0"/>
              <w:bottom w:val="single" w:color="000000" w:sz="4" w:space="0"/>
              <w:right w:val="single" w:color="000000" w:sz="4" w:space="0"/>
            </w:tcBorders>
            <w:noWrap w:val="0"/>
            <w:vAlign w:val="center"/>
          </w:tcPr>
          <w:p w14:paraId="564E1AA5">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4</w:t>
            </w:r>
          </w:p>
        </w:tc>
        <w:tc>
          <w:tcPr>
            <w:tcW w:w="446" w:type="pct"/>
            <w:tcBorders>
              <w:top w:val="single" w:color="000000" w:sz="4" w:space="0"/>
              <w:left w:val="single" w:color="000000" w:sz="4" w:space="0"/>
              <w:bottom w:val="single" w:color="000000" w:sz="4" w:space="0"/>
              <w:right w:val="single" w:color="000000" w:sz="4" w:space="0"/>
            </w:tcBorders>
            <w:noWrap w:val="0"/>
            <w:vAlign w:val="center"/>
          </w:tcPr>
          <w:p w14:paraId="762491C4">
            <w:pPr>
              <w:keepNext w:val="0"/>
              <w:keepLines w:val="0"/>
              <w:pageBreakBefore w:val="0"/>
              <w:widowControl/>
              <w:suppressLineNumbers w:val="0"/>
              <w:kinsoku/>
              <w:wordWrap/>
              <w:overflowPunct/>
              <w:topLinePunct w:val="0"/>
              <w:autoSpaceDE/>
              <w:autoSpaceDN/>
              <w:bidi w:val="0"/>
              <w:adjustRightInd/>
              <w:snapToGrid/>
              <w:spacing w:line="280" w:lineRule="exact"/>
              <w:jc w:val="both"/>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黄河流域耕地生态修复与作物免疫调控关键技术</w:t>
            </w:r>
          </w:p>
        </w:tc>
        <w:tc>
          <w:tcPr>
            <w:tcW w:w="276" w:type="pct"/>
            <w:tcBorders>
              <w:top w:val="single" w:color="000000" w:sz="4" w:space="0"/>
              <w:left w:val="single" w:color="000000" w:sz="4" w:space="0"/>
              <w:bottom w:val="single" w:color="000000" w:sz="4" w:space="0"/>
              <w:right w:val="single" w:color="000000" w:sz="4" w:space="0"/>
            </w:tcBorders>
            <w:noWrap w:val="0"/>
            <w:vAlign w:val="center"/>
          </w:tcPr>
          <w:p w14:paraId="0BE804C6">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现代农业</w:t>
            </w:r>
          </w:p>
        </w:tc>
        <w:tc>
          <w:tcPr>
            <w:tcW w:w="788" w:type="pct"/>
            <w:tcBorders>
              <w:top w:val="nil"/>
              <w:left w:val="single" w:color="000000" w:sz="4" w:space="0"/>
              <w:bottom w:val="single" w:color="000000" w:sz="4" w:space="0"/>
              <w:right w:val="single" w:color="000000" w:sz="4" w:space="0"/>
            </w:tcBorders>
            <w:noWrap w:val="0"/>
            <w:vAlign w:val="center"/>
          </w:tcPr>
          <w:p w14:paraId="01970496">
            <w:pPr>
              <w:rPr>
                <w:rFonts w:hint="eastAsia" w:ascii="华文宋体" w:hAnsi="华文宋体" w:eastAsia="华文宋体" w:cs="华文宋体"/>
                <w:color w:val="auto"/>
                <w:highlight w:val="none"/>
                <w:lang w:val="en-US" w:eastAsia="zh-CN"/>
              </w:rPr>
            </w:pPr>
            <w:r>
              <w:rPr>
                <w:rFonts w:hint="eastAsia" w:ascii="华文宋体" w:hAnsi="华文宋体" w:eastAsia="华文宋体" w:cs="华文宋体"/>
                <w:color w:val="auto"/>
                <w:highlight w:val="none"/>
                <w:lang w:val="en-US" w:eastAsia="zh-CN"/>
              </w:rPr>
              <w:t>1.沿黄耕地适配型免疫微生物筛选与复配技术研究。</w:t>
            </w:r>
            <w:r>
              <w:rPr>
                <w:rFonts w:hint="eastAsia" w:ascii="华文宋体" w:hAnsi="华文宋体" w:eastAsia="华文宋体" w:cs="华文宋体"/>
                <w:color w:val="auto"/>
                <w:highlight w:val="none"/>
                <w:lang w:val="en-US" w:eastAsia="zh-CN"/>
              </w:rPr>
              <w:br w:type="textWrapping"/>
            </w:r>
            <w:r>
              <w:rPr>
                <w:rFonts w:hint="eastAsia" w:ascii="华文宋体" w:hAnsi="华文宋体" w:eastAsia="华文宋体" w:cs="华文宋体"/>
                <w:color w:val="auto"/>
                <w:highlight w:val="none"/>
                <w:lang w:val="en-US" w:eastAsia="zh-CN"/>
              </w:rPr>
              <w:t>2.植物免疫蛋白高效制备及菌蛋白协同增效机制研究。</w:t>
            </w:r>
          </w:p>
          <w:p w14:paraId="6F5B9A17">
            <w:pPr>
              <w:rPr>
                <w:rFonts w:hint="eastAsia" w:ascii="华文宋体" w:hAnsi="华文宋体" w:eastAsia="华文宋体" w:cs="华文宋体"/>
                <w:color w:val="auto"/>
                <w:highlight w:val="none"/>
                <w:lang w:val="en-US" w:eastAsia="zh-CN"/>
              </w:rPr>
            </w:pPr>
            <w:r>
              <w:rPr>
                <w:rFonts w:hint="eastAsia" w:ascii="华文宋体" w:hAnsi="华文宋体" w:eastAsia="华文宋体" w:cs="华文宋体"/>
                <w:color w:val="auto"/>
                <w:highlight w:val="none"/>
                <w:lang w:val="en-US" w:eastAsia="zh-CN"/>
              </w:rPr>
              <w:t>3.绿色生物农资配方优化与中试生产技术开发。</w:t>
            </w:r>
          </w:p>
          <w:p w14:paraId="3FA53743">
            <w:pPr>
              <w:rPr>
                <w:rFonts w:hint="default" w:ascii="华文宋体" w:hAnsi="华文宋体" w:eastAsia="华文宋体" w:cs="华文宋体"/>
                <w:color w:val="auto"/>
                <w:highlight w:val="none"/>
                <w:lang w:val="en-US" w:eastAsia="zh-CN"/>
              </w:rPr>
            </w:pPr>
            <w:r>
              <w:rPr>
                <w:rFonts w:hint="eastAsia" w:ascii="华文宋体" w:hAnsi="华文宋体" w:eastAsia="华文宋体" w:cs="华文宋体"/>
                <w:color w:val="auto"/>
                <w:highlight w:val="none"/>
                <w:lang w:val="en-US" w:eastAsia="zh-CN"/>
              </w:rPr>
              <w:t>4.耕地生态修复-作物免疫调控集成技术示范应用</w:t>
            </w:r>
            <w:r>
              <w:rPr>
                <w:rFonts w:hint="eastAsia" w:ascii="华文宋体" w:hAnsi="华文宋体" w:eastAsia="华文宋体" w:cs="华文宋体"/>
                <w:color w:val="auto"/>
                <w:highlight w:val="none"/>
                <w:lang w:val="en-US" w:eastAsia="zh-CN"/>
              </w:rPr>
              <w:br w:type="textWrapping"/>
            </w:r>
            <w:r>
              <w:rPr>
                <w:rFonts w:hint="eastAsia" w:ascii="华文宋体" w:hAnsi="华文宋体" w:eastAsia="华文宋体" w:cs="华文宋体"/>
                <w:color w:val="auto"/>
                <w:highlight w:val="none"/>
                <w:lang w:val="en-US" w:eastAsia="zh-CN"/>
              </w:rPr>
              <w:t>5.成果产业化与区域推广模式构建</w:t>
            </w:r>
          </w:p>
          <w:p w14:paraId="57466BE7">
            <w:pPr>
              <w:rPr>
                <w:rFonts w:hint="eastAsia" w:ascii="华文宋体" w:hAnsi="华文宋体" w:eastAsia="华文宋体" w:cs="华文宋体"/>
                <w:color w:val="auto"/>
                <w:highlight w:val="none"/>
              </w:rPr>
            </w:pPr>
          </w:p>
        </w:tc>
        <w:tc>
          <w:tcPr>
            <w:tcW w:w="1057" w:type="pct"/>
            <w:tcBorders>
              <w:top w:val="single" w:color="000000" w:sz="4" w:space="0"/>
              <w:left w:val="single" w:color="000000" w:sz="4" w:space="0"/>
              <w:bottom w:val="single" w:color="000000" w:sz="4" w:space="0"/>
              <w:right w:val="single" w:color="000000" w:sz="4" w:space="0"/>
            </w:tcBorders>
            <w:noWrap w:val="0"/>
            <w:vAlign w:val="center"/>
          </w:tcPr>
          <w:p w14:paraId="2B990890">
            <w:pPr>
              <w:rPr>
                <w:rFonts w:hint="eastAsia" w:ascii="华文宋体" w:hAnsi="华文宋体" w:eastAsia="华文宋体" w:cs="华文宋体"/>
                <w:color w:val="auto"/>
                <w:highlight w:val="none"/>
              </w:rPr>
            </w:pPr>
            <w:r>
              <w:rPr>
                <w:rFonts w:hint="eastAsia" w:ascii="华文宋体" w:hAnsi="华文宋体" w:eastAsia="华文宋体" w:cs="华文宋体"/>
                <w:color w:val="auto"/>
                <w:highlight w:val="none"/>
                <w:lang w:val="en-US" w:eastAsia="zh-CN"/>
              </w:rPr>
              <w:t>1.筛选驯化适配黄河流域土壤的高活性免疫功能菌株5–8株，构建复合免疫菌群，菌株定殖率提升40%以上；</w:t>
            </w:r>
            <w:r>
              <w:rPr>
                <w:rFonts w:hint="eastAsia" w:ascii="华文宋体" w:hAnsi="华文宋体" w:eastAsia="华文宋体" w:cs="华文宋体"/>
                <w:color w:val="auto"/>
                <w:highlight w:val="none"/>
                <w:lang w:val="en-US" w:eastAsia="zh-CN"/>
              </w:rPr>
              <w:br w:type="textWrapping"/>
            </w:r>
            <w:r>
              <w:rPr>
                <w:rFonts w:hint="eastAsia" w:ascii="华文宋体" w:hAnsi="华文宋体" w:eastAsia="华文宋体" w:cs="华文宋体"/>
                <w:color w:val="auto"/>
                <w:highlight w:val="none"/>
                <w:lang w:val="en-US" w:eastAsia="zh-CN"/>
              </w:rPr>
              <w:t>2.研发免疫复合菌剂、植物免疫蛋白制剂、土壤改良专用菌肥3类新产品，达到国家微生物菌剂优等品标准；</w:t>
            </w:r>
            <w:r>
              <w:rPr>
                <w:rFonts w:hint="eastAsia" w:ascii="华文宋体" w:hAnsi="华文宋体" w:eastAsia="华文宋体" w:cs="华文宋体"/>
                <w:color w:val="auto"/>
                <w:highlight w:val="none"/>
                <w:lang w:val="en-US" w:eastAsia="zh-CN"/>
              </w:rPr>
              <w:br w:type="textWrapping"/>
            </w:r>
            <w:r>
              <w:rPr>
                <w:rFonts w:hint="eastAsia" w:ascii="华文宋体" w:hAnsi="华文宋体" w:eastAsia="华文宋体" w:cs="华文宋体"/>
                <w:color w:val="auto"/>
                <w:highlight w:val="none"/>
                <w:lang w:val="en-US" w:eastAsia="zh-CN"/>
              </w:rPr>
              <w:t>3.示范区土壤有机质提升≥8%，土传病害发病率降低≥35%；</w:t>
            </w:r>
            <w:r>
              <w:rPr>
                <w:rFonts w:hint="eastAsia" w:ascii="华文宋体" w:hAnsi="华文宋体" w:eastAsia="华文宋体" w:cs="华文宋体"/>
                <w:color w:val="auto"/>
                <w:highlight w:val="none"/>
                <w:lang w:val="en-US" w:eastAsia="zh-CN"/>
              </w:rPr>
              <w:br w:type="textWrapping"/>
            </w:r>
            <w:r>
              <w:rPr>
                <w:rFonts w:hint="eastAsia" w:ascii="华文宋体" w:hAnsi="华文宋体" w:eastAsia="华文宋体" w:cs="华文宋体"/>
                <w:color w:val="auto"/>
                <w:highlight w:val="none"/>
                <w:lang w:val="en-US" w:eastAsia="zh-CN"/>
              </w:rPr>
              <w:t>4.实现化肥减量≥15%、化学农药减量≥20%，主要粮食及经济作物亩产提升5%–12%；</w:t>
            </w:r>
            <w:r>
              <w:rPr>
                <w:rFonts w:hint="eastAsia" w:ascii="华文宋体" w:hAnsi="华文宋体" w:eastAsia="华文宋体" w:cs="华文宋体"/>
                <w:color w:val="auto"/>
                <w:highlight w:val="none"/>
                <w:lang w:val="en-US" w:eastAsia="zh-CN"/>
              </w:rPr>
              <w:br w:type="textWrapping"/>
            </w:r>
            <w:r>
              <w:rPr>
                <w:rFonts w:hint="eastAsia" w:ascii="华文宋体" w:hAnsi="华文宋体" w:eastAsia="华文宋体" w:cs="华文宋体"/>
                <w:color w:val="auto"/>
                <w:highlight w:val="none"/>
                <w:lang w:val="en-US" w:eastAsia="zh-CN"/>
              </w:rPr>
              <w:t>5.在郑州沿黄区域建设标准化示范基地≥1000亩，形成技术规程1–2项，申请发明专利3–5项。</w:t>
            </w:r>
          </w:p>
        </w:tc>
        <w:tc>
          <w:tcPr>
            <w:tcW w:w="225" w:type="pct"/>
            <w:tcBorders>
              <w:top w:val="single" w:color="000000" w:sz="4" w:space="0"/>
              <w:left w:val="single" w:color="000000" w:sz="4" w:space="0"/>
              <w:bottom w:val="single" w:color="000000" w:sz="4" w:space="0"/>
              <w:right w:val="single" w:color="000000" w:sz="4" w:space="0"/>
            </w:tcBorders>
            <w:noWrap w:val="0"/>
            <w:vAlign w:val="center"/>
          </w:tcPr>
          <w:p w14:paraId="0E4E0BF4">
            <w:pPr>
              <w:rPr>
                <w:rFonts w:hint="eastAsia" w:ascii="华文宋体" w:hAnsi="华文宋体" w:eastAsia="华文宋体" w:cs="华文宋体"/>
                <w:color w:val="auto"/>
                <w:highlight w:val="none"/>
              </w:rPr>
            </w:pPr>
            <w:r>
              <w:rPr>
                <w:rFonts w:hint="eastAsia" w:ascii="华文宋体" w:hAnsi="华文宋体" w:eastAsia="华文宋体" w:cs="华文宋体"/>
                <w:color w:val="auto"/>
                <w:highlight w:val="none"/>
                <w:lang w:val="en-US" w:eastAsia="zh-CN"/>
              </w:rPr>
              <w:t>河南浩创农业科技集团有限公司</w:t>
            </w:r>
          </w:p>
        </w:tc>
        <w:tc>
          <w:tcPr>
            <w:tcW w:w="202" w:type="pct"/>
            <w:tcBorders>
              <w:top w:val="single" w:color="000000" w:sz="4" w:space="0"/>
              <w:left w:val="single" w:color="000000" w:sz="4" w:space="0"/>
              <w:bottom w:val="single" w:color="000000" w:sz="4" w:space="0"/>
              <w:right w:val="single" w:color="000000" w:sz="4" w:space="0"/>
            </w:tcBorders>
            <w:noWrap w:val="0"/>
            <w:vAlign w:val="center"/>
          </w:tcPr>
          <w:p w14:paraId="12BC6E4E">
            <w:pPr>
              <w:rPr>
                <w:rFonts w:hint="eastAsia" w:ascii="华文宋体" w:hAnsi="华文宋体" w:eastAsia="华文宋体" w:cs="华文宋体"/>
                <w:color w:val="auto"/>
                <w:highlight w:val="none"/>
              </w:rPr>
            </w:pPr>
            <w:r>
              <w:rPr>
                <w:rFonts w:hint="eastAsia" w:ascii="华文宋体" w:hAnsi="华文宋体" w:eastAsia="华文宋体" w:cs="华文宋体"/>
                <w:color w:val="auto"/>
                <w:highlight w:val="none"/>
                <w:lang w:val="en-US" w:eastAsia="zh-CN"/>
              </w:rPr>
              <w:t>300</w:t>
            </w:r>
          </w:p>
        </w:tc>
        <w:tc>
          <w:tcPr>
            <w:tcW w:w="238" w:type="pct"/>
            <w:tcBorders>
              <w:top w:val="single" w:color="000000" w:sz="4" w:space="0"/>
              <w:left w:val="single" w:color="000000" w:sz="4" w:space="0"/>
              <w:bottom w:val="single" w:color="000000" w:sz="4" w:space="0"/>
              <w:right w:val="single" w:color="000000" w:sz="4" w:space="0"/>
            </w:tcBorders>
            <w:noWrap w:val="0"/>
            <w:vAlign w:val="center"/>
          </w:tcPr>
          <w:p w14:paraId="582F3973">
            <w:pPr>
              <w:rPr>
                <w:rFonts w:hint="eastAsia" w:ascii="华文宋体" w:hAnsi="华文宋体" w:eastAsia="华文宋体" w:cs="华文宋体"/>
                <w:color w:val="auto"/>
                <w:highlight w:val="none"/>
              </w:rPr>
            </w:pPr>
            <w:r>
              <w:rPr>
                <w:rFonts w:hint="eastAsia" w:ascii="华文宋体" w:hAnsi="华文宋体" w:eastAsia="华文宋体" w:cs="华文宋体"/>
                <w:color w:val="auto"/>
                <w:highlight w:val="none"/>
                <w:lang w:val="en-US" w:eastAsia="zh-CN"/>
              </w:rPr>
              <w:t>150</w:t>
            </w:r>
          </w:p>
        </w:tc>
        <w:tc>
          <w:tcPr>
            <w:tcW w:w="202" w:type="pct"/>
            <w:tcBorders>
              <w:top w:val="single" w:color="000000" w:sz="4" w:space="0"/>
              <w:left w:val="single" w:color="000000" w:sz="4" w:space="0"/>
              <w:bottom w:val="single" w:color="000000" w:sz="4" w:space="0"/>
              <w:right w:val="single" w:color="000000" w:sz="4" w:space="0"/>
            </w:tcBorders>
            <w:noWrap w:val="0"/>
            <w:vAlign w:val="center"/>
          </w:tcPr>
          <w:p w14:paraId="7063D7BF">
            <w:pPr>
              <w:rPr>
                <w:rFonts w:hint="eastAsia" w:ascii="华文宋体" w:hAnsi="华文宋体" w:eastAsia="华文宋体" w:cs="华文宋体"/>
                <w:color w:val="auto"/>
                <w:highlight w:val="none"/>
              </w:rPr>
            </w:pPr>
            <w:r>
              <w:rPr>
                <w:rFonts w:hint="eastAsia" w:ascii="华文宋体" w:hAnsi="华文宋体" w:eastAsia="华文宋体" w:cs="华文宋体"/>
                <w:color w:val="auto"/>
                <w:highlight w:val="none"/>
                <w:lang w:val="en-US" w:eastAsia="zh-CN"/>
              </w:rPr>
              <w:t>2年</w:t>
            </w:r>
          </w:p>
        </w:tc>
        <w:tc>
          <w:tcPr>
            <w:tcW w:w="823" w:type="pct"/>
            <w:tcBorders>
              <w:top w:val="single" w:color="000000" w:sz="4" w:space="0"/>
              <w:left w:val="single" w:color="000000" w:sz="4" w:space="0"/>
              <w:bottom w:val="single" w:color="000000" w:sz="4" w:space="0"/>
              <w:right w:val="single" w:color="000000" w:sz="4" w:space="0"/>
            </w:tcBorders>
            <w:noWrap w:val="0"/>
            <w:vAlign w:val="center"/>
          </w:tcPr>
          <w:p w14:paraId="4E80E5F1">
            <w:pPr>
              <w:rPr>
                <w:rFonts w:hint="default" w:ascii="华文宋体" w:hAnsi="华文宋体" w:eastAsia="华文宋体" w:cs="华文宋体"/>
                <w:color w:val="auto"/>
                <w:highlight w:val="none"/>
                <w:lang w:val="en-US" w:eastAsia="zh-CN"/>
              </w:rPr>
            </w:pPr>
            <w:r>
              <w:rPr>
                <w:rFonts w:hint="default" w:ascii="华文宋体" w:hAnsi="华文宋体" w:eastAsia="华文宋体" w:cs="华文宋体"/>
                <w:color w:val="auto"/>
                <w:highlight w:val="none"/>
                <w:lang w:val="en-US" w:eastAsia="zh-CN"/>
              </w:rPr>
              <w:t>1.技术成果:突破免疫菌群构建、免疫蛋白增效、土壤-作物协同调控关键技术，形成一套完整的技术方案;</w:t>
            </w:r>
          </w:p>
          <w:p w14:paraId="0B5EC935">
            <w:pPr>
              <w:rPr>
                <w:rFonts w:hint="default" w:ascii="华文宋体" w:hAnsi="华文宋体" w:eastAsia="华文宋体" w:cs="华文宋体"/>
                <w:color w:val="auto"/>
                <w:highlight w:val="none"/>
                <w:lang w:val="en-US" w:eastAsia="zh-CN"/>
              </w:rPr>
            </w:pPr>
            <w:r>
              <w:rPr>
                <w:rFonts w:hint="default" w:ascii="华文宋体" w:hAnsi="华文宋体" w:eastAsia="华文宋体" w:cs="华文宋体"/>
                <w:color w:val="auto"/>
                <w:highlight w:val="none"/>
                <w:lang w:val="en-US" w:eastAsia="zh-CN"/>
              </w:rPr>
              <w:t>2.产品成果:定型3类绿色生物农资新产品，完善土复元、菌卫士产品升级迭代，实现本地化产业化;</w:t>
            </w:r>
          </w:p>
          <w:p w14:paraId="55B54E03">
            <w:pPr>
              <w:rPr>
                <w:rFonts w:hint="default" w:ascii="华文宋体" w:hAnsi="华文宋体" w:eastAsia="华文宋体" w:cs="华文宋体"/>
                <w:color w:val="auto"/>
                <w:highlight w:val="none"/>
                <w:lang w:val="en-US" w:eastAsia="zh-CN"/>
              </w:rPr>
            </w:pPr>
            <w:r>
              <w:rPr>
                <w:rFonts w:hint="default" w:ascii="华文宋体" w:hAnsi="华文宋体" w:eastAsia="华文宋体" w:cs="华文宋体"/>
                <w:color w:val="auto"/>
                <w:highlight w:val="none"/>
                <w:lang w:val="en-US" w:eastAsia="zh-CN"/>
              </w:rPr>
              <w:t>3.知识产权与标准成果:申请发明专利1-3项，发表核心期刊论文1-3篇,取得科技成果评价1-2项，编制企业(地方)技术规程1-2项。</w:t>
            </w:r>
          </w:p>
          <w:p w14:paraId="621913EC">
            <w:pPr>
              <w:rPr>
                <w:rFonts w:hint="eastAsia" w:ascii="华文宋体" w:hAnsi="华文宋体" w:eastAsia="华文宋体" w:cs="华文宋体"/>
                <w:color w:val="auto"/>
                <w:highlight w:val="none"/>
              </w:rPr>
            </w:pPr>
          </w:p>
        </w:tc>
        <w:tc>
          <w:tcPr>
            <w:tcW w:w="316" w:type="pct"/>
            <w:tcBorders>
              <w:top w:val="single" w:color="000000" w:sz="4" w:space="0"/>
              <w:left w:val="single" w:color="000000" w:sz="4" w:space="0"/>
              <w:bottom w:val="single" w:color="000000" w:sz="4" w:space="0"/>
              <w:right w:val="single" w:color="000000" w:sz="4" w:space="0"/>
            </w:tcBorders>
            <w:noWrap w:val="0"/>
            <w:vAlign w:val="center"/>
          </w:tcPr>
          <w:p w14:paraId="428380B3">
            <w:pPr>
              <w:rPr>
                <w:rFonts w:hint="eastAsia" w:ascii="华文宋体" w:hAnsi="华文宋体" w:eastAsia="华文宋体" w:cs="华文宋体"/>
                <w:color w:val="auto"/>
                <w:highlight w:val="none"/>
              </w:rPr>
            </w:pPr>
            <w:r>
              <w:rPr>
                <w:rFonts w:hint="eastAsia" w:ascii="华文宋体" w:hAnsi="华文宋体" w:eastAsia="华文宋体" w:cs="华文宋体"/>
                <w:color w:val="auto"/>
                <w:highlight w:val="none"/>
                <w:lang w:val="en-US" w:eastAsia="zh-CN"/>
              </w:rPr>
              <w:t>王康莉15294628662</w:t>
            </w:r>
          </w:p>
        </w:tc>
        <w:tc>
          <w:tcPr>
            <w:tcW w:w="238" w:type="pct"/>
            <w:tcBorders>
              <w:top w:val="single" w:color="000000" w:sz="4" w:space="0"/>
              <w:left w:val="single" w:color="000000" w:sz="4" w:space="0"/>
              <w:bottom w:val="single" w:color="000000" w:sz="4" w:space="0"/>
              <w:right w:val="single" w:color="000000" w:sz="4" w:space="0"/>
            </w:tcBorders>
            <w:noWrap w:val="0"/>
            <w:vAlign w:val="center"/>
          </w:tcPr>
          <w:p w14:paraId="1D9C643F">
            <w:pPr>
              <w:keepNext w:val="0"/>
              <w:keepLines w:val="0"/>
              <w:pageBreakBefore w:val="0"/>
              <w:widowControl/>
              <w:suppressLineNumbers w:val="0"/>
              <w:kinsoku/>
              <w:wordWrap/>
              <w:overflowPunct/>
              <w:topLinePunct w:val="0"/>
              <w:autoSpaceDE/>
              <w:autoSpaceDN/>
              <w:bidi w:val="0"/>
              <w:adjustRightInd/>
              <w:snapToGrid/>
              <w:spacing w:line="280" w:lineRule="exact"/>
              <w:jc w:val="both"/>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高新区</w:t>
            </w:r>
          </w:p>
        </w:tc>
      </w:tr>
      <w:tr w14:paraId="52748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81" w:type="pct"/>
            <w:tcBorders>
              <w:top w:val="single" w:color="000000" w:sz="4" w:space="0"/>
              <w:left w:val="single" w:color="000000" w:sz="4" w:space="0"/>
              <w:bottom w:val="single" w:color="000000" w:sz="4" w:space="0"/>
              <w:right w:val="single" w:color="000000" w:sz="4" w:space="0"/>
            </w:tcBorders>
            <w:noWrap w:val="0"/>
            <w:vAlign w:val="center"/>
          </w:tcPr>
          <w:p w14:paraId="421F5C02">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三</w:t>
            </w:r>
          </w:p>
        </w:tc>
        <w:tc>
          <w:tcPr>
            <w:tcW w:w="446" w:type="pct"/>
            <w:tcBorders>
              <w:top w:val="single" w:color="000000" w:sz="4" w:space="0"/>
              <w:left w:val="single" w:color="000000" w:sz="4" w:space="0"/>
              <w:bottom w:val="single" w:color="000000" w:sz="4" w:space="0"/>
              <w:right w:val="single" w:color="000000" w:sz="4" w:space="0"/>
            </w:tcBorders>
            <w:noWrap w:val="0"/>
            <w:vAlign w:val="center"/>
          </w:tcPr>
          <w:p w14:paraId="6FC008B0">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社发领域</w:t>
            </w:r>
          </w:p>
        </w:tc>
        <w:tc>
          <w:tcPr>
            <w:tcW w:w="276" w:type="pct"/>
            <w:tcBorders>
              <w:top w:val="single" w:color="000000" w:sz="4" w:space="0"/>
              <w:left w:val="single" w:color="000000" w:sz="4" w:space="0"/>
              <w:bottom w:val="single" w:color="000000" w:sz="4" w:space="0"/>
              <w:right w:val="single" w:color="000000" w:sz="4" w:space="0"/>
            </w:tcBorders>
            <w:noWrap w:val="0"/>
            <w:vAlign w:val="center"/>
          </w:tcPr>
          <w:p w14:paraId="0C839D40">
            <w:pPr>
              <w:keepNext w:val="0"/>
              <w:keepLines w:val="0"/>
              <w:pageBreakBefore w:val="0"/>
              <w:widowControl/>
              <w:kinsoku/>
              <w:wordWrap/>
              <w:overflowPunct/>
              <w:topLinePunct w:val="0"/>
              <w:autoSpaceDE/>
              <w:autoSpaceDN/>
              <w:bidi w:val="0"/>
              <w:adjustRightInd/>
              <w:snapToGrid/>
              <w:spacing w:line="280" w:lineRule="exact"/>
              <w:jc w:val="center"/>
              <w:rPr>
                <w:rFonts w:hint="eastAsia" w:ascii="宋体" w:hAnsi="宋体" w:eastAsia="宋体" w:cs="宋体"/>
                <w:i w:val="0"/>
                <w:iCs w:val="0"/>
                <w:color w:val="auto"/>
                <w:sz w:val="21"/>
                <w:szCs w:val="21"/>
                <w:highlight w:val="none"/>
                <w:u w:val="none"/>
              </w:rPr>
            </w:pPr>
          </w:p>
        </w:tc>
        <w:tc>
          <w:tcPr>
            <w:tcW w:w="788" w:type="pct"/>
            <w:tcBorders>
              <w:top w:val="single" w:color="000000" w:sz="4" w:space="0"/>
              <w:left w:val="single" w:color="000000" w:sz="4" w:space="0"/>
              <w:bottom w:val="single" w:color="000000" w:sz="4" w:space="0"/>
              <w:right w:val="single" w:color="000000" w:sz="4" w:space="0"/>
            </w:tcBorders>
            <w:noWrap w:val="0"/>
            <w:vAlign w:val="center"/>
          </w:tcPr>
          <w:p w14:paraId="0EAB711F">
            <w:pPr>
              <w:rPr>
                <w:rFonts w:hint="eastAsia" w:ascii="华文宋体" w:hAnsi="华文宋体" w:eastAsia="华文宋体" w:cs="华文宋体"/>
                <w:color w:val="auto"/>
                <w:highlight w:val="none"/>
              </w:rPr>
            </w:pPr>
          </w:p>
        </w:tc>
        <w:tc>
          <w:tcPr>
            <w:tcW w:w="1057" w:type="pct"/>
            <w:tcBorders>
              <w:top w:val="single" w:color="000000" w:sz="4" w:space="0"/>
              <w:left w:val="single" w:color="000000" w:sz="4" w:space="0"/>
              <w:bottom w:val="single" w:color="000000" w:sz="4" w:space="0"/>
              <w:right w:val="single" w:color="000000" w:sz="4" w:space="0"/>
            </w:tcBorders>
            <w:noWrap w:val="0"/>
            <w:vAlign w:val="center"/>
          </w:tcPr>
          <w:p w14:paraId="67757015">
            <w:pPr>
              <w:rPr>
                <w:rFonts w:hint="eastAsia" w:ascii="华文宋体" w:hAnsi="华文宋体" w:eastAsia="华文宋体" w:cs="华文宋体"/>
                <w:color w:val="auto"/>
                <w:highlight w:val="none"/>
              </w:rPr>
            </w:pPr>
          </w:p>
        </w:tc>
        <w:tc>
          <w:tcPr>
            <w:tcW w:w="225" w:type="pct"/>
            <w:tcBorders>
              <w:top w:val="single" w:color="000000" w:sz="4" w:space="0"/>
              <w:left w:val="single" w:color="000000" w:sz="4" w:space="0"/>
              <w:bottom w:val="single" w:color="000000" w:sz="4" w:space="0"/>
              <w:right w:val="single" w:color="000000" w:sz="4" w:space="0"/>
            </w:tcBorders>
            <w:noWrap w:val="0"/>
            <w:vAlign w:val="center"/>
          </w:tcPr>
          <w:p w14:paraId="65AD164D">
            <w:pPr>
              <w:rPr>
                <w:rFonts w:hint="eastAsia" w:ascii="华文宋体" w:hAnsi="华文宋体" w:eastAsia="华文宋体" w:cs="华文宋体"/>
                <w:color w:val="auto"/>
                <w:highlight w:val="none"/>
              </w:rPr>
            </w:pPr>
          </w:p>
        </w:tc>
        <w:tc>
          <w:tcPr>
            <w:tcW w:w="202" w:type="pct"/>
            <w:tcBorders>
              <w:top w:val="single" w:color="000000" w:sz="4" w:space="0"/>
              <w:left w:val="single" w:color="000000" w:sz="4" w:space="0"/>
              <w:bottom w:val="single" w:color="000000" w:sz="4" w:space="0"/>
              <w:right w:val="single" w:color="000000" w:sz="4" w:space="0"/>
            </w:tcBorders>
            <w:noWrap w:val="0"/>
            <w:vAlign w:val="center"/>
          </w:tcPr>
          <w:p w14:paraId="5F1E8D22">
            <w:pPr>
              <w:rPr>
                <w:rFonts w:hint="eastAsia" w:ascii="华文宋体" w:hAnsi="华文宋体" w:eastAsia="华文宋体" w:cs="华文宋体"/>
                <w:color w:val="auto"/>
                <w:highlight w:val="none"/>
              </w:rPr>
            </w:pPr>
          </w:p>
        </w:tc>
        <w:tc>
          <w:tcPr>
            <w:tcW w:w="238" w:type="pct"/>
            <w:tcBorders>
              <w:top w:val="single" w:color="000000" w:sz="4" w:space="0"/>
              <w:left w:val="single" w:color="000000" w:sz="4" w:space="0"/>
              <w:bottom w:val="single" w:color="000000" w:sz="4" w:space="0"/>
              <w:right w:val="single" w:color="000000" w:sz="4" w:space="0"/>
            </w:tcBorders>
            <w:noWrap w:val="0"/>
            <w:vAlign w:val="center"/>
          </w:tcPr>
          <w:p w14:paraId="700CFA94">
            <w:pPr>
              <w:rPr>
                <w:rFonts w:hint="eastAsia" w:ascii="华文宋体" w:hAnsi="华文宋体" w:eastAsia="华文宋体" w:cs="华文宋体"/>
                <w:color w:val="auto"/>
                <w:highlight w:val="none"/>
              </w:rPr>
            </w:pPr>
          </w:p>
        </w:tc>
        <w:tc>
          <w:tcPr>
            <w:tcW w:w="202" w:type="pct"/>
            <w:tcBorders>
              <w:top w:val="single" w:color="000000" w:sz="4" w:space="0"/>
              <w:left w:val="single" w:color="000000" w:sz="4" w:space="0"/>
              <w:bottom w:val="single" w:color="000000" w:sz="4" w:space="0"/>
              <w:right w:val="single" w:color="000000" w:sz="4" w:space="0"/>
            </w:tcBorders>
            <w:noWrap w:val="0"/>
            <w:vAlign w:val="center"/>
          </w:tcPr>
          <w:p w14:paraId="70070804">
            <w:pPr>
              <w:rPr>
                <w:rFonts w:hint="eastAsia" w:ascii="华文宋体" w:hAnsi="华文宋体" w:eastAsia="华文宋体" w:cs="华文宋体"/>
                <w:color w:val="auto"/>
                <w:highlight w:val="none"/>
              </w:rPr>
            </w:pPr>
          </w:p>
        </w:tc>
        <w:tc>
          <w:tcPr>
            <w:tcW w:w="823" w:type="pct"/>
            <w:tcBorders>
              <w:top w:val="single" w:color="000000" w:sz="4" w:space="0"/>
              <w:left w:val="single" w:color="000000" w:sz="4" w:space="0"/>
              <w:bottom w:val="single" w:color="000000" w:sz="4" w:space="0"/>
              <w:right w:val="single" w:color="000000" w:sz="4" w:space="0"/>
            </w:tcBorders>
            <w:noWrap w:val="0"/>
            <w:vAlign w:val="center"/>
          </w:tcPr>
          <w:p w14:paraId="195ABA2C">
            <w:pPr>
              <w:rPr>
                <w:rFonts w:hint="eastAsia" w:ascii="华文宋体" w:hAnsi="华文宋体" w:eastAsia="华文宋体" w:cs="华文宋体"/>
                <w:color w:val="auto"/>
                <w:highlight w:val="none"/>
              </w:rPr>
            </w:pPr>
          </w:p>
        </w:tc>
        <w:tc>
          <w:tcPr>
            <w:tcW w:w="316" w:type="pct"/>
            <w:tcBorders>
              <w:top w:val="single" w:color="000000" w:sz="4" w:space="0"/>
              <w:left w:val="single" w:color="000000" w:sz="4" w:space="0"/>
              <w:bottom w:val="single" w:color="000000" w:sz="4" w:space="0"/>
              <w:right w:val="single" w:color="000000" w:sz="4" w:space="0"/>
            </w:tcBorders>
            <w:noWrap w:val="0"/>
            <w:vAlign w:val="center"/>
          </w:tcPr>
          <w:p w14:paraId="24C5D981">
            <w:pPr>
              <w:rPr>
                <w:rFonts w:hint="eastAsia" w:ascii="华文宋体" w:hAnsi="华文宋体" w:eastAsia="华文宋体" w:cs="华文宋体"/>
                <w:color w:val="auto"/>
                <w:highlight w:val="none"/>
              </w:rPr>
            </w:pPr>
          </w:p>
        </w:tc>
        <w:tc>
          <w:tcPr>
            <w:tcW w:w="238" w:type="pct"/>
            <w:tcBorders>
              <w:top w:val="single" w:color="000000" w:sz="4" w:space="0"/>
              <w:left w:val="single" w:color="000000" w:sz="4" w:space="0"/>
              <w:bottom w:val="single" w:color="000000" w:sz="4" w:space="0"/>
              <w:right w:val="single" w:color="000000" w:sz="4" w:space="0"/>
            </w:tcBorders>
            <w:noWrap w:val="0"/>
            <w:vAlign w:val="center"/>
          </w:tcPr>
          <w:p w14:paraId="2D38A17C">
            <w:pPr>
              <w:keepNext w:val="0"/>
              <w:keepLines w:val="0"/>
              <w:pageBreakBefore w:val="0"/>
              <w:widowControl/>
              <w:kinsoku/>
              <w:wordWrap/>
              <w:overflowPunct/>
              <w:topLinePunct w:val="0"/>
              <w:autoSpaceDE/>
              <w:autoSpaceDN/>
              <w:bidi w:val="0"/>
              <w:adjustRightInd/>
              <w:snapToGrid/>
              <w:spacing w:line="280" w:lineRule="exact"/>
              <w:jc w:val="center"/>
              <w:rPr>
                <w:rFonts w:hint="eastAsia" w:ascii="宋体" w:hAnsi="宋体" w:eastAsia="宋体" w:cs="宋体"/>
                <w:i w:val="0"/>
                <w:iCs w:val="0"/>
                <w:color w:val="auto"/>
                <w:sz w:val="21"/>
                <w:szCs w:val="21"/>
                <w:highlight w:val="none"/>
                <w:u w:val="none"/>
              </w:rPr>
            </w:pPr>
          </w:p>
        </w:tc>
      </w:tr>
      <w:tr w14:paraId="021090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87" w:hRule="atLeast"/>
        </w:trPr>
        <w:tc>
          <w:tcPr>
            <w:tcW w:w="181" w:type="pct"/>
            <w:tcBorders>
              <w:top w:val="single" w:color="000000" w:sz="4" w:space="0"/>
              <w:left w:val="single" w:color="000000" w:sz="4" w:space="0"/>
              <w:bottom w:val="single" w:color="000000" w:sz="4" w:space="0"/>
              <w:right w:val="single" w:color="000000" w:sz="4" w:space="0"/>
            </w:tcBorders>
            <w:noWrap w:val="0"/>
            <w:vAlign w:val="center"/>
          </w:tcPr>
          <w:p w14:paraId="2768D304">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1</w:t>
            </w:r>
          </w:p>
        </w:tc>
        <w:tc>
          <w:tcPr>
            <w:tcW w:w="446" w:type="pct"/>
            <w:tcBorders>
              <w:top w:val="single" w:color="000000" w:sz="4" w:space="0"/>
              <w:left w:val="single" w:color="000000" w:sz="4" w:space="0"/>
              <w:bottom w:val="single" w:color="000000" w:sz="4" w:space="0"/>
              <w:right w:val="single" w:color="000000" w:sz="4" w:space="0"/>
            </w:tcBorders>
            <w:noWrap w:val="0"/>
            <w:vAlign w:val="top"/>
          </w:tcPr>
          <w:p w14:paraId="45883D05">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基于离心微流控芯片的外泌体高效分离设备研发</w:t>
            </w:r>
          </w:p>
        </w:tc>
        <w:tc>
          <w:tcPr>
            <w:tcW w:w="276" w:type="pct"/>
            <w:tcBorders>
              <w:top w:val="single" w:color="000000" w:sz="4" w:space="0"/>
              <w:left w:val="single" w:color="000000" w:sz="4" w:space="0"/>
              <w:bottom w:val="single" w:color="000000" w:sz="4" w:space="0"/>
              <w:right w:val="single" w:color="000000" w:sz="4" w:space="0"/>
            </w:tcBorders>
            <w:noWrap w:val="0"/>
            <w:vAlign w:val="top"/>
          </w:tcPr>
          <w:p w14:paraId="2934A29C">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生物技术与医药领域</w:t>
            </w:r>
            <w:r>
              <w:rPr>
                <w:rFonts w:hint="eastAsia" w:ascii="宋体" w:hAnsi="宋体" w:cs="宋体"/>
                <w:i w:val="0"/>
                <w:iCs w:val="0"/>
                <w:color w:val="auto"/>
                <w:kern w:val="0"/>
                <w:sz w:val="21"/>
                <w:szCs w:val="21"/>
                <w:highlight w:val="none"/>
                <w:u w:val="none"/>
                <w:lang w:val="en-US" w:eastAsia="zh-CN" w:bidi="ar"/>
              </w:rPr>
              <w:t>-</w:t>
            </w:r>
            <w:r>
              <w:rPr>
                <w:rFonts w:hint="eastAsia" w:ascii="宋体" w:hAnsi="宋体" w:eastAsia="宋体" w:cs="宋体"/>
                <w:i w:val="0"/>
                <w:iCs w:val="0"/>
                <w:color w:val="auto"/>
                <w:kern w:val="0"/>
                <w:sz w:val="21"/>
                <w:szCs w:val="21"/>
                <w:highlight w:val="none"/>
                <w:u w:val="none"/>
                <w:lang w:val="en-US" w:eastAsia="zh-CN" w:bidi="ar"/>
              </w:rPr>
              <w:t>生物医药及医疗器械</w:t>
            </w:r>
          </w:p>
        </w:tc>
        <w:tc>
          <w:tcPr>
            <w:tcW w:w="788" w:type="pct"/>
            <w:tcBorders>
              <w:top w:val="single" w:color="000000" w:sz="4" w:space="0"/>
              <w:left w:val="single" w:color="000000" w:sz="4" w:space="0"/>
              <w:bottom w:val="single" w:color="000000" w:sz="4" w:space="0"/>
              <w:right w:val="single" w:color="000000" w:sz="4" w:space="0"/>
            </w:tcBorders>
            <w:noWrap w:val="0"/>
            <w:vAlign w:val="top"/>
          </w:tcPr>
          <w:p w14:paraId="36640A63">
            <w:pPr>
              <w:rPr>
                <w:rFonts w:hint="eastAsia" w:ascii="华文宋体" w:hAnsi="华文宋体" w:eastAsia="华文宋体" w:cs="华文宋体"/>
                <w:color w:val="auto"/>
                <w:highlight w:val="none"/>
              </w:rPr>
            </w:pPr>
            <w:r>
              <w:rPr>
                <w:rFonts w:hint="eastAsia" w:ascii="华文宋体" w:hAnsi="华文宋体" w:eastAsia="华文宋体" w:cs="华文宋体"/>
                <w:color w:val="auto"/>
                <w:highlight w:val="none"/>
                <w:lang w:val="en-US" w:eastAsia="zh-CN"/>
              </w:rPr>
              <w:t>拟解决的技术需求：芯片高精度微结构制造，需集成微米级流道、纳米过滤膜和虹吸阀，攻克深宽比微孔复制保真度与纳米孔径一致性不足；纳米膜-芯片一体化键合，需实现200nm前级膜与20nm后级富集膜在≥3000×g下无泄漏集成，解决膜剥离与密封失效；非特异性吸附与堵塞，需开发亲水抗蛋白吸附修饰，优化防堵流道设计；全流程自动化集成，需在单一芯片上实现血浆分离、蛋白去除、外泌体富集等多模块协同与一键操作。关键指标：处理时间≤60分钟/测试；外泌体纯度较超速离心法提升；回收率≥70%；设备尺寸≤0.5m³，支持触屏操作与数据导出；完成样机1台，申报发明专利≥2项。</w:t>
            </w:r>
          </w:p>
        </w:tc>
        <w:tc>
          <w:tcPr>
            <w:tcW w:w="1057" w:type="pct"/>
            <w:tcBorders>
              <w:top w:val="single" w:color="000000" w:sz="4" w:space="0"/>
              <w:left w:val="single" w:color="000000" w:sz="4" w:space="0"/>
              <w:bottom w:val="single" w:color="000000" w:sz="4" w:space="0"/>
              <w:right w:val="single" w:color="000000" w:sz="4" w:space="0"/>
            </w:tcBorders>
            <w:noWrap w:val="0"/>
            <w:vAlign w:val="top"/>
          </w:tcPr>
          <w:p w14:paraId="2E4F042F">
            <w:pPr>
              <w:rPr>
                <w:rFonts w:hint="eastAsia" w:ascii="华文宋体" w:hAnsi="华文宋体" w:eastAsia="华文宋体" w:cs="华文宋体"/>
                <w:color w:val="auto"/>
                <w:highlight w:val="none"/>
                <w:lang w:val="en-US" w:eastAsia="zh-CN"/>
              </w:rPr>
            </w:pPr>
            <w:r>
              <w:rPr>
                <w:rFonts w:hint="eastAsia" w:ascii="华文宋体" w:hAnsi="华文宋体" w:eastAsia="华文宋体" w:cs="华文宋体"/>
                <w:color w:val="auto"/>
                <w:highlight w:val="none"/>
                <w:lang w:val="en-US" w:eastAsia="zh-CN"/>
              </w:rPr>
              <w:t>1.技术性能指标：研发基于离心微流控芯片的外泌体高效分离设备样机1台，单次样本处理时间≤60分钟；外泌体回收率≥70%；外泌体纯度经NTA（纳米颗粒跟踪分析）及Western Blot验证，优于传统超速离心法；设备尺寸≤0.5m³，支持触屏操作与数据导出功能。</w:t>
            </w:r>
          </w:p>
          <w:p w14:paraId="7841E37E">
            <w:pPr>
              <w:rPr>
                <w:rFonts w:hint="eastAsia" w:ascii="华文宋体" w:hAnsi="华文宋体" w:eastAsia="华文宋体" w:cs="华文宋体"/>
                <w:color w:val="auto"/>
                <w:highlight w:val="none"/>
                <w:lang w:val="en-US" w:eastAsia="zh-CN"/>
              </w:rPr>
            </w:pPr>
            <w:r>
              <w:rPr>
                <w:rFonts w:hint="eastAsia" w:ascii="华文宋体" w:hAnsi="华文宋体" w:eastAsia="华文宋体" w:cs="华文宋体"/>
                <w:color w:val="auto"/>
                <w:highlight w:val="none"/>
                <w:lang w:val="en-US" w:eastAsia="zh-CN"/>
              </w:rPr>
              <w:t>2.成果产出指标：完成全流程自动化离心微流控外泌体分离设备样机1台；申报发明专利≥2项；形成企业技术标准或产品工艺规范1套。</w:t>
            </w:r>
          </w:p>
          <w:p w14:paraId="1C45DCE2">
            <w:pPr>
              <w:rPr>
                <w:rFonts w:hint="eastAsia" w:ascii="华文宋体" w:hAnsi="华文宋体" w:eastAsia="华文宋体" w:cs="华文宋体"/>
                <w:color w:val="auto"/>
                <w:highlight w:val="none"/>
                <w:lang w:val="en-US" w:eastAsia="zh-CN"/>
              </w:rPr>
            </w:pPr>
            <w:r>
              <w:rPr>
                <w:rFonts w:hint="eastAsia" w:ascii="华文宋体" w:hAnsi="华文宋体" w:eastAsia="华文宋体" w:cs="华文宋体"/>
                <w:color w:val="auto"/>
                <w:highlight w:val="none"/>
                <w:lang w:val="en-US" w:eastAsia="zh-CN"/>
              </w:rPr>
              <w:t>3.产业化应用指标：完成不少于2家临床应用或科研服务机构的设备试用验证，提供第三方出具的检验检测报告或应用证明。</w:t>
            </w:r>
          </w:p>
          <w:p w14:paraId="09A94189">
            <w:pPr>
              <w:rPr>
                <w:rFonts w:hint="eastAsia" w:ascii="华文宋体" w:hAnsi="华文宋体" w:eastAsia="华文宋体" w:cs="华文宋体"/>
                <w:color w:val="auto"/>
                <w:highlight w:val="none"/>
              </w:rPr>
            </w:pPr>
            <w:r>
              <w:rPr>
                <w:rFonts w:hint="eastAsia" w:ascii="华文宋体" w:hAnsi="华文宋体" w:eastAsia="华文宋体" w:cs="华文宋体"/>
                <w:color w:val="auto"/>
                <w:highlight w:val="none"/>
                <w:lang w:val="en-US" w:eastAsia="zh-CN"/>
              </w:rPr>
              <w:t>4.经济社会效益指标：项目实施期内实现销售收入500万元；培养或引进生物医药领域高层次研发人才1-2人。</w:t>
            </w:r>
          </w:p>
        </w:tc>
        <w:tc>
          <w:tcPr>
            <w:tcW w:w="225" w:type="pct"/>
            <w:tcBorders>
              <w:top w:val="single" w:color="000000" w:sz="4" w:space="0"/>
              <w:left w:val="single" w:color="000000" w:sz="4" w:space="0"/>
              <w:bottom w:val="single" w:color="000000" w:sz="4" w:space="0"/>
              <w:right w:val="single" w:color="000000" w:sz="4" w:space="0"/>
            </w:tcBorders>
            <w:noWrap w:val="0"/>
            <w:vAlign w:val="top"/>
          </w:tcPr>
          <w:p w14:paraId="0BFFD7AF">
            <w:pPr>
              <w:rPr>
                <w:rFonts w:hint="eastAsia" w:ascii="华文宋体" w:hAnsi="华文宋体" w:eastAsia="华文宋体" w:cs="华文宋体"/>
                <w:color w:val="auto"/>
                <w:highlight w:val="none"/>
              </w:rPr>
            </w:pPr>
            <w:r>
              <w:rPr>
                <w:rFonts w:hint="eastAsia" w:ascii="华文宋体" w:hAnsi="华文宋体" w:eastAsia="华文宋体" w:cs="华文宋体"/>
                <w:color w:val="auto"/>
                <w:highlight w:val="none"/>
                <w:lang w:val="en-US" w:eastAsia="zh-CN"/>
              </w:rPr>
              <w:t>河南省华之源生物技术有限公司</w:t>
            </w:r>
          </w:p>
        </w:tc>
        <w:tc>
          <w:tcPr>
            <w:tcW w:w="202" w:type="pct"/>
            <w:tcBorders>
              <w:top w:val="single" w:color="000000" w:sz="4" w:space="0"/>
              <w:left w:val="single" w:color="000000" w:sz="4" w:space="0"/>
              <w:bottom w:val="single" w:color="000000" w:sz="4" w:space="0"/>
              <w:right w:val="single" w:color="000000" w:sz="4" w:space="0"/>
            </w:tcBorders>
            <w:noWrap w:val="0"/>
            <w:vAlign w:val="top"/>
          </w:tcPr>
          <w:p w14:paraId="3DBD9324">
            <w:pPr>
              <w:rPr>
                <w:rFonts w:hint="eastAsia" w:ascii="华文宋体" w:hAnsi="华文宋体" w:eastAsia="华文宋体" w:cs="华文宋体"/>
                <w:color w:val="auto"/>
                <w:highlight w:val="none"/>
              </w:rPr>
            </w:pPr>
            <w:r>
              <w:rPr>
                <w:rFonts w:hint="eastAsia" w:ascii="华文宋体" w:hAnsi="华文宋体" w:eastAsia="华文宋体" w:cs="华文宋体"/>
                <w:color w:val="auto"/>
                <w:highlight w:val="none"/>
                <w:lang w:val="en-US" w:eastAsia="zh-CN"/>
              </w:rPr>
              <w:t>400</w:t>
            </w:r>
          </w:p>
        </w:tc>
        <w:tc>
          <w:tcPr>
            <w:tcW w:w="238" w:type="pct"/>
            <w:tcBorders>
              <w:top w:val="single" w:color="000000" w:sz="4" w:space="0"/>
              <w:left w:val="single" w:color="000000" w:sz="4" w:space="0"/>
              <w:bottom w:val="single" w:color="000000" w:sz="4" w:space="0"/>
              <w:right w:val="single" w:color="000000" w:sz="4" w:space="0"/>
            </w:tcBorders>
            <w:noWrap w:val="0"/>
            <w:vAlign w:val="top"/>
          </w:tcPr>
          <w:p w14:paraId="5650A7DB">
            <w:pPr>
              <w:rPr>
                <w:rFonts w:hint="eastAsia" w:ascii="华文宋体" w:hAnsi="华文宋体" w:eastAsia="华文宋体" w:cs="华文宋体"/>
                <w:color w:val="auto"/>
                <w:highlight w:val="none"/>
              </w:rPr>
            </w:pPr>
            <w:r>
              <w:rPr>
                <w:rFonts w:hint="eastAsia" w:ascii="华文宋体" w:hAnsi="华文宋体" w:eastAsia="华文宋体" w:cs="华文宋体"/>
                <w:color w:val="auto"/>
                <w:highlight w:val="none"/>
                <w:lang w:val="en-US" w:eastAsia="zh-CN"/>
              </w:rPr>
              <w:t>400</w:t>
            </w:r>
          </w:p>
        </w:tc>
        <w:tc>
          <w:tcPr>
            <w:tcW w:w="202" w:type="pct"/>
            <w:tcBorders>
              <w:top w:val="single" w:color="000000" w:sz="4" w:space="0"/>
              <w:left w:val="single" w:color="000000" w:sz="4" w:space="0"/>
              <w:bottom w:val="single" w:color="000000" w:sz="4" w:space="0"/>
              <w:right w:val="single" w:color="000000" w:sz="4" w:space="0"/>
            </w:tcBorders>
            <w:noWrap w:val="0"/>
            <w:vAlign w:val="top"/>
          </w:tcPr>
          <w:p w14:paraId="0CED52A4">
            <w:pPr>
              <w:rPr>
                <w:rFonts w:hint="eastAsia" w:ascii="华文宋体" w:hAnsi="华文宋体" w:eastAsia="华文宋体" w:cs="华文宋体"/>
                <w:color w:val="auto"/>
                <w:highlight w:val="none"/>
              </w:rPr>
            </w:pPr>
            <w:r>
              <w:rPr>
                <w:rFonts w:hint="eastAsia" w:ascii="华文宋体" w:hAnsi="华文宋体" w:eastAsia="华文宋体" w:cs="华文宋体"/>
                <w:color w:val="auto"/>
                <w:highlight w:val="none"/>
                <w:lang w:val="en-US" w:eastAsia="zh-CN"/>
              </w:rPr>
              <w:t>2年</w:t>
            </w:r>
          </w:p>
        </w:tc>
        <w:tc>
          <w:tcPr>
            <w:tcW w:w="823" w:type="pct"/>
            <w:tcBorders>
              <w:top w:val="single" w:color="000000" w:sz="4" w:space="0"/>
              <w:left w:val="single" w:color="000000" w:sz="4" w:space="0"/>
              <w:bottom w:val="single" w:color="000000" w:sz="4" w:space="0"/>
              <w:right w:val="single" w:color="000000" w:sz="4" w:space="0"/>
            </w:tcBorders>
            <w:noWrap w:val="0"/>
            <w:vAlign w:val="top"/>
          </w:tcPr>
          <w:p w14:paraId="40432357">
            <w:pPr>
              <w:rPr>
                <w:rFonts w:hint="eastAsia" w:ascii="华文宋体" w:hAnsi="华文宋体" w:eastAsia="华文宋体" w:cs="华文宋体"/>
                <w:color w:val="auto"/>
                <w:highlight w:val="none"/>
                <w:lang w:val="en-US" w:eastAsia="zh-CN"/>
              </w:rPr>
            </w:pPr>
            <w:r>
              <w:rPr>
                <w:rFonts w:hint="eastAsia" w:ascii="华文宋体" w:hAnsi="华文宋体" w:eastAsia="华文宋体" w:cs="华文宋体"/>
                <w:color w:val="auto"/>
                <w:highlight w:val="none"/>
                <w:lang w:val="en-US" w:eastAsia="zh-CN"/>
              </w:rPr>
              <w:t>1.全流程自动化离心微流控外泌体分离设备样机1台及全套设计图纸、工艺文件。</w:t>
            </w:r>
          </w:p>
          <w:p w14:paraId="2A8CA53A">
            <w:pPr>
              <w:rPr>
                <w:rFonts w:hint="eastAsia" w:ascii="华文宋体" w:hAnsi="华文宋体" w:eastAsia="华文宋体" w:cs="华文宋体"/>
                <w:color w:val="auto"/>
                <w:highlight w:val="none"/>
                <w:lang w:val="en-US" w:eastAsia="zh-CN"/>
              </w:rPr>
            </w:pPr>
            <w:r>
              <w:rPr>
                <w:rFonts w:hint="eastAsia" w:ascii="华文宋体" w:hAnsi="华文宋体" w:eastAsia="华文宋体" w:cs="华文宋体"/>
                <w:color w:val="auto"/>
                <w:highlight w:val="none"/>
                <w:lang w:val="en-US" w:eastAsia="zh-CN"/>
              </w:rPr>
              <w:t>2.芯片高精度微结构制造、纳米膜-芯片一体化键合、非特异性吸附抑制等关键技术解决方案及实验数据报告。</w:t>
            </w:r>
          </w:p>
          <w:p w14:paraId="0122CDA7">
            <w:pPr>
              <w:rPr>
                <w:rFonts w:hint="eastAsia" w:ascii="华文宋体" w:hAnsi="华文宋体" w:eastAsia="华文宋体" w:cs="华文宋体"/>
                <w:color w:val="auto"/>
                <w:highlight w:val="none"/>
                <w:lang w:val="en-US" w:eastAsia="zh-CN"/>
              </w:rPr>
            </w:pPr>
            <w:r>
              <w:rPr>
                <w:rFonts w:hint="eastAsia" w:ascii="华文宋体" w:hAnsi="华文宋体" w:eastAsia="华文宋体" w:cs="华文宋体"/>
                <w:color w:val="auto"/>
                <w:highlight w:val="none"/>
                <w:lang w:val="en-US" w:eastAsia="zh-CN"/>
              </w:rPr>
              <w:t>3.设备操作软件及控制系统源代码。</w:t>
            </w:r>
          </w:p>
          <w:p w14:paraId="682408B9">
            <w:pPr>
              <w:rPr>
                <w:rFonts w:hint="eastAsia" w:ascii="华文宋体" w:hAnsi="华文宋体" w:eastAsia="华文宋体" w:cs="华文宋体"/>
                <w:color w:val="auto"/>
                <w:highlight w:val="none"/>
                <w:lang w:val="en-US" w:eastAsia="zh-CN"/>
              </w:rPr>
            </w:pPr>
            <w:r>
              <w:rPr>
                <w:rFonts w:hint="eastAsia" w:ascii="华文宋体" w:hAnsi="华文宋体" w:eastAsia="华文宋体" w:cs="华文宋体"/>
                <w:color w:val="auto"/>
                <w:highlight w:val="none"/>
                <w:lang w:val="en-US" w:eastAsia="zh-CN"/>
              </w:rPr>
              <w:t>4.相关发明专利申报文件≥2项。</w:t>
            </w:r>
          </w:p>
          <w:p w14:paraId="62C67402">
            <w:pPr>
              <w:rPr>
                <w:rFonts w:hint="eastAsia" w:ascii="华文宋体" w:hAnsi="华文宋体" w:eastAsia="华文宋体" w:cs="华文宋体"/>
                <w:color w:val="auto"/>
                <w:highlight w:val="none"/>
                <w:lang w:val="en-US" w:eastAsia="zh-CN"/>
              </w:rPr>
            </w:pPr>
            <w:r>
              <w:rPr>
                <w:rFonts w:hint="eastAsia" w:ascii="华文宋体" w:hAnsi="华文宋体" w:eastAsia="华文宋体" w:cs="华文宋体"/>
                <w:color w:val="auto"/>
                <w:highlight w:val="none"/>
                <w:lang w:val="en-US" w:eastAsia="zh-CN"/>
              </w:rPr>
              <w:t>5.设备试用验证报告及第三方检测报告。</w:t>
            </w:r>
          </w:p>
          <w:p w14:paraId="41ECF6CB">
            <w:pPr>
              <w:rPr>
                <w:rFonts w:hint="eastAsia" w:ascii="华文宋体" w:hAnsi="华文宋体" w:eastAsia="华文宋体" w:cs="华文宋体"/>
                <w:color w:val="auto"/>
                <w:highlight w:val="none"/>
                <w:lang w:eastAsia="zh-CN"/>
              </w:rPr>
            </w:pPr>
          </w:p>
        </w:tc>
        <w:tc>
          <w:tcPr>
            <w:tcW w:w="316" w:type="pct"/>
            <w:tcBorders>
              <w:top w:val="single" w:color="000000" w:sz="4" w:space="0"/>
              <w:left w:val="single" w:color="000000" w:sz="4" w:space="0"/>
              <w:bottom w:val="single" w:color="000000" w:sz="4" w:space="0"/>
              <w:right w:val="single" w:color="000000" w:sz="4" w:space="0"/>
            </w:tcBorders>
            <w:noWrap w:val="0"/>
            <w:vAlign w:val="top"/>
          </w:tcPr>
          <w:p w14:paraId="6E9C13F5">
            <w:pPr>
              <w:rPr>
                <w:rFonts w:hint="eastAsia" w:ascii="华文宋体" w:hAnsi="华文宋体" w:eastAsia="华文宋体" w:cs="华文宋体"/>
                <w:color w:val="auto"/>
                <w:highlight w:val="none"/>
              </w:rPr>
            </w:pPr>
            <w:r>
              <w:rPr>
                <w:rFonts w:hint="eastAsia" w:ascii="华文宋体" w:hAnsi="华文宋体" w:eastAsia="华文宋体" w:cs="华文宋体"/>
                <w:color w:val="auto"/>
                <w:highlight w:val="none"/>
                <w:lang w:val="en-US" w:eastAsia="zh-CN"/>
              </w:rPr>
              <w:t>雷炳旭18737131067</w:t>
            </w:r>
          </w:p>
        </w:tc>
        <w:tc>
          <w:tcPr>
            <w:tcW w:w="238" w:type="pct"/>
            <w:tcBorders>
              <w:top w:val="single" w:color="000000" w:sz="4" w:space="0"/>
              <w:left w:val="single" w:color="000000" w:sz="4" w:space="0"/>
              <w:bottom w:val="single" w:color="000000" w:sz="4" w:space="0"/>
              <w:right w:val="single" w:color="000000" w:sz="4" w:space="0"/>
            </w:tcBorders>
            <w:noWrap w:val="0"/>
            <w:vAlign w:val="top"/>
          </w:tcPr>
          <w:p w14:paraId="16A3A988">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郑东新区</w:t>
            </w:r>
          </w:p>
        </w:tc>
      </w:tr>
      <w:tr w14:paraId="69D11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69" w:hRule="atLeast"/>
        </w:trPr>
        <w:tc>
          <w:tcPr>
            <w:tcW w:w="181" w:type="pct"/>
            <w:tcBorders>
              <w:top w:val="single" w:color="000000" w:sz="4" w:space="0"/>
              <w:left w:val="single" w:color="000000" w:sz="4" w:space="0"/>
              <w:bottom w:val="single" w:color="000000" w:sz="4" w:space="0"/>
              <w:right w:val="single" w:color="000000" w:sz="4" w:space="0"/>
            </w:tcBorders>
            <w:noWrap w:val="0"/>
            <w:vAlign w:val="center"/>
          </w:tcPr>
          <w:p w14:paraId="4B3F0FF6">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eastAsia" w:ascii="宋体" w:hAnsi="宋体" w:eastAsia="宋体" w:cs="宋体"/>
                <w:i w:val="0"/>
                <w:iCs w:val="0"/>
                <w:color w:val="auto"/>
                <w:sz w:val="21"/>
                <w:szCs w:val="21"/>
                <w:highlight w:val="none"/>
                <w:u w:val="none"/>
              </w:rPr>
            </w:pPr>
            <w:r>
              <w:rPr>
                <w:rFonts w:hint="eastAsia" w:ascii="宋体" w:hAnsi="宋体" w:cs="宋体"/>
                <w:i w:val="0"/>
                <w:iCs w:val="0"/>
                <w:color w:val="auto"/>
                <w:kern w:val="0"/>
                <w:sz w:val="21"/>
                <w:szCs w:val="21"/>
                <w:highlight w:val="none"/>
                <w:u w:val="none"/>
                <w:lang w:val="en-US" w:eastAsia="zh-CN" w:bidi="ar"/>
              </w:rPr>
              <w:t>2</w:t>
            </w:r>
          </w:p>
        </w:tc>
        <w:tc>
          <w:tcPr>
            <w:tcW w:w="446" w:type="pct"/>
            <w:tcBorders>
              <w:top w:val="single" w:color="000000" w:sz="4" w:space="0"/>
              <w:left w:val="single" w:color="000000" w:sz="4" w:space="0"/>
              <w:bottom w:val="single" w:color="000000" w:sz="4" w:space="0"/>
              <w:right w:val="single" w:color="000000" w:sz="4" w:space="0"/>
            </w:tcBorders>
            <w:noWrap w:val="0"/>
            <w:vAlign w:val="top"/>
          </w:tcPr>
          <w:p w14:paraId="21291AAD">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地塞米松棕榈酸酯注射液研究开发及产业化</w:t>
            </w:r>
          </w:p>
        </w:tc>
        <w:tc>
          <w:tcPr>
            <w:tcW w:w="276" w:type="pct"/>
            <w:tcBorders>
              <w:top w:val="single" w:color="000000" w:sz="4" w:space="0"/>
              <w:left w:val="single" w:color="000000" w:sz="4" w:space="0"/>
              <w:bottom w:val="single" w:color="000000" w:sz="4" w:space="0"/>
              <w:right w:val="single" w:color="000000" w:sz="4" w:space="0"/>
            </w:tcBorders>
            <w:noWrap w:val="0"/>
            <w:vAlign w:val="top"/>
          </w:tcPr>
          <w:p w14:paraId="2A005E7D">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生物技术与医药领域</w:t>
            </w:r>
            <w:r>
              <w:rPr>
                <w:rFonts w:hint="eastAsia" w:ascii="宋体" w:hAnsi="宋体" w:cs="宋体"/>
                <w:i w:val="0"/>
                <w:iCs w:val="0"/>
                <w:color w:val="auto"/>
                <w:kern w:val="0"/>
                <w:sz w:val="21"/>
                <w:szCs w:val="21"/>
                <w:highlight w:val="none"/>
                <w:u w:val="none"/>
                <w:lang w:val="en-US" w:eastAsia="zh-CN" w:bidi="ar"/>
              </w:rPr>
              <w:t>-</w:t>
            </w:r>
            <w:r>
              <w:rPr>
                <w:rFonts w:hint="eastAsia" w:ascii="宋体" w:hAnsi="宋体" w:eastAsia="宋体" w:cs="宋体"/>
                <w:i w:val="0"/>
                <w:iCs w:val="0"/>
                <w:color w:val="auto"/>
                <w:kern w:val="0"/>
                <w:sz w:val="21"/>
                <w:szCs w:val="21"/>
                <w:highlight w:val="none"/>
                <w:u w:val="none"/>
                <w:lang w:val="en-US" w:eastAsia="zh-CN" w:bidi="ar"/>
              </w:rPr>
              <w:t>生物医药及医疗器械</w:t>
            </w:r>
          </w:p>
        </w:tc>
        <w:tc>
          <w:tcPr>
            <w:tcW w:w="788" w:type="pct"/>
            <w:tcBorders>
              <w:top w:val="single" w:color="000000" w:sz="4" w:space="0"/>
              <w:left w:val="single" w:color="000000" w:sz="4" w:space="0"/>
              <w:bottom w:val="single" w:color="000000" w:sz="4" w:space="0"/>
              <w:right w:val="single" w:color="000000" w:sz="4" w:space="0"/>
            </w:tcBorders>
            <w:noWrap w:val="0"/>
            <w:vAlign w:val="top"/>
          </w:tcPr>
          <w:p w14:paraId="3F269F05">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本项目攻关的地塞米松棕榈酸酯注射液纳米脂肪乳制备及质控技术，是高端复杂注射剂领域共性“卡脖子”技术。国内存在纳米粒径调控精度不足、批间差异大、终端灭菌易破乳分层、全流程充氮抗氧化工艺不成熟等技术瓶颈，产品关键指标难以对标原研，严重制约该品种国产化与高端脂肪乳制剂产业发展。项目通过处方优化、工艺升级、全流程防护与标准化质控体系建设，攻克核心技术难题，稳定产品质量与工艺重现性，实现自研产品与原研药学一致、生物等效，彻底突破国产化技术壁垒。</w:t>
            </w:r>
          </w:p>
        </w:tc>
        <w:tc>
          <w:tcPr>
            <w:tcW w:w="1057" w:type="pct"/>
            <w:tcBorders>
              <w:top w:val="single" w:color="000000" w:sz="4" w:space="0"/>
              <w:left w:val="single" w:color="000000" w:sz="4" w:space="0"/>
              <w:bottom w:val="single" w:color="000000" w:sz="4" w:space="0"/>
              <w:right w:val="single" w:color="000000" w:sz="4" w:space="0"/>
            </w:tcBorders>
            <w:noWrap w:val="0"/>
            <w:vAlign w:val="top"/>
          </w:tcPr>
          <w:p w14:paraId="21DEBBA8">
            <w:pPr>
              <w:rPr>
                <w:rFonts w:hint="eastAsia"/>
                <w:color w:val="auto"/>
                <w:highlight w:val="none"/>
              </w:rPr>
            </w:pPr>
            <w:r>
              <w:rPr>
                <w:rFonts w:hint="eastAsia"/>
                <w:color w:val="auto"/>
                <w:highlight w:val="none"/>
                <w:lang w:val="en-US" w:eastAsia="zh-CN"/>
              </w:rPr>
              <w:t>1.</w:t>
            </w:r>
            <w:r>
              <w:rPr>
                <w:rFonts w:hint="eastAsia"/>
                <w:color w:val="auto"/>
                <w:highlight w:val="none"/>
              </w:rPr>
              <w:t>改建年产300万支自动化专用生产线</w:t>
            </w:r>
            <w:r>
              <w:rPr>
                <w:rFonts w:hint="eastAsia"/>
                <w:color w:val="auto"/>
                <w:highlight w:val="none"/>
                <w:lang w:val="en-US" w:eastAsia="zh-CN"/>
              </w:rPr>
              <w:t>1条</w:t>
            </w:r>
            <w:r>
              <w:rPr>
                <w:rFonts w:hint="eastAsia"/>
                <w:color w:val="auto"/>
                <w:highlight w:val="none"/>
              </w:rPr>
              <w:t>，实现本地化量产</w:t>
            </w:r>
            <w:r>
              <w:rPr>
                <w:rFonts w:hint="eastAsia"/>
                <w:color w:val="auto"/>
                <w:highlight w:val="none"/>
                <w:lang w:eastAsia="zh-CN"/>
              </w:rPr>
              <w:t>，</w:t>
            </w:r>
            <w:r>
              <w:rPr>
                <w:rFonts w:hint="eastAsia"/>
                <w:color w:val="auto"/>
                <w:highlight w:val="none"/>
              </w:rPr>
              <w:t>年销售额6000万元，新增利税2000万元，其中利润1200万元，新增就业岗位10个。</w:t>
            </w:r>
          </w:p>
          <w:p w14:paraId="5C0DDCDD">
            <w:pPr>
              <w:rPr>
                <w:rFonts w:hint="eastAsia"/>
                <w:color w:val="auto"/>
                <w:highlight w:val="none"/>
              </w:rPr>
            </w:pPr>
            <w:r>
              <w:rPr>
                <w:rFonts w:hint="eastAsia"/>
                <w:color w:val="auto"/>
                <w:highlight w:val="none"/>
                <w:lang w:val="en-US" w:eastAsia="zh-CN"/>
              </w:rPr>
              <w:t>2.</w:t>
            </w:r>
            <w:r>
              <w:rPr>
                <w:rFonts w:hint="eastAsia"/>
                <w:color w:val="auto"/>
                <w:highlight w:val="none"/>
              </w:rPr>
              <w:t>技术参数:(1)粒径指标:平均粒径0.25-0.40微米,90%累计粒径&lt;0.6微米，PDI&lt;0.1，批间RSD&lt;10%。(2)游离脂肪酸&lt;5mEq每升，过氧化物&lt;0.5mEg每升,甲氧基苯胺值&lt;5.0，磷脂含量0.40-0.50mg磷/ml。</w:t>
            </w:r>
          </w:p>
          <w:p w14:paraId="04A4D21A">
            <w:pPr>
              <w:rPr>
                <w:rFonts w:hint="eastAsia" w:ascii="宋体" w:hAnsi="宋体" w:eastAsia="宋体" w:cs="宋体"/>
                <w:i w:val="0"/>
                <w:iCs w:val="0"/>
                <w:color w:val="auto"/>
                <w:sz w:val="21"/>
                <w:szCs w:val="21"/>
                <w:highlight w:val="none"/>
                <w:u w:val="none"/>
              </w:rPr>
            </w:pPr>
            <w:r>
              <w:rPr>
                <w:rFonts w:hint="eastAsia"/>
                <w:color w:val="auto"/>
                <w:highlight w:val="none"/>
              </w:rPr>
              <w:t>(3)地塞米松有关物质&lt;0.5%，单杂&lt;0.5%，总杂&lt;1.0%，含量98.0%-102.0%。(4)BE与原研一致。</w:t>
            </w:r>
          </w:p>
        </w:tc>
        <w:tc>
          <w:tcPr>
            <w:tcW w:w="225" w:type="pct"/>
            <w:tcBorders>
              <w:top w:val="single" w:color="000000" w:sz="4" w:space="0"/>
              <w:left w:val="single" w:color="000000" w:sz="4" w:space="0"/>
              <w:bottom w:val="single" w:color="000000" w:sz="4" w:space="0"/>
              <w:right w:val="single" w:color="000000" w:sz="4" w:space="0"/>
            </w:tcBorders>
            <w:noWrap w:val="0"/>
            <w:vAlign w:val="top"/>
          </w:tcPr>
          <w:p w14:paraId="3381374A">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遂成药业股份有限公司</w:t>
            </w:r>
          </w:p>
        </w:tc>
        <w:tc>
          <w:tcPr>
            <w:tcW w:w="202" w:type="pct"/>
            <w:tcBorders>
              <w:top w:val="single" w:color="000000" w:sz="4" w:space="0"/>
              <w:left w:val="single" w:color="000000" w:sz="4" w:space="0"/>
              <w:bottom w:val="single" w:color="000000" w:sz="4" w:space="0"/>
              <w:right w:val="single" w:color="000000" w:sz="4" w:space="0"/>
            </w:tcBorders>
            <w:noWrap w:val="0"/>
            <w:vAlign w:val="top"/>
          </w:tcPr>
          <w:p w14:paraId="13C27F78">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700</w:t>
            </w:r>
          </w:p>
        </w:tc>
        <w:tc>
          <w:tcPr>
            <w:tcW w:w="238" w:type="pct"/>
            <w:tcBorders>
              <w:top w:val="single" w:color="000000" w:sz="4" w:space="0"/>
              <w:left w:val="single" w:color="000000" w:sz="4" w:space="0"/>
              <w:bottom w:val="single" w:color="000000" w:sz="4" w:space="0"/>
              <w:right w:val="single" w:color="000000" w:sz="4" w:space="0"/>
            </w:tcBorders>
            <w:noWrap w:val="0"/>
            <w:vAlign w:val="top"/>
          </w:tcPr>
          <w:p w14:paraId="2DF423D1">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cs="宋体"/>
                <w:i w:val="0"/>
                <w:iCs w:val="0"/>
                <w:color w:val="auto"/>
                <w:kern w:val="0"/>
                <w:sz w:val="21"/>
                <w:szCs w:val="21"/>
                <w:highlight w:val="none"/>
                <w:u w:val="none"/>
                <w:lang w:val="en-US" w:eastAsia="zh-CN" w:bidi="ar"/>
              </w:rPr>
              <w:t>700</w:t>
            </w:r>
          </w:p>
        </w:tc>
        <w:tc>
          <w:tcPr>
            <w:tcW w:w="202" w:type="pct"/>
            <w:tcBorders>
              <w:top w:val="single" w:color="000000" w:sz="4" w:space="0"/>
              <w:left w:val="single" w:color="000000" w:sz="4" w:space="0"/>
              <w:bottom w:val="single" w:color="000000" w:sz="4" w:space="0"/>
              <w:right w:val="single" w:color="000000" w:sz="4" w:space="0"/>
            </w:tcBorders>
            <w:noWrap w:val="0"/>
            <w:vAlign w:val="top"/>
          </w:tcPr>
          <w:p w14:paraId="5E19D408">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2</w:t>
            </w:r>
          </w:p>
        </w:tc>
        <w:tc>
          <w:tcPr>
            <w:tcW w:w="823" w:type="pct"/>
            <w:tcBorders>
              <w:top w:val="single" w:color="000000" w:sz="4" w:space="0"/>
              <w:left w:val="single" w:color="000000" w:sz="4" w:space="0"/>
              <w:bottom w:val="single" w:color="000000" w:sz="4" w:space="0"/>
              <w:right w:val="single" w:color="000000" w:sz="4" w:space="0"/>
            </w:tcBorders>
            <w:noWrap w:val="0"/>
            <w:vAlign w:val="top"/>
          </w:tcPr>
          <w:p w14:paraId="1570901A">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default"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产品注册受理通知单1项、专利受理通知书1项、产品工艺规程及质量标准、全套药学注册资料及中试检验报告、科技成果鉴定1项。</w:t>
            </w:r>
          </w:p>
          <w:p w14:paraId="6B1EC1AC">
            <w:pPr>
              <w:numPr>
                <w:ilvl w:val="0"/>
                <w:numId w:val="0"/>
              </w:numPr>
              <w:ind w:left="0" w:leftChars="0" w:firstLine="0" w:firstLineChars="0"/>
              <w:rPr>
                <w:rFonts w:hint="eastAsia" w:ascii="宋体" w:hAnsi="宋体" w:eastAsia="宋体" w:cs="宋体"/>
                <w:i w:val="0"/>
                <w:iCs w:val="0"/>
                <w:color w:val="auto"/>
                <w:sz w:val="21"/>
                <w:szCs w:val="21"/>
                <w:highlight w:val="none"/>
                <w:u w:val="none"/>
              </w:rPr>
            </w:pPr>
          </w:p>
        </w:tc>
        <w:tc>
          <w:tcPr>
            <w:tcW w:w="316" w:type="pct"/>
            <w:tcBorders>
              <w:top w:val="single" w:color="000000" w:sz="4" w:space="0"/>
              <w:left w:val="single" w:color="000000" w:sz="4" w:space="0"/>
              <w:bottom w:val="single" w:color="000000" w:sz="4" w:space="0"/>
              <w:right w:val="single" w:color="000000" w:sz="4" w:space="0"/>
            </w:tcBorders>
            <w:noWrap w:val="0"/>
            <w:vAlign w:val="top"/>
          </w:tcPr>
          <w:p w14:paraId="3BEA964E">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王孟林13633811091</w:t>
            </w:r>
          </w:p>
        </w:tc>
        <w:tc>
          <w:tcPr>
            <w:tcW w:w="238" w:type="pct"/>
            <w:tcBorders>
              <w:top w:val="single" w:color="000000" w:sz="4" w:space="0"/>
              <w:left w:val="single" w:color="000000" w:sz="4" w:space="0"/>
              <w:bottom w:val="single" w:color="000000" w:sz="4" w:space="0"/>
              <w:right w:val="single" w:color="000000" w:sz="4" w:space="0"/>
            </w:tcBorders>
            <w:noWrap w:val="0"/>
            <w:vAlign w:val="top"/>
          </w:tcPr>
          <w:p w14:paraId="14BE4405">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新郑市</w:t>
            </w:r>
          </w:p>
        </w:tc>
      </w:tr>
      <w:tr w14:paraId="47EA53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65" w:hRule="atLeast"/>
        </w:trPr>
        <w:tc>
          <w:tcPr>
            <w:tcW w:w="181" w:type="pct"/>
            <w:tcBorders>
              <w:top w:val="single" w:color="000000" w:sz="4" w:space="0"/>
              <w:left w:val="single" w:color="000000" w:sz="4" w:space="0"/>
              <w:bottom w:val="single" w:color="000000" w:sz="4" w:space="0"/>
              <w:right w:val="single" w:color="000000" w:sz="4" w:space="0"/>
            </w:tcBorders>
            <w:noWrap w:val="0"/>
            <w:vAlign w:val="center"/>
          </w:tcPr>
          <w:p w14:paraId="49E8DE18">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eastAsia" w:ascii="宋体" w:hAnsi="宋体" w:eastAsia="宋体" w:cs="宋体"/>
                <w:i w:val="0"/>
                <w:iCs w:val="0"/>
                <w:color w:val="auto"/>
                <w:sz w:val="21"/>
                <w:szCs w:val="21"/>
                <w:highlight w:val="none"/>
                <w:u w:val="none"/>
              </w:rPr>
            </w:pPr>
            <w:r>
              <w:rPr>
                <w:rFonts w:hint="eastAsia" w:ascii="宋体" w:hAnsi="宋体" w:cs="宋体"/>
                <w:i w:val="0"/>
                <w:iCs w:val="0"/>
                <w:color w:val="auto"/>
                <w:kern w:val="0"/>
                <w:sz w:val="21"/>
                <w:szCs w:val="21"/>
                <w:highlight w:val="none"/>
                <w:u w:val="none"/>
                <w:lang w:val="en-US" w:eastAsia="zh-CN" w:bidi="ar"/>
              </w:rPr>
              <w:t>3</w:t>
            </w:r>
          </w:p>
        </w:tc>
        <w:tc>
          <w:tcPr>
            <w:tcW w:w="446" w:type="pct"/>
            <w:tcBorders>
              <w:top w:val="single" w:color="000000" w:sz="4" w:space="0"/>
              <w:left w:val="single" w:color="000000" w:sz="4" w:space="0"/>
              <w:bottom w:val="single" w:color="000000" w:sz="4" w:space="0"/>
              <w:right w:val="single" w:color="000000" w:sz="4" w:space="0"/>
            </w:tcBorders>
            <w:noWrap w:val="0"/>
            <w:vAlign w:val="top"/>
          </w:tcPr>
          <w:p w14:paraId="10F38D9D">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IgA1肾炎细胞治疗药物研发</w:t>
            </w:r>
          </w:p>
        </w:tc>
        <w:tc>
          <w:tcPr>
            <w:tcW w:w="276" w:type="pct"/>
            <w:tcBorders>
              <w:top w:val="single" w:color="000000" w:sz="4" w:space="0"/>
              <w:left w:val="single" w:color="000000" w:sz="4" w:space="0"/>
              <w:bottom w:val="single" w:color="000000" w:sz="4" w:space="0"/>
              <w:right w:val="single" w:color="000000" w:sz="4" w:space="0"/>
            </w:tcBorders>
            <w:noWrap w:val="0"/>
            <w:vAlign w:val="top"/>
          </w:tcPr>
          <w:p w14:paraId="70D1E4B0">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生物技术与医药领域,生物医药及医疗器械</w:t>
            </w:r>
          </w:p>
        </w:tc>
        <w:tc>
          <w:tcPr>
            <w:tcW w:w="788" w:type="pct"/>
            <w:tcBorders>
              <w:top w:val="single" w:color="000000" w:sz="4" w:space="0"/>
              <w:left w:val="single" w:color="000000" w:sz="4" w:space="0"/>
              <w:bottom w:val="single" w:color="000000" w:sz="4" w:space="0"/>
              <w:right w:val="single" w:color="000000" w:sz="4" w:space="0"/>
            </w:tcBorders>
            <w:noWrap w:val="0"/>
            <w:vAlign w:val="top"/>
          </w:tcPr>
          <w:p w14:paraId="5A6FC5E9">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本项目聚焦IgA1肾炎根治性细胞治疗药物研发，核心技术难题突出。一是精准靶向难题，需高效构建GD-IgA1 B细胞NK细胞衔接器并验证活性，设计IgA1-CAR-NK细胞，实现对阳性B细胞的特异性靶向清除，技术门槛高。二是成药性优化难题，需同步平衡候选药物药效、安全性及药代动力学特性，三者协同达标难度大。三是产业化瓶颈，缺乏稳定可放大的CAR-NK细胞及衔接器生产工艺，CMC中试放大、GMP合规样品制备技术不成熟。四是研发衔接难题，临床前研究到IND申报全流程技术体系不完善，知识产权布局薄弱，制约药物研发推进与落地。</w:t>
            </w:r>
          </w:p>
        </w:tc>
        <w:tc>
          <w:tcPr>
            <w:tcW w:w="1057" w:type="pct"/>
            <w:tcBorders>
              <w:top w:val="single" w:color="000000" w:sz="4" w:space="0"/>
              <w:left w:val="single" w:color="000000" w:sz="4" w:space="0"/>
              <w:bottom w:val="single" w:color="000000" w:sz="4" w:space="0"/>
              <w:right w:val="single" w:color="000000" w:sz="4" w:space="0"/>
            </w:tcBorders>
            <w:noWrap w:val="0"/>
            <w:vAlign w:val="top"/>
          </w:tcPr>
          <w:p w14:paraId="69038D56">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1.完成GD-IgA1 B细胞NK细胞衔接器构建与活性验证，开发IgA1-CAR-NK细胞，完成体内外GD-IgA1阳性B细胞靶向清除能力评估；完成候选药物药效、安全性、药代动力学一体化评价，实现三者协同达标。</w:t>
            </w:r>
          </w:p>
          <w:p w14:paraId="06CEFB21">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2.搭建稳定可放大CAR-NK细胞规模化生产工艺体系，完成CMC中试与GMP合规临床前样品制备，打通细胞药物产业化放大技术链路。</w:t>
            </w:r>
          </w:p>
          <w:p w14:paraId="3CFB9919">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3.完成全套临床前药理毒理、成药性综合评价，取得IND临床试验申报批件。</w:t>
            </w:r>
          </w:p>
          <w:p w14:paraId="2DCE35B7">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4.完成自主知识产权布局，申请发明专利3-5件，获得授权专利2-3件，形成完整项目技术研究报告。</w:t>
            </w:r>
          </w:p>
          <w:p w14:paraId="19BFB84A">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5.项目整体研发周期控制在2年内，按期落地全部技术攻关与产业化、申报相关工作。</w:t>
            </w:r>
          </w:p>
        </w:tc>
        <w:tc>
          <w:tcPr>
            <w:tcW w:w="225" w:type="pct"/>
            <w:tcBorders>
              <w:top w:val="single" w:color="000000" w:sz="4" w:space="0"/>
              <w:left w:val="single" w:color="000000" w:sz="4" w:space="0"/>
              <w:bottom w:val="single" w:color="000000" w:sz="4" w:space="0"/>
              <w:right w:val="single" w:color="000000" w:sz="4" w:space="0"/>
            </w:tcBorders>
            <w:noWrap w:val="0"/>
            <w:vAlign w:val="top"/>
          </w:tcPr>
          <w:p w14:paraId="30BDD793">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河南赛培生物科技有限公司</w:t>
            </w:r>
          </w:p>
        </w:tc>
        <w:tc>
          <w:tcPr>
            <w:tcW w:w="202" w:type="pct"/>
            <w:tcBorders>
              <w:top w:val="single" w:color="000000" w:sz="4" w:space="0"/>
              <w:left w:val="single" w:color="000000" w:sz="4" w:space="0"/>
              <w:bottom w:val="single" w:color="000000" w:sz="4" w:space="0"/>
              <w:right w:val="single" w:color="000000" w:sz="4" w:space="0"/>
            </w:tcBorders>
            <w:noWrap w:val="0"/>
            <w:vAlign w:val="top"/>
          </w:tcPr>
          <w:p w14:paraId="09282F9B">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1500</w:t>
            </w:r>
          </w:p>
        </w:tc>
        <w:tc>
          <w:tcPr>
            <w:tcW w:w="238" w:type="pct"/>
            <w:tcBorders>
              <w:top w:val="single" w:color="000000" w:sz="4" w:space="0"/>
              <w:left w:val="single" w:color="000000" w:sz="4" w:space="0"/>
              <w:bottom w:val="single" w:color="000000" w:sz="4" w:space="0"/>
              <w:right w:val="single" w:color="000000" w:sz="4" w:space="0"/>
            </w:tcBorders>
            <w:noWrap w:val="0"/>
            <w:vAlign w:val="top"/>
          </w:tcPr>
          <w:p w14:paraId="313963F5">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cs="宋体"/>
                <w:i w:val="0"/>
                <w:iCs w:val="0"/>
                <w:color w:val="auto"/>
                <w:kern w:val="0"/>
                <w:sz w:val="21"/>
                <w:szCs w:val="21"/>
                <w:highlight w:val="none"/>
                <w:u w:val="none"/>
                <w:lang w:val="en-US" w:eastAsia="zh-CN" w:bidi="ar"/>
              </w:rPr>
              <w:t>1500</w:t>
            </w:r>
          </w:p>
        </w:tc>
        <w:tc>
          <w:tcPr>
            <w:tcW w:w="202" w:type="pct"/>
            <w:tcBorders>
              <w:top w:val="single" w:color="000000" w:sz="4" w:space="0"/>
              <w:left w:val="single" w:color="000000" w:sz="4" w:space="0"/>
              <w:bottom w:val="single" w:color="000000" w:sz="4" w:space="0"/>
              <w:right w:val="single" w:color="000000" w:sz="4" w:space="0"/>
            </w:tcBorders>
            <w:noWrap w:val="0"/>
            <w:vAlign w:val="top"/>
          </w:tcPr>
          <w:p w14:paraId="1EFC9F75">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2</w:t>
            </w:r>
            <w:r>
              <w:rPr>
                <w:rFonts w:hint="eastAsia" w:ascii="宋体" w:hAnsi="宋体" w:cs="宋体"/>
                <w:i w:val="0"/>
                <w:iCs w:val="0"/>
                <w:color w:val="auto"/>
                <w:kern w:val="0"/>
                <w:sz w:val="21"/>
                <w:szCs w:val="21"/>
                <w:highlight w:val="none"/>
                <w:u w:val="none"/>
                <w:lang w:val="en-US" w:eastAsia="zh-CN" w:bidi="ar"/>
              </w:rPr>
              <w:t>年</w:t>
            </w:r>
          </w:p>
        </w:tc>
        <w:tc>
          <w:tcPr>
            <w:tcW w:w="823" w:type="pct"/>
            <w:tcBorders>
              <w:top w:val="single" w:color="000000" w:sz="4" w:space="0"/>
              <w:left w:val="single" w:color="000000" w:sz="4" w:space="0"/>
              <w:bottom w:val="single" w:color="000000" w:sz="4" w:space="0"/>
              <w:right w:val="single" w:color="000000" w:sz="4" w:space="0"/>
            </w:tcBorders>
            <w:noWrap w:val="0"/>
            <w:vAlign w:val="top"/>
          </w:tcPr>
          <w:p w14:paraId="6FD330E9">
            <w:pPr>
              <w:keepNext w:val="0"/>
              <w:keepLines w:val="0"/>
              <w:pageBreakBefore w:val="0"/>
              <w:widowControl/>
              <w:numPr>
                <w:ilvl w:val="0"/>
                <w:numId w:val="0"/>
              </w:numPr>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cs="宋体"/>
                <w:i w:val="0"/>
                <w:iCs w:val="0"/>
                <w:color w:val="auto"/>
                <w:kern w:val="0"/>
                <w:sz w:val="21"/>
                <w:szCs w:val="21"/>
                <w:highlight w:val="none"/>
                <w:u w:val="none"/>
                <w:lang w:val="en-US" w:eastAsia="zh-CN" w:bidi="ar"/>
              </w:rPr>
              <w:t>1.</w:t>
            </w:r>
            <w:r>
              <w:rPr>
                <w:rFonts w:hint="eastAsia" w:ascii="宋体" w:hAnsi="宋体" w:eastAsia="宋体" w:cs="宋体"/>
                <w:i w:val="0"/>
                <w:iCs w:val="0"/>
                <w:color w:val="auto"/>
                <w:kern w:val="0"/>
                <w:sz w:val="21"/>
                <w:szCs w:val="21"/>
                <w:highlight w:val="none"/>
                <w:u w:val="none"/>
                <w:lang w:val="en-US" w:eastAsia="zh-CN" w:bidi="ar"/>
              </w:rPr>
              <w:t>交付全套自主知识产权CAR-NK技术体系、双抗衔接器及成熟候选治疗药物</w:t>
            </w:r>
            <w:r>
              <w:rPr>
                <w:rFonts w:hint="eastAsia" w:ascii="宋体" w:hAnsi="宋体" w:cs="宋体"/>
                <w:i w:val="0"/>
                <w:iCs w:val="0"/>
                <w:color w:val="auto"/>
                <w:kern w:val="0"/>
                <w:sz w:val="21"/>
                <w:szCs w:val="21"/>
                <w:highlight w:val="none"/>
                <w:u w:val="none"/>
                <w:lang w:val="en-US" w:eastAsia="zh-CN" w:bidi="ar"/>
              </w:rPr>
              <w:t>。</w:t>
            </w:r>
          </w:p>
          <w:p w14:paraId="4F449A2D">
            <w:pPr>
              <w:keepNext w:val="0"/>
              <w:keepLines w:val="0"/>
              <w:pageBreakBefore w:val="0"/>
              <w:widowControl/>
              <w:numPr>
                <w:ilvl w:val="0"/>
                <w:numId w:val="0"/>
              </w:numPr>
              <w:suppressLineNumbers w:val="0"/>
              <w:kinsoku/>
              <w:wordWrap/>
              <w:overflowPunct/>
              <w:topLinePunct w:val="0"/>
              <w:autoSpaceDE/>
              <w:autoSpaceDN/>
              <w:bidi w:val="0"/>
              <w:adjustRightInd/>
              <w:snapToGrid/>
              <w:spacing w:line="280" w:lineRule="exact"/>
              <w:jc w:val="left"/>
              <w:textAlignment w:val="top"/>
              <w:rPr>
                <w:rFonts w:hint="eastAsia" w:ascii="宋体" w:hAnsi="宋体" w:cs="宋体"/>
                <w:i w:val="0"/>
                <w:iCs w:val="0"/>
                <w:color w:val="auto"/>
                <w:kern w:val="0"/>
                <w:sz w:val="21"/>
                <w:szCs w:val="21"/>
                <w:highlight w:val="none"/>
                <w:u w:val="none"/>
                <w:lang w:val="en-US" w:eastAsia="zh-CN" w:bidi="ar"/>
              </w:rPr>
            </w:pPr>
            <w:r>
              <w:rPr>
                <w:rFonts w:hint="eastAsia" w:ascii="宋体" w:hAnsi="宋体" w:cs="宋体"/>
                <w:i w:val="0"/>
                <w:iCs w:val="0"/>
                <w:color w:val="auto"/>
                <w:kern w:val="0"/>
                <w:sz w:val="21"/>
                <w:szCs w:val="21"/>
                <w:highlight w:val="none"/>
                <w:u w:val="none"/>
                <w:lang w:val="en-US" w:eastAsia="zh-CN" w:bidi="ar"/>
              </w:rPr>
              <w:t>2.</w:t>
            </w:r>
            <w:r>
              <w:rPr>
                <w:rFonts w:hint="eastAsia" w:ascii="宋体" w:hAnsi="宋体" w:eastAsia="宋体" w:cs="宋体"/>
                <w:i w:val="0"/>
                <w:iCs w:val="0"/>
                <w:color w:val="auto"/>
                <w:kern w:val="0"/>
                <w:sz w:val="21"/>
                <w:szCs w:val="21"/>
                <w:highlight w:val="none"/>
                <w:u w:val="none"/>
                <w:lang w:val="en-US" w:eastAsia="zh-CN" w:bidi="ar"/>
              </w:rPr>
              <w:t>完备的工业化生产工艺、CMC中试资料与GMP合规临床前样品；全套临床前评价资料及IND申报批件</w:t>
            </w:r>
            <w:r>
              <w:rPr>
                <w:rFonts w:hint="eastAsia" w:ascii="宋体" w:hAnsi="宋体" w:cs="宋体"/>
                <w:i w:val="0"/>
                <w:iCs w:val="0"/>
                <w:color w:val="auto"/>
                <w:kern w:val="0"/>
                <w:sz w:val="21"/>
                <w:szCs w:val="21"/>
                <w:highlight w:val="none"/>
                <w:u w:val="none"/>
                <w:lang w:val="en-US" w:eastAsia="zh-CN" w:bidi="ar"/>
              </w:rPr>
              <w:t>。</w:t>
            </w:r>
          </w:p>
          <w:p w14:paraId="2F6CEE52">
            <w:pPr>
              <w:keepNext w:val="0"/>
              <w:keepLines w:val="0"/>
              <w:pageBreakBefore w:val="0"/>
              <w:widowControl/>
              <w:numPr>
                <w:ilvl w:val="0"/>
                <w:numId w:val="0"/>
              </w:numPr>
              <w:suppressLineNumbers w:val="0"/>
              <w:kinsoku/>
              <w:wordWrap/>
              <w:overflowPunct/>
              <w:topLinePunct w:val="0"/>
              <w:autoSpaceDE/>
              <w:autoSpaceDN/>
              <w:bidi w:val="0"/>
              <w:adjustRightInd/>
              <w:snapToGrid/>
              <w:spacing w:line="280" w:lineRule="exact"/>
              <w:jc w:val="left"/>
              <w:textAlignment w:val="top"/>
              <w:rPr>
                <w:rFonts w:hint="eastAsia" w:ascii="宋体" w:hAnsi="宋体" w:cs="宋体"/>
                <w:i w:val="0"/>
                <w:iCs w:val="0"/>
                <w:color w:val="auto"/>
                <w:kern w:val="0"/>
                <w:sz w:val="21"/>
                <w:szCs w:val="21"/>
                <w:highlight w:val="none"/>
                <w:u w:val="none"/>
                <w:lang w:val="en-US" w:eastAsia="zh-CN" w:bidi="ar"/>
              </w:rPr>
            </w:pPr>
            <w:r>
              <w:rPr>
                <w:rFonts w:hint="eastAsia" w:ascii="宋体" w:hAnsi="宋体" w:cs="宋体"/>
                <w:i w:val="0"/>
                <w:iCs w:val="0"/>
                <w:color w:val="auto"/>
                <w:kern w:val="0"/>
                <w:sz w:val="21"/>
                <w:szCs w:val="21"/>
                <w:highlight w:val="none"/>
                <w:u w:val="none"/>
                <w:lang w:val="en-US" w:eastAsia="zh-CN" w:bidi="ar"/>
              </w:rPr>
              <w:t>3.</w:t>
            </w:r>
            <w:r>
              <w:rPr>
                <w:rFonts w:hint="eastAsia" w:ascii="宋体" w:hAnsi="宋体" w:eastAsia="宋体" w:cs="宋体"/>
                <w:i w:val="0"/>
                <w:iCs w:val="0"/>
                <w:color w:val="auto"/>
                <w:kern w:val="0"/>
                <w:sz w:val="21"/>
                <w:szCs w:val="21"/>
                <w:highlight w:val="none"/>
                <w:u w:val="none"/>
                <w:lang w:val="en-US" w:eastAsia="zh-CN" w:bidi="ar"/>
              </w:rPr>
              <w:t>不少于3项发明专利申请、1项授权发明专利</w:t>
            </w:r>
            <w:r>
              <w:rPr>
                <w:rFonts w:hint="eastAsia" w:ascii="宋体" w:hAnsi="宋体" w:cs="宋体"/>
                <w:i w:val="0"/>
                <w:iCs w:val="0"/>
                <w:color w:val="auto"/>
                <w:kern w:val="0"/>
                <w:sz w:val="21"/>
                <w:szCs w:val="21"/>
                <w:highlight w:val="none"/>
                <w:u w:val="none"/>
                <w:lang w:val="en-US" w:eastAsia="zh-CN" w:bidi="ar"/>
              </w:rPr>
              <w:t>。</w:t>
            </w:r>
          </w:p>
          <w:p w14:paraId="57E509D5">
            <w:pPr>
              <w:keepNext w:val="0"/>
              <w:keepLines w:val="0"/>
              <w:pageBreakBefore w:val="0"/>
              <w:widowControl/>
              <w:numPr>
                <w:ilvl w:val="0"/>
                <w:numId w:val="0"/>
              </w:numPr>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cs="宋体"/>
                <w:i w:val="0"/>
                <w:iCs w:val="0"/>
                <w:color w:val="auto"/>
                <w:kern w:val="0"/>
                <w:sz w:val="21"/>
                <w:szCs w:val="21"/>
                <w:highlight w:val="none"/>
                <w:u w:val="none"/>
                <w:lang w:val="en-US" w:eastAsia="zh-CN" w:bidi="ar"/>
              </w:rPr>
              <w:t>4.</w:t>
            </w:r>
            <w:r>
              <w:rPr>
                <w:rFonts w:hint="eastAsia" w:ascii="宋体" w:hAnsi="宋体" w:eastAsia="宋体" w:cs="宋体"/>
                <w:i w:val="0"/>
                <w:iCs w:val="0"/>
                <w:color w:val="auto"/>
                <w:kern w:val="0"/>
                <w:sz w:val="21"/>
                <w:szCs w:val="21"/>
                <w:highlight w:val="none"/>
                <w:u w:val="none"/>
                <w:lang w:val="en-US" w:eastAsia="zh-CN" w:bidi="ar"/>
              </w:rPr>
              <w:t>完整的项目技术报告、原始实验数据及工艺操作规程。</w:t>
            </w:r>
          </w:p>
          <w:p w14:paraId="74BBD54F">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kern w:val="0"/>
                <w:sz w:val="21"/>
                <w:szCs w:val="21"/>
                <w:highlight w:val="none"/>
                <w:u w:val="none"/>
                <w:lang w:val="en-US" w:eastAsia="zh-CN" w:bidi="ar"/>
              </w:rPr>
            </w:pPr>
          </w:p>
          <w:p w14:paraId="737924A1">
            <w:pPr>
              <w:keepNext w:val="0"/>
              <w:keepLines w:val="0"/>
              <w:pageBreakBefore w:val="0"/>
              <w:widowControl/>
              <w:numPr>
                <w:ilvl w:val="0"/>
                <w:numId w:val="0"/>
              </w:numPr>
              <w:suppressLineNumbers w:val="0"/>
              <w:kinsoku/>
              <w:wordWrap/>
              <w:overflowPunct/>
              <w:topLinePunct w:val="0"/>
              <w:autoSpaceDE/>
              <w:autoSpaceDN/>
              <w:bidi w:val="0"/>
              <w:adjustRightInd/>
              <w:snapToGrid/>
              <w:spacing w:line="280" w:lineRule="exact"/>
              <w:ind w:left="0" w:leftChars="0" w:firstLine="0" w:firstLineChars="0"/>
              <w:jc w:val="left"/>
              <w:textAlignment w:val="top"/>
              <w:rPr>
                <w:rFonts w:hint="eastAsia" w:ascii="宋体" w:hAnsi="宋体" w:eastAsia="宋体" w:cs="宋体"/>
                <w:i w:val="0"/>
                <w:iCs w:val="0"/>
                <w:color w:val="auto"/>
                <w:sz w:val="21"/>
                <w:szCs w:val="21"/>
                <w:highlight w:val="none"/>
                <w:u w:val="none"/>
              </w:rPr>
            </w:pPr>
          </w:p>
        </w:tc>
        <w:tc>
          <w:tcPr>
            <w:tcW w:w="316" w:type="pct"/>
            <w:tcBorders>
              <w:top w:val="single" w:color="000000" w:sz="4" w:space="0"/>
              <w:left w:val="single" w:color="000000" w:sz="4" w:space="0"/>
              <w:bottom w:val="single" w:color="000000" w:sz="4" w:space="0"/>
              <w:right w:val="single" w:color="000000" w:sz="4" w:space="0"/>
            </w:tcBorders>
            <w:noWrap w:val="0"/>
            <w:vAlign w:val="top"/>
          </w:tcPr>
          <w:p w14:paraId="6E31155E">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邹璨15690889926</w:t>
            </w:r>
          </w:p>
        </w:tc>
        <w:tc>
          <w:tcPr>
            <w:tcW w:w="238" w:type="pct"/>
            <w:tcBorders>
              <w:top w:val="single" w:color="000000" w:sz="4" w:space="0"/>
              <w:left w:val="single" w:color="000000" w:sz="4" w:space="0"/>
              <w:bottom w:val="single" w:color="000000" w:sz="4" w:space="0"/>
              <w:right w:val="single" w:color="000000" w:sz="4" w:space="0"/>
            </w:tcBorders>
            <w:noWrap w:val="0"/>
            <w:vAlign w:val="top"/>
          </w:tcPr>
          <w:p w14:paraId="3FB9B65A">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航空港</w:t>
            </w:r>
          </w:p>
        </w:tc>
      </w:tr>
      <w:tr w14:paraId="07AE6A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4" w:hRule="atLeast"/>
        </w:trPr>
        <w:tc>
          <w:tcPr>
            <w:tcW w:w="181" w:type="pct"/>
            <w:tcBorders>
              <w:top w:val="single" w:color="000000" w:sz="4" w:space="0"/>
              <w:left w:val="single" w:color="000000" w:sz="4" w:space="0"/>
              <w:bottom w:val="single" w:color="000000" w:sz="4" w:space="0"/>
              <w:right w:val="single" w:color="000000" w:sz="4" w:space="0"/>
            </w:tcBorders>
            <w:noWrap w:val="0"/>
            <w:vAlign w:val="center"/>
          </w:tcPr>
          <w:p w14:paraId="0F9DFCAA">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eastAsia" w:ascii="宋体" w:hAnsi="宋体" w:eastAsia="宋体" w:cs="宋体"/>
                <w:i w:val="0"/>
                <w:iCs w:val="0"/>
                <w:color w:val="auto"/>
                <w:sz w:val="21"/>
                <w:szCs w:val="21"/>
                <w:highlight w:val="none"/>
                <w:u w:val="none"/>
              </w:rPr>
            </w:pPr>
            <w:r>
              <w:rPr>
                <w:rFonts w:hint="eastAsia" w:ascii="宋体" w:hAnsi="宋体" w:cs="宋体"/>
                <w:i w:val="0"/>
                <w:iCs w:val="0"/>
                <w:color w:val="auto"/>
                <w:kern w:val="0"/>
                <w:sz w:val="21"/>
                <w:szCs w:val="21"/>
                <w:highlight w:val="none"/>
                <w:u w:val="none"/>
                <w:lang w:val="en-US" w:eastAsia="zh-CN" w:bidi="ar"/>
              </w:rPr>
              <w:t>4</w:t>
            </w:r>
          </w:p>
        </w:tc>
        <w:tc>
          <w:tcPr>
            <w:tcW w:w="446" w:type="pct"/>
            <w:tcBorders>
              <w:top w:val="single" w:color="000000" w:sz="4" w:space="0"/>
              <w:left w:val="single" w:color="000000" w:sz="4" w:space="0"/>
              <w:bottom w:val="single" w:color="000000" w:sz="4" w:space="0"/>
              <w:right w:val="single" w:color="000000" w:sz="4" w:space="0"/>
            </w:tcBorders>
            <w:noWrap w:val="0"/>
            <w:vAlign w:val="top"/>
          </w:tcPr>
          <w:p w14:paraId="7442CF79">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豫产道地药材地黄等产地趁鲜切制加工关键技术研究及产业化</w:t>
            </w:r>
          </w:p>
        </w:tc>
        <w:tc>
          <w:tcPr>
            <w:tcW w:w="276" w:type="pct"/>
            <w:tcBorders>
              <w:top w:val="single" w:color="000000" w:sz="4" w:space="0"/>
              <w:left w:val="single" w:color="000000" w:sz="4" w:space="0"/>
              <w:bottom w:val="single" w:color="000000" w:sz="4" w:space="0"/>
              <w:right w:val="single" w:color="000000" w:sz="4" w:space="0"/>
            </w:tcBorders>
            <w:noWrap w:val="0"/>
            <w:vAlign w:val="top"/>
          </w:tcPr>
          <w:p w14:paraId="584BE7F4">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生物技术与医药领域,中医药传承创新</w:t>
            </w:r>
          </w:p>
        </w:tc>
        <w:tc>
          <w:tcPr>
            <w:tcW w:w="788" w:type="pct"/>
            <w:tcBorders>
              <w:top w:val="single" w:color="000000" w:sz="4" w:space="0"/>
              <w:left w:val="single" w:color="000000" w:sz="4" w:space="0"/>
              <w:bottom w:val="single" w:color="000000" w:sz="4" w:space="0"/>
              <w:right w:val="single" w:color="000000" w:sz="4" w:space="0"/>
            </w:tcBorders>
            <w:noWrap w:val="0"/>
            <w:vAlign w:val="top"/>
          </w:tcPr>
          <w:p w14:paraId="16AE5BEA">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针对地黄、山药、丹参等豫产道地药材，当前趁鲜切制存在四大技术难题：一是工艺参数不统一，缺乏最佳时机、厚度、温度等系统研究，影响质量稳定性；二是质量标准体系缺失，缺少特征图谱、含量限度等专属指标，制约标准化流通；三是加工与炮制一体化集成薄弱，连续生产装备及工艺匹配未突破，导致周期长、损失大、能耗高；四是产业化应用不足，缺乏全链条质控与追溯技术，难以规模化规范生产。本项目需攻克上述难题，建立地黄、山药、丹参等药材趁鲜切制技术规程及质量标准，并实现产业化示范。</w:t>
            </w:r>
          </w:p>
        </w:tc>
        <w:tc>
          <w:tcPr>
            <w:tcW w:w="1057" w:type="pct"/>
            <w:tcBorders>
              <w:top w:val="single" w:color="000000" w:sz="4" w:space="0"/>
              <w:left w:val="single" w:color="000000" w:sz="4" w:space="0"/>
              <w:bottom w:val="single" w:color="000000" w:sz="4" w:space="0"/>
              <w:right w:val="single" w:color="000000" w:sz="4" w:space="0"/>
            </w:tcBorders>
            <w:noWrap w:val="0"/>
            <w:vAlign w:val="top"/>
          </w:tcPr>
          <w:p w14:paraId="388C611F">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1.完成山药、地黄、牛膝、丹参、柴胡、板蓝根、白芷、黄精、皂角刺、猪苓等10种趁鲜切制中药材加工规范，形成产地加工技术规程；</w:t>
            </w:r>
          </w:p>
          <w:p w14:paraId="72BCABA3">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2.研究制定山药、地黄、牛膝、丹参、柴胡、板蓝根、白芷、黄精、皂角刺、猪苓等10种趁鲜切制中药材质量标准；</w:t>
            </w:r>
          </w:p>
          <w:p w14:paraId="652A0C3E">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3.建成山药、地黄、牛膝、丹参、柴胡等药材趁鲜切制加工产业化示范生产线。</w:t>
            </w:r>
          </w:p>
          <w:p w14:paraId="568B8C34">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p>
        </w:tc>
        <w:tc>
          <w:tcPr>
            <w:tcW w:w="225" w:type="pct"/>
            <w:tcBorders>
              <w:top w:val="single" w:color="000000" w:sz="4" w:space="0"/>
              <w:left w:val="single" w:color="000000" w:sz="4" w:space="0"/>
              <w:bottom w:val="single" w:color="000000" w:sz="4" w:space="0"/>
              <w:right w:val="single" w:color="000000" w:sz="4" w:space="0"/>
            </w:tcBorders>
            <w:noWrap w:val="0"/>
            <w:vAlign w:val="top"/>
          </w:tcPr>
          <w:p w14:paraId="5FECF1DA">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郑州瑞龙制药股份有限公司</w:t>
            </w:r>
          </w:p>
        </w:tc>
        <w:tc>
          <w:tcPr>
            <w:tcW w:w="202" w:type="pct"/>
            <w:tcBorders>
              <w:top w:val="single" w:color="000000" w:sz="4" w:space="0"/>
              <w:left w:val="single" w:color="000000" w:sz="4" w:space="0"/>
              <w:bottom w:val="single" w:color="000000" w:sz="4" w:space="0"/>
              <w:right w:val="single" w:color="000000" w:sz="4" w:space="0"/>
            </w:tcBorders>
            <w:noWrap w:val="0"/>
            <w:vAlign w:val="top"/>
          </w:tcPr>
          <w:p w14:paraId="73FF5126">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360</w:t>
            </w:r>
          </w:p>
        </w:tc>
        <w:tc>
          <w:tcPr>
            <w:tcW w:w="238" w:type="pct"/>
            <w:tcBorders>
              <w:top w:val="single" w:color="000000" w:sz="4" w:space="0"/>
              <w:left w:val="single" w:color="000000" w:sz="4" w:space="0"/>
              <w:bottom w:val="single" w:color="000000" w:sz="4" w:space="0"/>
              <w:right w:val="single" w:color="000000" w:sz="4" w:space="0"/>
            </w:tcBorders>
            <w:noWrap w:val="0"/>
            <w:vAlign w:val="top"/>
          </w:tcPr>
          <w:p w14:paraId="76BCA65A">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120</w:t>
            </w:r>
          </w:p>
        </w:tc>
        <w:tc>
          <w:tcPr>
            <w:tcW w:w="202" w:type="pct"/>
            <w:tcBorders>
              <w:top w:val="single" w:color="000000" w:sz="4" w:space="0"/>
              <w:left w:val="single" w:color="000000" w:sz="4" w:space="0"/>
              <w:bottom w:val="single" w:color="000000" w:sz="4" w:space="0"/>
              <w:right w:val="single" w:color="000000" w:sz="4" w:space="0"/>
            </w:tcBorders>
            <w:noWrap w:val="0"/>
            <w:vAlign w:val="top"/>
          </w:tcPr>
          <w:p w14:paraId="1EB0874C">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2年</w:t>
            </w:r>
          </w:p>
        </w:tc>
        <w:tc>
          <w:tcPr>
            <w:tcW w:w="823" w:type="pct"/>
            <w:tcBorders>
              <w:top w:val="single" w:color="000000" w:sz="4" w:space="0"/>
              <w:left w:val="single" w:color="000000" w:sz="4" w:space="0"/>
              <w:bottom w:val="single" w:color="000000" w:sz="4" w:space="0"/>
              <w:right w:val="single" w:color="000000" w:sz="4" w:space="0"/>
            </w:tcBorders>
            <w:noWrap w:val="0"/>
            <w:vAlign w:val="top"/>
          </w:tcPr>
          <w:p w14:paraId="3F14217C">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default" w:ascii="宋体" w:hAnsi="宋体" w:eastAsia="宋体" w:cs="宋体"/>
                <w:i w:val="0"/>
                <w:iCs w:val="0"/>
                <w:color w:val="auto"/>
                <w:kern w:val="0"/>
                <w:sz w:val="21"/>
                <w:szCs w:val="21"/>
                <w:highlight w:val="none"/>
                <w:u w:val="none"/>
                <w:lang w:val="en-US" w:eastAsia="zh-CN" w:bidi="ar"/>
              </w:rPr>
            </w:pPr>
            <w:r>
              <w:rPr>
                <w:rFonts w:hint="default" w:ascii="宋体" w:hAnsi="宋体" w:eastAsia="宋体" w:cs="宋体"/>
                <w:i w:val="0"/>
                <w:iCs w:val="0"/>
                <w:color w:val="auto"/>
                <w:kern w:val="0"/>
                <w:sz w:val="21"/>
                <w:szCs w:val="21"/>
                <w:highlight w:val="none"/>
                <w:u w:val="none"/>
                <w:lang w:val="en-US" w:eastAsia="zh-CN" w:bidi="ar"/>
              </w:rPr>
              <w:t>完成</w:t>
            </w:r>
            <w:r>
              <w:rPr>
                <w:rFonts w:hint="eastAsia" w:ascii="宋体" w:hAnsi="宋体" w:eastAsia="宋体" w:cs="宋体"/>
                <w:i w:val="0"/>
                <w:iCs w:val="0"/>
                <w:color w:val="auto"/>
                <w:kern w:val="0"/>
                <w:sz w:val="21"/>
                <w:szCs w:val="21"/>
                <w:highlight w:val="none"/>
                <w:u w:val="none"/>
                <w:lang w:val="en-US" w:eastAsia="zh-CN" w:bidi="ar"/>
              </w:rPr>
              <w:t>山药、地黄、牛膝、丹参、柴胡、板蓝根、白芷、黄精、皂角刺、猪苓等10种趁鲜切制中药材加工</w:t>
            </w:r>
            <w:r>
              <w:rPr>
                <w:rFonts w:hint="default" w:ascii="宋体" w:hAnsi="宋体" w:eastAsia="宋体" w:cs="宋体"/>
                <w:i w:val="0"/>
                <w:iCs w:val="0"/>
                <w:color w:val="auto"/>
                <w:kern w:val="0"/>
                <w:sz w:val="21"/>
                <w:szCs w:val="21"/>
                <w:highlight w:val="none"/>
                <w:u w:val="none"/>
                <w:lang w:val="en-US" w:eastAsia="zh-CN" w:bidi="ar"/>
              </w:rPr>
              <w:t>技术规程</w:t>
            </w:r>
            <w:r>
              <w:rPr>
                <w:rFonts w:hint="eastAsia" w:ascii="宋体" w:hAnsi="宋体" w:eastAsia="宋体" w:cs="宋体"/>
                <w:i w:val="0"/>
                <w:iCs w:val="0"/>
                <w:color w:val="auto"/>
                <w:kern w:val="0"/>
                <w:sz w:val="21"/>
                <w:szCs w:val="21"/>
                <w:highlight w:val="none"/>
                <w:u w:val="none"/>
                <w:lang w:val="en-US" w:eastAsia="zh-CN" w:bidi="ar"/>
              </w:rPr>
              <w:t>、</w:t>
            </w:r>
            <w:r>
              <w:rPr>
                <w:rFonts w:hint="default" w:ascii="宋体" w:hAnsi="宋体" w:eastAsia="宋体" w:cs="宋体"/>
                <w:i w:val="0"/>
                <w:iCs w:val="0"/>
                <w:color w:val="auto"/>
                <w:kern w:val="0"/>
                <w:sz w:val="21"/>
                <w:szCs w:val="21"/>
                <w:highlight w:val="none"/>
                <w:u w:val="none"/>
                <w:lang w:val="en-US" w:eastAsia="zh-CN" w:bidi="ar"/>
              </w:rPr>
              <w:t>质量标准</w:t>
            </w:r>
            <w:r>
              <w:rPr>
                <w:rFonts w:hint="eastAsia" w:ascii="宋体" w:hAnsi="宋体" w:eastAsia="宋体" w:cs="宋体"/>
                <w:i w:val="0"/>
                <w:iCs w:val="0"/>
                <w:color w:val="auto"/>
                <w:kern w:val="0"/>
                <w:sz w:val="21"/>
                <w:szCs w:val="21"/>
                <w:highlight w:val="none"/>
                <w:u w:val="none"/>
                <w:lang w:val="en-US" w:eastAsia="zh-CN" w:bidi="ar"/>
              </w:rPr>
              <w:t>。</w:t>
            </w:r>
          </w:p>
          <w:p w14:paraId="73FBD0EF">
            <w:pPr>
              <w:keepNext w:val="0"/>
              <w:keepLines w:val="0"/>
              <w:pageBreakBefore w:val="0"/>
              <w:widowControl/>
              <w:numPr>
                <w:ilvl w:val="0"/>
                <w:numId w:val="0"/>
              </w:numPr>
              <w:suppressLineNumbers w:val="0"/>
              <w:kinsoku/>
              <w:wordWrap/>
              <w:overflowPunct/>
              <w:topLinePunct w:val="0"/>
              <w:autoSpaceDE/>
              <w:autoSpaceDN/>
              <w:bidi w:val="0"/>
              <w:adjustRightInd/>
              <w:snapToGrid/>
              <w:spacing w:line="280" w:lineRule="exact"/>
              <w:ind w:left="0" w:leftChars="0" w:firstLine="0" w:firstLineChars="0"/>
              <w:jc w:val="left"/>
              <w:textAlignment w:val="top"/>
              <w:rPr>
                <w:rFonts w:hint="eastAsia" w:ascii="宋体" w:hAnsi="宋体" w:eastAsia="宋体" w:cs="宋体"/>
                <w:i w:val="0"/>
                <w:iCs w:val="0"/>
                <w:color w:val="auto"/>
                <w:sz w:val="21"/>
                <w:szCs w:val="21"/>
                <w:highlight w:val="none"/>
                <w:u w:val="none"/>
              </w:rPr>
            </w:pPr>
          </w:p>
        </w:tc>
        <w:tc>
          <w:tcPr>
            <w:tcW w:w="316" w:type="pct"/>
            <w:tcBorders>
              <w:top w:val="single" w:color="000000" w:sz="4" w:space="0"/>
              <w:left w:val="single" w:color="000000" w:sz="4" w:space="0"/>
              <w:bottom w:val="single" w:color="000000" w:sz="4" w:space="0"/>
              <w:right w:val="single" w:color="000000" w:sz="4" w:space="0"/>
            </w:tcBorders>
            <w:noWrap w:val="0"/>
            <w:vAlign w:val="top"/>
          </w:tcPr>
          <w:p w14:paraId="43D5E4E1">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王高超18037498848</w:t>
            </w:r>
          </w:p>
        </w:tc>
        <w:tc>
          <w:tcPr>
            <w:tcW w:w="238" w:type="pct"/>
            <w:tcBorders>
              <w:top w:val="single" w:color="000000" w:sz="4" w:space="0"/>
              <w:left w:val="single" w:color="000000" w:sz="4" w:space="0"/>
              <w:bottom w:val="single" w:color="000000" w:sz="4" w:space="0"/>
              <w:right w:val="single" w:color="000000" w:sz="4" w:space="0"/>
            </w:tcBorders>
            <w:noWrap w:val="0"/>
            <w:vAlign w:val="top"/>
          </w:tcPr>
          <w:p w14:paraId="27110DAD">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荥阳市</w:t>
            </w:r>
          </w:p>
        </w:tc>
      </w:tr>
      <w:tr w14:paraId="7D0E3E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2" w:hRule="atLeast"/>
        </w:trPr>
        <w:tc>
          <w:tcPr>
            <w:tcW w:w="181" w:type="pct"/>
            <w:tcBorders>
              <w:top w:val="single" w:color="000000" w:sz="4" w:space="0"/>
              <w:left w:val="single" w:color="000000" w:sz="4" w:space="0"/>
              <w:bottom w:val="single" w:color="000000" w:sz="4" w:space="0"/>
              <w:right w:val="single" w:color="000000" w:sz="4" w:space="0"/>
            </w:tcBorders>
            <w:noWrap w:val="0"/>
            <w:vAlign w:val="center"/>
          </w:tcPr>
          <w:p w14:paraId="651FFFA5">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eastAsia" w:ascii="宋体" w:hAnsi="宋体" w:eastAsia="宋体" w:cs="宋体"/>
                <w:i w:val="0"/>
                <w:iCs w:val="0"/>
                <w:color w:val="auto"/>
                <w:sz w:val="21"/>
                <w:szCs w:val="21"/>
                <w:highlight w:val="none"/>
                <w:u w:val="none"/>
              </w:rPr>
            </w:pPr>
            <w:r>
              <w:rPr>
                <w:rFonts w:hint="eastAsia" w:ascii="宋体" w:hAnsi="宋体" w:cs="宋体"/>
                <w:i w:val="0"/>
                <w:iCs w:val="0"/>
                <w:color w:val="auto"/>
                <w:kern w:val="0"/>
                <w:sz w:val="21"/>
                <w:szCs w:val="21"/>
                <w:highlight w:val="none"/>
                <w:u w:val="none"/>
                <w:lang w:val="en-US" w:eastAsia="zh-CN" w:bidi="ar"/>
              </w:rPr>
              <w:t>5</w:t>
            </w:r>
          </w:p>
        </w:tc>
        <w:tc>
          <w:tcPr>
            <w:tcW w:w="446" w:type="pct"/>
            <w:tcBorders>
              <w:top w:val="single" w:color="000000" w:sz="4" w:space="0"/>
              <w:left w:val="single" w:color="000000" w:sz="4" w:space="0"/>
              <w:bottom w:val="single" w:color="000000" w:sz="4" w:space="0"/>
              <w:right w:val="single" w:color="000000" w:sz="4" w:space="0"/>
            </w:tcBorders>
            <w:noWrap w:val="0"/>
            <w:vAlign w:val="top"/>
          </w:tcPr>
          <w:p w14:paraId="345F345B">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污泥战略性资源高值化利用技术研究及应用</w:t>
            </w:r>
          </w:p>
        </w:tc>
        <w:tc>
          <w:tcPr>
            <w:tcW w:w="276" w:type="pct"/>
            <w:tcBorders>
              <w:top w:val="single" w:color="000000" w:sz="4" w:space="0"/>
              <w:left w:val="single" w:color="000000" w:sz="4" w:space="0"/>
              <w:bottom w:val="single" w:color="000000" w:sz="4" w:space="0"/>
              <w:right w:val="single" w:color="000000" w:sz="4" w:space="0"/>
            </w:tcBorders>
            <w:noWrap w:val="0"/>
            <w:vAlign w:val="top"/>
          </w:tcPr>
          <w:p w14:paraId="29C7C396">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cs="宋体"/>
                <w:color w:val="auto"/>
                <w:szCs w:val="21"/>
                <w:highlight w:val="none"/>
              </w:rPr>
              <w:t>资源环境与社会事业领域</w:t>
            </w:r>
          </w:p>
        </w:tc>
        <w:tc>
          <w:tcPr>
            <w:tcW w:w="788" w:type="pct"/>
            <w:tcBorders>
              <w:top w:val="single" w:color="000000" w:sz="4" w:space="0"/>
              <w:left w:val="single" w:color="000000" w:sz="4" w:space="0"/>
              <w:bottom w:val="single" w:color="000000" w:sz="4" w:space="0"/>
              <w:right w:val="single" w:color="000000" w:sz="4" w:space="0"/>
            </w:tcBorders>
            <w:noWrap w:val="0"/>
            <w:vAlign w:val="top"/>
          </w:tcPr>
          <w:p w14:paraId="274AB407">
            <w:pPr>
              <w:keepNext w:val="0"/>
              <w:keepLines w:val="0"/>
              <w:pageBreakBefore w:val="0"/>
              <w:widowControl/>
              <w:suppressLineNumbers w:val="0"/>
              <w:kinsoku/>
              <w:wordWrap/>
              <w:overflowPunct/>
              <w:topLinePunct w:val="0"/>
              <w:autoSpaceDE/>
              <w:autoSpaceDN/>
              <w:bidi w:val="0"/>
              <w:adjustRightInd/>
              <w:snapToGrid/>
              <w:spacing w:line="280" w:lineRule="exact"/>
              <w:ind w:firstLine="420" w:firstLineChars="200"/>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现阶段国内城镇污泥炉渣中磷等有价值元素提取利用主要存在以下短板：炉渣作为污泥热解气化焚烧后的最终固态产物，虽可用于建材制作原料，但相关产品附加值较低，同时炉渣中磷等有价元素含量丰富，现有炉渣有价元素回收技术存在工艺复杂、回收成本高、有价元素提取率低、除杂效果差、产物纯度低等问题，尤其是在高效率提取、深度除杂和定向合成等核心技术方面存在空白，已经成为制约行业突破性发展的技术难题。</w:t>
            </w:r>
          </w:p>
        </w:tc>
        <w:tc>
          <w:tcPr>
            <w:tcW w:w="1057" w:type="pct"/>
            <w:tcBorders>
              <w:top w:val="single" w:color="000000" w:sz="4" w:space="0"/>
              <w:left w:val="single" w:color="000000" w:sz="4" w:space="0"/>
              <w:bottom w:val="single" w:color="000000" w:sz="4" w:space="0"/>
              <w:right w:val="single" w:color="000000" w:sz="4" w:space="0"/>
            </w:tcBorders>
            <w:noWrap w:val="0"/>
            <w:vAlign w:val="top"/>
          </w:tcPr>
          <w:p w14:paraId="4FAE7858">
            <w:pPr>
              <w:rPr>
                <w:rFonts w:hint="eastAsia" w:ascii="宋体" w:hAnsi="宋体" w:eastAsia="宋体" w:cs="宋体"/>
                <w:color w:val="auto"/>
                <w:szCs w:val="21"/>
                <w:highlight w:val="none"/>
                <w:lang w:eastAsia="zh-CN"/>
              </w:rPr>
            </w:pPr>
            <w:r>
              <w:rPr>
                <w:rFonts w:hint="eastAsia" w:ascii="宋体" w:hAnsi="宋体" w:cs="宋体"/>
                <w:color w:val="auto"/>
                <w:szCs w:val="21"/>
                <w:highlight w:val="none"/>
                <w:lang w:val="en-US" w:eastAsia="zh-CN"/>
              </w:rPr>
              <w:t>1.</w:t>
            </w:r>
            <w:r>
              <w:rPr>
                <w:rFonts w:hint="eastAsia" w:ascii="宋体" w:hAnsi="宋体" w:cs="宋体"/>
                <w:color w:val="auto"/>
                <w:szCs w:val="21"/>
                <w:highlight w:val="none"/>
              </w:rPr>
              <w:t>开发酸浸渣基固废胶凝材料制备技术1项，酸浸渣在胶凝材料中掺量不低于30%，胶凝材料3d抗压强度不低于10MPa、28d抗压强度不低于30MPa</w:t>
            </w:r>
            <w:r>
              <w:rPr>
                <w:rFonts w:hint="eastAsia" w:ascii="宋体" w:hAnsi="宋体" w:cs="宋体"/>
                <w:color w:val="auto"/>
                <w:szCs w:val="21"/>
                <w:highlight w:val="none"/>
                <w:lang w:eastAsia="zh-CN"/>
              </w:rPr>
              <w:t>。</w:t>
            </w:r>
          </w:p>
          <w:p w14:paraId="52308F09">
            <w:pPr>
              <w:rPr>
                <w:rFonts w:hint="eastAsia" w:ascii="宋体" w:hAnsi="宋体" w:cs="宋体"/>
                <w:color w:val="auto"/>
                <w:szCs w:val="21"/>
                <w:highlight w:val="none"/>
              </w:rPr>
            </w:pPr>
            <w:r>
              <w:rPr>
                <w:rFonts w:hint="eastAsia" w:ascii="宋体" w:hAnsi="宋体" w:cs="宋体"/>
                <w:color w:val="auto"/>
                <w:szCs w:val="21"/>
                <w:highlight w:val="none"/>
                <w:lang w:val="en-US" w:eastAsia="zh-CN"/>
              </w:rPr>
              <w:t>2.</w:t>
            </w:r>
            <w:r>
              <w:rPr>
                <w:rFonts w:hint="eastAsia" w:ascii="宋体" w:hAnsi="宋体" w:cs="宋体"/>
                <w:color w:val="auto"/>
                <w:szCs w:val="21"/>
                <w:highlight w:val="none"/>
              </w:rPr>
              <w:t>完成污泥气化渣制备电池级磷酸铁工艺技术研发，形成制备工艺、参数等相关技术指标体系。磷酸铁产品指标满足《电池用磷酸铁（HG/T 4701-2021）》标准要求。</w:t>
            </w:r>
          </w:p>
          <w:p w14:paraId="07A8BA54">
            <w:pPr>
              <w:rPr>
                <w:rFonts w:hint="eastAsia" w:ascii="宋体" w:hAnsi="宋体" w:eastAsia="宋体" w:cs="宋体"/>
                <w:i w:val="0"/>
                <w:iCs w:val="0"/>
                <w:color w:val="auto"/>
                <w:sz w:val="21"/>
                <w:szCs w:val="21"/>
                <w:highlight w:val="none"/>
                <w:u w:val="none"/>
              </w:rPr>
            </w:pPr>
            <w:r>
              <w:rPr>
                <w:rFonts w:hint="eastAsia" w:ascii="宋体" w:hAnsi="宋体" w:cs="宋体"/>
                <w:color w:val="auto"/>
                <w:szCs w:val="21"/>
                <w:highlight w:val="none"/>
                <w:lang w:val="en-US" w:eastAsia="zh-CN"/>
              </w:rPr>
              <w:t>3.</w:t>
            </w:r>
            <w:r>
              <w:rPr>
                <w:rFonts w:hint="eastAsia" w:ascii="宋体" w:hAnsi="宋体" w:cs="宋体"/>
                <w:color w:val="auto"/>
                <w:szCs w:val="21"/>
                <w:highlight w:val="none"/>
              </w:rPr>
              <w:t>完成污泥气化渣制备电池级磷酸铁锂工艺技术研发，形成制备工艺、参数等相关技术指标体系。磷酸铁锂产品理化、粉体、杂质及基础电化学指标</w:t>
            </w:r>
            <w:r>
              <w:rPr>
                <w:rFonts w:hint="eastAsia" w:ascii="宋体" w:hAnsi="宋体" w:cs="宋体"/>
                <w:color w:val="auto"/>
                <w:szCs w:val="21"/>
                <w:highlight w:val="none"/>
                <w:lang w:eastAsia="zh-CN"/>
              </w:rPr>
              <w:t>满足</w:t>
            </w:r>
            <w:r>
              <w:rPr>
                <w:rFonts w:hint="eastAsia" w:ascii="宋体" w:hAnsi="宋体" w:cs="宋体"/>
                <w:color w:val="auto"/>
                <w:szCs w:val="21"/>
                <w:highlight w:val="none"/>
              </w:rPr>
              <w:t>《磷酸铁锂（YS/T 1027-2024）》标准要求。</w:t>
            </w:r>
          </w:p>
        </w:tc>
        <w:tc>
          <w:tcPr>
            <w:tcW w:w="225" w:type="pct"/>
            <w:tcBorders>
              <w:top w:val="single" w:color="000000" w:sz="4" w:space="0"/>
              <w:left w:val="single" w:color="000000" w:sz="4" w:space="0"/>
              <w:bottom w:val="single" w:color="000000" w:sz="4" w:space="0"/>
              <w:right w:val="single" w:color="000000" w:sz="4" w:space="0"/>
            </w:tcBorders>
            <w:noWrap w:val="0"/>
            <w:vAlign w:val="top"/>
          </w:tcPr>
          <w:p w14:paraId="5AA0EDF7">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sz w:val="21"/>
                <w:szCs w:val="21"/>
                <w:highlight w:val="none"/>
                <w:u w:val="none"/>
              </w:rPr>
              <w:t>郑州市污水净化有限公司</w:t>
            </w:r>
          </w:p>
        </w:tc>
        <w:tc>
          <w:tcPr>
            <w:tcW w:w="202" w:type="pct"/>
            <w:tcBorders>
              <w:top w:val="single" w:color="000000" w:sz="4" w:space="0"/>
              <w:left w:val="single" w:color="000000" w:sz="4" w:space="0"/>
              <w:bottom w:val="single" w:color="000000" w:sz="4" w:space="0"/>
              <w:right w:val="single" w:color="000000" w:sz="4" w:space="0"/>
            </w:tcBorders>
            <w:noWrap w:val="0"/>
            <w:vAlign w:val="top"/>
          </w:tcPr>
          <w:p w14:paraId="48A37500">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cs="宋体"/>
                <w:i w:val="0"/>
                <w:iCs w:val="0"/>
                <w:color w:val="auto"/>
                <w:kern w:val="0"/>
                <w:sz w:val="21"/>
                <w:szCs w:val="21"/>
                <w:highlight w:val="none"/>
                <w:u w:val="none"/>
                <w:lang w:val="en-US" w:eastAsia="zh-CN" w:bidi="ar"/>
              </w:rPr>
              <w:t>300</w:t>
            </w:r>
          </w:p>
        </w:tc>
        <w:tc>
          <w:tcPr>
            <w:tcW w:w="238" w:type="pct"/>
            <w:tcBorders>
              <w:top w:val="single" w:color="000000" w:sz="4" w:space="0"/>
              <w:left w:val="single" w:color="000000" w:sz="4" w:space="0"/>
              <w:bottom w:val="single" w:color="000000" w:sz="4" w:space="0"/>
              <w:right w:val="single" w:color="000000" w:sz="4" w:space="0"/>
            </w:tcBorders>
            <w:noWrap w:val="0"/>
            <w:vAlign w:val="top"/>
          </w:tcPr>
          <w:p w14:paraId="10990C50">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cs="宋体"/>
                <w:i w:val="0"/>
                <w:iCs w:val="0"/>
                <w:color w:val="auto"/>
                <w:kern w:val="0"/>
                <w:sz w:val="21"/>
                <w:szCs w:val="21"/>
                <w:highlight w:val="none"/>
                <w:u w:val="none"/>
                <w:lang w:val="en-US" w:eastAsia="zh-CN" w:bidi="ar"/>
              </w:rPr>
              <w:t>3</w:t>
            </w:r>
            <w:r>
              <w:rPr>
                <w:rFonts w:hint="eastAsia" w:ascii="宋体" w:hAnsi="宋体" w:eastAsia="宋体" w:cs="宋体"/>
                <w:i w:val="0"/>
                <w:iCs w:val="0"/>
                <w:color w:val="auto"/>
                <w:kern w:val="0"/>
                <w:sz w:val="21"/>
                <w:szCs w:val="21"/>
                <w:highlight w:val="none"/>
                <w:u w:val="none"/>
                <w:lang w:val="en-US" w:eastAsia="zh-CN" w:bidi="ar"/>
              </w:rPr>
              <w:t>00</w:t>
            </w:r>
          </w:p>
        </w:tc>
        <w:tc>
          <w:tcPr>
            <w:tcW w:w="202" w:type="pct"/>
            <w:tcBorders>
              <w:top w:val="single" w:color="000000" w:sz="4" w:space="0"/>
              <w:left w:val="single" w:color="000000" w:sz="4" w:space="0"/>
              <w:bottom w:val="single" w:color="000000" w:sz="4" w:space="0"/>
              <w:right w:val="single" w:color="000000" w:sz="4" w:space="0"/>
            </w:tcBorders>
            <w:noWrap w:val="0"/>
            <w:vAlign w:val="top"/>
          </w:tcPr>
          <w:p w14:paraId="7EAB6FF2">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2</w:t>
            </w:r>
            <w:r>
              <w:rPr>
                <w:rFonts w:hint="eastAsia" w:ascii="宋体" w:hAnsi="宋体" w:cs="宋体"/>
                <w:i w:val="0"/>
                <w:iCs w:val="0"/>
                <w:color w:val="auto"/>
                <w:kern w:val="0"/>
                <w:sz w:val="21"/>
                <w:szCs w:val="21"/>
                <w:highlight w:val="none"/>
                <w:u w:val="none"/>
                <w:lang w:val="en-US" w:eastAsia="zh-CN" w:bidi="ar"/>
              </w:rPr>
              <w:t>年</w:t>
            </w:r>
          </w:p>
        </w:tc>
        <w:tc>
          <w:tcPr>
            <w:tcW w:w="823" w:type="pct"/>
            <w:tcBorders>
              <w:top w:val="single" w:color="000000" w:sz="4" w:space="0"/>
              <w:left w:val="single" w:color="000000" w:sz="4" w:space="0"/>
              <w:bottom w:val="single" w:color="000000" w:sz="4" w:space="0"/>
              <w:right w:val="single" w:color="000000" w:sz="4" w:space="0"/>
            </w:tcBorders>
            <w:noWrap w:val="0"/>
            <w:vAlign w:val="top"/>
          </w:tcPr>
          <w:p w14:paraId="530C7338">
            <w:pPr>
              <w:rPr>
                <w:rFonts w:hint="eastAsia" w:ascii="宋体" w:hAnsi="宋体" w:eastAsia="宋体" w:cs="宋体"/>
                <w:color w:val="auto"/>
                <w:szCs w:val="21"/>
                <w:highlight w:val="none"/>
                <w:lang w:eastAsia="zh-CN"/>
              </w:rPr>
            </w:pPr>
            <w:r>
              <w:rPr>
                <w:rFonts w:hint="eastAsia" w:ascii="宋体" w:hAnsi="宋体" w:cs="宋体"/>
                <w:color w:val="auto"/>
                <w:szCs w:val="21"/>
                <w:highlight w:val="none"/>
                <w:lang w:val="en-US" w:eastAsia="zh-CN"/>
              </w:rPr>
              <w:t>1.</w:t>
            </w:r>
            <w:r>
              <w:rPr>
                <w:rFonts w:hint="eastAsia" w:ascii="宋体" w:hAnsi="宋体" w:cs="宋体"/>
                <w:color w:val="auto"/>
                <w:szCs w:val="21"/>
                <w:highlight w:val="none"/>
              </w:rPr>
              <w:t>一套酸浸渣制备固废胶凝材料及流态固化土技术方案</w:t>
            </w:r>
            <w:r>
              <w:rPr>
                <w:rFonts w:hint="eastAsia" w:ascii="宋体" w:hAnsi="宋体" w:cs="宋体"/>
                <w:color w:val="auto"/>
                <w:szCs w:val="21"/>
                <w:highlight w:val="none"/>
                <w:lang w:eastAsia="zh-CN"/>
              </w:rPr>
              <w:t>。</w:t>
            </w:r>
          </w:p>
          <w:p w14:paraId="1E9508F2">
            <w:pPr>
              <w:rPr>
                <w:rFonts w:hint="eastAsia" w:ascii="宋体" w:hAnsi="宋体" w:eastAsia="宋体" w:cs="宋体"/>
                <w:color w:val="auto"/>
                <w:szCs w:val="21"/>
                <w:highlight w:val="none"/>
                <w:lang w:eastAsia="zh-CN"/>
              </w:rPr>
            </w:pPr>
            <w:r>
              <w:rPr>
                <w:rFonts w:hint="eastAsia" w:ascii="宋体" w:hAnsi="宋体" w:cs="宋体"/>
                <w:color w:val="auto"/>
                <w:szCs w:val="21"/>
                <w:highlight w:val="none"/>
                <w:lang w:val="en-US" w:eastAsia="zh-CN"/>
              </w:rPr>
              <w:t>2.</w:t>
            </w:r>
            <w:r>
              <w:rPr>
                <w:rFonts w:hint="eastAsia" w:ascii="宋体" w:hAnsi="宋体" w:cs="宋体"/>
                <w:color w:val="auto"/>
                <w:szCs w:val="21"/>
                <w:highlight w:val="none"/>
              </w:rPr>
              <w:t>一套污泥气化渣制备电池级磷酸铁的技术方案</w:t>
            </w:r>
            <w:r>
              <w:rPr>
                <w:rFonts w:hint="eastAsia" w:ascii="宋体" w:hAnsi="宋体" w:cs="宋体"/>
                <w:color w:val="auto"/>
                <w:szCs w:val="21"/>
                <w:highlight w:val="none"/>
                <w:lang w:eastAsia="zh-CN"/>
              </w:rPr>
              <w:t>。</w:t>
            </w:r>
          </w:p>
          <w:p w14:paraId="141E64DC">
            <w:pPr>
              <w:rPr>
                <w:rFonts w:hint="eastAsia" w:ascii="宋体" w:hAnsi="宋体" w:eastAsia="宋体" w:cs="宋体"/>
                <w:color w:val="auto"/>
                <w:szCs w:val="21"/>
                <w:highlight w:val="none"/>
                <w:lang w:eastAsia="zh-CN"/>
              </w:rPr>
            </w:pPr>
            <w:r>
              <w:rPr>
                <w:rFonts w:hint="eastAsia" w:ascii="宋体" w:hAnsi="宋体" w:cs="宋体"/>
                <w:color w:val="auto"/>
                <w:szCs w:val="21"/>
                <w:highlight w:val="none"/>
                <w:lang w:val="en-US" w:eastAsia="zh-CN"/>
              </w:rPr>
              <w:t>3.</w:t>
            </w:r>
            <w:r>
              <w:rPr>
                <w:rFonts w:hint="eastAsia" w:ascii="宋体" w:hAnsi="宋体" w:cs="宋体"/>
                <w:color w:val="auto"/>
                <w:szCs w:val="21"/>
                <w:highlight w:val="none"/>
              </w:rPr>
              <w:t>一套污泥气化渣制备电池级磷酸铁锂的技术方案</w:t>
            </w:r>
            <w:r>
              <w:rPr>
                <w:rFonts w:hint="eastAsia" w:ascii="宋体" w:hAnsi="宋体" w:cs="宋体"/>
                <w:color w:val="auto"/>
                <w:szCs w:val="21"/>
                <w:highlight w:val="none"/>
                <w:lang w:eastAsia="zh-CN"/>
              </w:rPr>
              <w:t>。</w:t>
            </w:r>
          </w:p>
          <w:p w14:paraId="163101A8">
            <w:pPr>
              <w:rPr>
                <w:rFonts w:hint="eastAsia" w:ascii="宋体" w:hAnsi="宋体" w:eastAsia="宋体" w:cs="宋体"/>
                <w:color w:val="auto"/>
                <w:szCs w:val="21"/>
                <w:highlight w:val="none"/>
                <w:lang w:eastAsia="zh-CN"/>
              </w:rPr>
            </w:pPr>
            <w:r>
              <w:rPr>
                <w:rFonts w:hint="eastAsia" w:ascii="宋体" w:hAnsi="宋体" w:cs="宋体"/>
                <w:color w:val="auto"/>
                <w:szCs w:val="21"/>
                <w:highlight w:val="none"/>
                <w:lang w:val="en-US" w:eastAsia="zh-CN"/>
              </w:rPr>
              <w:t>4.</w:t>
            </w:r>
            <w:r>
              <w:rPr>
                <w:rFonts w:hint="eastAsia" w:ascii="宋体" w:hAnsi="宋体" w:cs="宋体"/>
                <w:color w:val="auto"/>
                <w:szCs w:val="21"/>
                <w:highlight w:val="none"/>
              </w:rPr>
              <w:t>发表高水平论文不少于</w:t>
            </w:r>
            <w:r>
              <w:rPr>
                <w:rFonts w:hint="eastAsia" w:ascii="宋体" w:hAnsi="宋体" w:cs="宋体"/>
                <w:color w:val="auto"/>
                <w:szCs w:val="21"/>
                <w:highlight w:val="none"/>
                <w:lang w:val="en-US" w:eastAsia="zh-CN"/>
              </w:rPr>
              <w:t>3</w:t>
            </w:r>
            <w:r>
              <w:rPr>
                <w:rFonts w:hint="eastAsia" w:ascii="宋体" w:hAnsi="宋体" w:cs="宋体"/>
                <w:color w:val="auto"/>
                <w:szCs w:val="21"/>
                <w:highlight w:val="none"/>
              </w:rPr>
              <w:t>篇</w:t>
            </w:r>
            <w:r>
              <w:rPr>
                <w:rFonts w:hint="eastAsia" w:ascii="宋体" w:hAnsi="宋体" w:cs="宋体"/>
                <w:color w:val="auto"/>
                <w:szCs w:val="21"/>
                <w:highlight w:val="none"/>
                <w:lang w:eastAsia="zh-CN"/>
              </w:rPr>
              <w:t>。</w:t>
            </w:r>
          </w:p>
          <w:p w14:paraId="3B09C193">
            <w:pPr>
              <w:keepNext w:val="0"/>
              <w:keepLines w:val="0"/>
              <w:pageBreakBefore w:val="0"/>
              <w:widowControl/>
              <w:numPr>
                <w:ilvl w:val="0"/>
                <w:numId w:val="0"/>
              </w:numPr>
              <w:suppressLineNumbers w:val="0"/>
              <w:kinsoku/>
              <w:wordWrap/>
              <w:overflowPunct/>
              <w:topLinePunct w:val="0"/>
              <w:autoSpaceDE/>
              <w:autoSpaceDN/>
              <w:bidi w:val="0"/>
              <w:adjustRightInd/>
              <w:snapToGrid/>
              <w:spacing w:line="280" w:lineRule="exact"/>
              <w:ind w:left="0" w:leftChars="0" w:firstLine="0" w:firstLineChars="0"/>
              <w:jc w:val="left"/>
              <w:textAlignment w:val="top"/>
              <w:rPr>
                <w:rFonts w:hint="eastAsia" w:ascii="宋体" w:hAnsi="宋体" w:eastAsia="宋体" w:cs="宋体"/>
                <w:i w:val="0"/>
                <w:iCs w:val="0"/>
                <w:color w:val="auto"/>
                <w:sz w:val="21"/>
                <w:szCs w:val="21"/>
                <w:highlight w:val="none"/>
                <w:u w:val="none"/>
              </w:rPr>
            </w:pPr>
            <w:r>
              <w:rPr>
                <w:rFonts w:hint="eastAsia" w:ascii="宋体" w:hAnsi="宋体" w:cs="宋体"/>
                <w:color w:val="auto"/>
                <w:szCs w:val="21"/>
                <w:highlight w:val="none"/>
                <w:lang w:val="en-US" w:eastAsia="zh-CN"/>
              </w:rPr>
              <w:t>5.</w:t>
            </w:r>
            <w:r>
              <w:rPr>
                <w:rFonts w:hint="eastAsia" w:ascii="宋体" w:hAnsi="宋体" w:cs="宋体"/>
                <w:color w:val="auto"/>
                <w:szCs w:val="21"/>
                <w:highlight w:val="none"/>
              </w:rPr>
              <w:t>申请发明专利不少于</w:t>
            </w:r>
            <w:r>
              <w:rPr>
                <w:rFonts w:hint="eastAsia" w:ascii="宋体" w:hAnsi="宋体" w:cs="宋体"/>
                <w:color w:val="auto"/>
                <w:szCs w:val="21"/>
                <w:highlight w:val="none"/>
                <w:lang w:val="en-US" w:eastAsia="zh-CN"/>
              </w:rPr>
              <w:t>2</w:t>
            </w:r>
            <w:r>
              <w:rPr>
                <w:rFonts w:hint="eastAsia" w:ascii="宋体" w:hAnsi="宋体" w:cs="宋体"/>
                <w:color w:val="auto"/>
                <w:szCs w:val="21"/>
                <w:highlight w:val="none"/>
              </w:rPr>
              <w:t>项</w:t>
            </w:r>
          </w:p>
        </w:tc>
        <w:tc>
          <w:tcPr>
            <w:tcW w:w="316" w:type="pct"/>
            <w:tcBorders>
              <w:top w:val="single" w:color="000000" w:sz="4" w:space="0"/>
              <w:left w:val="single" w:color="000000" w:sz="4" w:space="0"/>
              <w:bottom w:val="single" w:color="000000" w:sz="4" w:space="0"/>
              <w:right w:val="single" w:color="000000" w:sz="4" w:space="0"/>
            </w:tcBorders>
            <w:noWrap w:val="0"/>
            <w:vAlign w:val="top"/>
          </w:tcPr>
          <w:p w14:paraId="12CE89CA">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cs="宋体"/>
                <w:color w:val="auto"/>
                <w:szCs w:val="21"/>
                <w:highlight w:val="none"/>
              </w:rPr>
              <w:t>王棣15871718716</w:t>
            </w:r>
          </w:p>
        </w:tc>
        <w:tc>
          <w:tcPr>
            <w:tcW w:w="238" w:type="pct"/>
            <w:tcBorders>
              <w:top w:val="single" w:color="000000" w:sz="4" w:space="0"/>
              <w:left w:val="single" w:color="000000" w:sz="4" w:space="0"/>
              <w:bottom w:val="single" w:color="000000" w:sz="4" w:space="0"/>
              <w:right w:val="single" w:color="000000" w:sz="4" w:space="0"/>
            </w:tcBorders>
            <w:noWrap w:val="0"/>
            <w:vAlign w:val="top"/>
          </w:tcPr>
          <w:p w14:paraId="4676E3F5">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惠济区</w:t>
            </w:r>
          </w:p>
        </w:tc>
      </w:tr>
      <w:tr w14:paraId="667147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63" w:hRule="atLeast"/>
        </w:trPr>
        <w:tc>
          <w:tcPr>
            <w:tcW w:w="181" w:type="pct"/>
            <w:tcBorders>
              <w:top w:val="single" w:color="000000" w:sz="4" w:space="0"/>
              <w:left w:val="single" w:color="000000" w:sz="4" w:space="0"/>
              <w:bottom w:val="single" w:color="000000" w:sz="4" w:space="0"/>
              <w:right w:val="single" w:color="000000" w:sz="4" w:space="0"/>
            </w:tcBorders>
            <w:noWrap w:val="0"/>
            <w:vAlign w:val="center"/>
          </w:tcPr>
          <w:p w14:paraId="0A16C59F">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eastAsia" w:ascii="宋体" w:hAnsi="宋体" w:eastAsia="宋体" w:cs="宋体"/>
                <w:i w:val="0"/>
                <w:iCs w:val="0"/>
                <w:color w:val="auto"/>
                <w:sz w:val="21"/>
                <w:szCs w:val="21"/>
                <w:highlight w:val="none"/>
                <w:u w:val="none"/>
              </w:rPr>
            </w:pPr>
            <w:r>
              <w:rPr>
                <w:rFonts w:hint="eastAsia" w:ascii="宋体" w:hAnsi="宋体" w:cs="宋体"/>
                <w:i w:val="0"/>
                <w:iCs w:val="0"/>
                <w:color w:val="auto"/>
                <w:kern w:val="0"/>
                <w:sz w:val="21"/>
                <w:szCs w:val="21"/>
                <w:highlight w:val="none"/>
                <w:u w:val="none"/>
                <w:lang w:val="en-US" w:eastAsia="zh-CN" w:bidi="ar"/>
              </w:rPr>
              <w:t>6</w:t>
            </w:r>
          </w:p>
        </w:tc>
        <w:tc>
          <w:tcPr>
            <w:tcW w:w="446" w:type="pct"/>
            <w:tcBorders>
              <w:top w:val="single" w:color="000000" w:sz="4" w:space="0"/>
              <w:left w:val="single" w:color="000000" w:sz="4" w:space="0"/>
              <w:bottom w:val="single" w:color="000000" w:sz="4" w:space="0"/>
              <w:right w:val="single" w:color="000000" w:sz="4" w:space="0"/>
            </w:tcBorders>
            <w:noWrap w:val="0"/>
            <w:vAlign w:val="top"/>
          </w:tcPr>
          <w:p w14:paraId="4B761CE4">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VOCs废气生物耦合净化工艺绿色低碳关键技术研究</w:t>
            </w:r>
          </w:p>
        </w:tc>
        <w:tc>
          <w:tcPr>
            <w:tcW w:w="276" w:type="pct"/>
            <w:tcBorders>
              <w:top w:val="single" w:color="000000" w:sz="4" w:space="0"/>
              <w:left w:val="single" w:color="000000" w:sz="4" w:space="0"/>
              <w:bottom w:val="single" w:color="000000" w:sz="4" w:space="0"/>
              <w:right w:val="single" w:color="000000" w:sz="4" w:space="0"/>
            </w:tcBorders>
            <w:noWrap w:val="0"/>
            <w:vAlign w:val="top"/>
          </w:tcPr>
          <w:p w14:paraId="4FD290A1">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资源环境与社会事业领域,绿色低碳</w:t>
            </w:r>
          </w:p>
        </w:tc>
        <w:tc>
          <w:tcPr>
            <w:tcW w:w="788" w:type="pct"/>
            <w:tcBorders>
              <w:top w:val="single" w:color="000000" w:sz="4" w:space="0"/>
              <w:left w:val="single" w:color="000000" w:sz="4" w:space="0"/>
              <w:bottom w:val="single" w:color="000000" w:sz="4" w:space="0"/>
              <w:right w:val="single" w:color="000000" w:sz="4" w:space="0"/>
            </w:tcBorders>
            <w:noWrap w:val="0"/>
            <w:vAlign w:val="top"/>
          </w:tcPr>
          <w:p w14:paraId="6C9E615E">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1.生物净化强化技术研究：分析低温环境下难溶性VOCs生物净化效果及核心限制因素，厘清关键控制参数；搭建并优化高效耦合处理工艺，重点探究生物法协同预处理成套技术路径；开展模拟工况试验，验证耦合工艺实际处理运行性能。2.高效菌剂筛选：面向典型VOCs恶臭废气污染物，筛选、分离纯化、富集高降解活性功能微生物，制备稳定性优异专用微生物菌剂，完成小试试验并评价其污染物降解能力。3.功能化生物填料研究：开发适配高效生物净化体系的新型改性功能填料，全面检测、表征填料各项核心理化指标。</w:t>
            </w:r>
          </w:p>
        </w:tc>
        <w:tc>
          <w:tcPr>
            <w:tcW w:w="1057" w:type="pct"/>
            <w:tcBorders>
              <w:top w:val="single" w:color="000000" w:sz="4" w:space="0"/>
              <w:left w:val="single" w:color="000000" w:sz="4" w:space="0"/>
              <w:bottom w:val="single" w:color="000000" w:sz="4" w:space="0"/>
              <w:right w:val="single" w:color="000000" w:sz="4" w:space="0"/>
            </w:tcBorders>
            <w:noWrap w:val="0"/>
            <w:vAlign w:val="top"/>
          </w:tcPr>
          <w:p w14:paraId="3703886E">
            <w:pPr>
              <w:rPr>
                <w:rFonts w:hint="default"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1.</w:t>
            </w:r>
            <w:r>
              <w:rPr>
                <w:rFonts w:hint="default" w:ascii="宋体" w:hAnsi="宋体" w:eastAsia="宋体" w:cs="宋体"/>
                <w:color w:val="auto"/>
                <w:szCs w:val="21"/>
                <w:highlight w:val="none"/>
                <w:lang w:val="en-US" w:eastAsia="zh-CN"/>
              </w:rPr>
              <w:t>‌知识产权‌：申请</w:t>
            </w:r>
            <w:r>
              <w:rPr>
                <w:rFonts w:hint="eastAsia" w:ascii="宋体" w:hAnsi="宋体" w:eastAsia="宋体" w:cs="宋体"/>
                <w:color w:val="auto"/>
                <w:szCs w:val="21"/>
                <w:highlight w:val="none"/>
                <w:lang w:val="en-US" w:eastAsia="zh-CN"/>
              </w:rPr>
              <w:t>相关</w:t>
            </w:r>
            <w:r>
              <w:rPr>
                <w:rFonts w:hint="default" w:ascii="宋体" w:hAnsi="宋体" w:eastAsia="宋体" w:cs="宋体"/>
                <w:color w:val="auto"/>
                <w:szCs w:val="21"/>
                <w:highlight w:val="none"/>
                <w:lang w:val="en-US" w:eastAsia="zh-CN"/>
              </w:rPr>
              <w:t>专利‌2‌项</w:t>
            </w:r>
            <w:r>
              <w:rPr>
                <w:rFonts w:hint="eastAsia" w:ascii="宋体" w:hAnsi="宋体" w:eastAsia="宋体" w:cs="宋体"/>
                <w:color w:val="auto"/>
                <w:szCs w:val="21"/>
                <w:highlight w:val="none"/>
                <w:lang w:val="en-US" w:eastAsia="zh-CN"/>
              </w:rPr>
              <w:t>及以上</w:t>
            </w:r>
            <w:r>
              <w:rPr>
                <w:rFonts w:hint="default" w:ascii="宋体" w:hAnsi="宋体" w:eastAsia="宋体" w:cs="宋体"/>
                <w:color w:val="auto"/>
                <w:szCs w:val="21"/>
                <w:highlight w:val="none"/>
                <w:lang w:val="en-US" w:eastAsia="zh-CN"/>
              </w:rPr>
              <w:t>。</w:t>
            </w:r>
          </w:p>
          <w:p w14:paraId="20FE86D1">
            <w:pPr>
              <w:rPr>
                <w:rFonts w:hint="default"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2.</w:t>
            </w:r>
            <w:r>
              <w:rPr>
                <w:rFonts w:hint="default" w:ascii="宋体" w:hAnsi="宋体" w:eastAsia="宋体" w:cs="宋体"/>
                <w:color w:val="auto"/>
                <w:szCs w:val="21"/>
                <w:highlight w:val="none"/>
                <w:lang w:val="en-US" w:eastAsia="zh-CN"/>
              </w:rPr>
              <w:t>菌剂研发‌：开发高效微生物功能菌剂产品</w:t>
            </w:r>
            <w:r>
              <w:rPr>
                <w:rFonts w:hint="eastAsia" w:ascii="宋体" w:hAnsi="宋体" w:eastAsia="宋体" w:cs="宋体"/>
                <w:color w:val="auto"/>
                <w:szCs w:val="21"/>
                <w:highlight w:val="none"/>
                <w:lang w:val="en-US" w:eastAsia="zh-CN"/>
              </w:rPr>
              <w:t>1</w:t>
            </w:r>
            <w:r>
              <w:rPr>
                <w:rFonts w:hint="default" w:ascii="宋体" w:hAnsi="宋体" w:eastAsia="宋体" w:cs="宋体"/>
                <w:color w:val="auto"/>
                <w:szCs w:val="21"/>
                <w:highlight w:val="none"/>
                <w:lang w:val="en-US" w:eastAsia="zh-CN"/>
              </w:rPr>
              <w:t>‌种。</w:t>
            </w:r>
          </w:p>
          <w:p w14:paraId="60C39880">
            <w:pPr>
              <w:rPr>
                <w:rFonts w:hint="default"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3.</w:t>
            </w:r>
            <w:r>
              <w:rPr>
                <w:rFonts w:hint="default" w:ascii="宋体" w:hAnsi="宋体" w:eastAsia="宋体" w:cs="宋体"/>
                <w:color w:val="auto"/>
                <w:szCs w:val="21"/>
                <w:highlight w:val="none"/>
                <w:lang w:val="en-US" w:eastAsia="zh-CN"/>
              </w:rPr>
              <w:t>填料研发‌：开发适用于</w:t>
            </w:r>
            <w:r>
              <w:rPr>
                <w:rFonts w:hint="eastAsia" w:ascii="宋体" w:hAnsi="宋体" w:eastAsia="宋体" w:cs="宋体"/>
                <w:color w:val="auto"/>
                <w:szCs w:val="21"/>
                <w:highlight w:val="none"/>
                <w:lang w:val="en-US" w:eastAsia="zh-CN"/>
              </w:rPr>
              <w:t>生物净化</w:t>
            </w:r>
            <w:r>
              <w:rPr>
                <w:rFonts w:hint="default" w:ascii="宋体" w:hAnsi="宋体" w:eastAsia="宋体" w:cs="宋体"/>
                <w:color w:val="auto"/>
                <w:szCs w:val="21"/>
                <w:highlight w:val="none"/>
                <w:lang w:val="en-US" w:eastAsia="zh-CN"/>
              </w:rPr>
              <w:t>工艺的功能性填料</w:t>
            </w:r>
            <w:r>
              <w:rPr>
                <w:rFonts w:hint="eastAsia" w:ascii="宋体" w:hAnsi="宋体" w:eastAsia="宋体" w:cs="宋体"/>
                <w:color w:val="auto"/>
                <w:szCs w:val="21"/>
                <w:highlight w:val="none"/>
                <w:lang w:val="en-US" w:eastAsia="zh-CN"/>
              </w:rPr>
              <w:t>1</w:t>
            </w:r>
            <w:r>
              <w:rPr>
                <w:rFonts w:hint="default" w:ascii="宋体" w:hAnsi="宋体" w:eastAsia="宋体" w:cs="宋体"/>
                <w:color w:val="auto"/>
                <w:szCs w:val="21"/>
                <w:highlight w:val="none"/>
                <w:lang w:val="en-US" w:eastAsia="zh-CN"/>
              </w:rPr>
              <w:t>‌种。</w:t>
            </w:r>
          </w:p>
          <w:p w14:paraId="2E7AF9C2">
            <w:pPr>
              <w:rPr>
                <w:rFonts w:hint="eastAsia" w:ascii="宋体" w:hAnsi="宋体" w:eastAsia="宋体" w:cs="宋体"/>
                <w:i w:val="0"/>
                <w:iCs w:val="0"/>
                <w:color w:val="auto"/>
                <w:sz w:val="21"/>
                <w:szCs w:val="21"/>
                <w:highlight w:val="none"/>
                <w:u w:val="none"/>
              </w:rPr>
            </w:pPr>
            <w:r>
              <w:rPr>
                <w:rFonts w:hint="eastAsia" w:ascii="宋体" w:hAnsi="宋体" w:eastAsia="宋体" w:cs="宋体"/>
                <w:color w:val="auto"/>
                <w:szCs w:val="21"/>
                <w:highlight w:val="none"/>
                <w:lang w:val="en-US" w:eastAsia="zh-CN"/>
              </w:rPr>
              <w:t>4.技术应用</w:t>
            </w:r>
            <w:r>
              <w:rPr>
                <w:rFonts w:hint="default" w:ascii="宋体" w:hAnsi="宋体" w:eastAsia="宋体" w:cs="宋体"/>
                <w:color w:val="auto"/>
                <w:szCs w:val="21"/>
                <w:highlight w:val="none"/>
                <w:lang w:val="en-US" w:eastAsia="zh-CN"/>
              </w:rPr>
              <w:t>‌：</w:t>
            </w:r>
            <w:r>
              <w:rPr>
                <w:rFonts w:hint="eastAsia" w:ascii="宋体" w:hAnsi="宋体" w:eastAsia="宋体" w:cs="宋体"/>
                <w:color w:val="auto"/>
                <w:szCs w:val="21"/>
                <w:highlight w:val="none"/>
                <w:lang w:val="en-US" w:eastAsia="zh-CN"/>
              </w:rPr>
              <w:t>该技术应用于示范项目1项</w:t>
            </w:r>
            <w:r>
              <w:rPr>
                <w:rFonts w:hint="eastAsia" w:ascii="Times New Roman" w:hAnsi="Times New Roman" w:cs="Times New Roman"/>
                <w:b w:val="0"/>
                <w:bCs w:val="0"/>
                <w:color w:val="auto"/>
                <w:highlight w:val="none"/>
                <w:lang w:val="en-US" w:eastAsia="zh-CN"/>
              </w:rPr>
              <w:t>。</w:t>
            </w:r>
          </w:p>
        </w:tc>
        <w:tc>
          <w:tcPr>
            <w:tcW w:w="225" w:type="pct"/>
            <w:tcBorders>
              <w:top w:val="single" w:color="000000" w:sz="4" w:space="0"/>
              <w:left w:val="single" w:color="000000" w:sz="4" w:space="0"/>
              <w:bottom w:val="single" w:color="000000" w:sz="4" w:space="0"/>
              <w:right w:val="single" w:color="000000" w:sz="4" w:space="0"/>
            </w:tcBorders>
            <w:noWrap w:val="0"/>
            <w:vAlign w:val="top"/>
          </w:tcPr>
          <w:p w14:paraId="0288058D">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河南郑大嘉源环保技术有限公司</w:t>
            </w:r>
          </w:p>
        </w:tc>
        <w:tc>
          <w:tcPr>
            <w:tcW w:w="202" w:type="pct"/>
            <w:tcBorders>
              <w:top w:val="single" w:color="000000" w:sz="4" w:space="0"/>
              <w:left w:val="single" w:color="000000" w:sz="4" w:space="0"/>
              <w:bottom w:val="single" w:color="000000" w:sz="4" w:space="0"/>
              <w:right w:val="single" w:color="000000" w:sz="4" w:space="0"/>
            </w:tcBorders>
            <w:noWrap w:val="0"/>
            <w:vAlign w:val="top"/>
          </w:tcPr>
          <w:p w14:paraId="7B430676">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210</w:t>
            </w:r>
          </w:p>
        </w:tc>
        <w:tc>
          <w:tcPr>
            <w:tcW w:w="238" w:type="pct"/>
            <w:tcBorders>
              <w:top w:val="single" w:color="000000" w:sz="4" w:space="0"/>
              <w:left w:val="single" w:color="000000" w:sz="4" w:space="0"/>
              <w:bottom w:val="single" w:color="000000" w:sz="4" w:space="0"/>
              <w:right w:val="single" w:color="000000" w:sz="4" w:space="0"/>
            </w:tcBorders>
            <w:noWrap w:val="0"/>
            <w:vAlign w:val="top"/>
          </w:tcPr>
          <w:p w14:paraId="22649E68">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210</w:t>
            </w:r>
          </w:p>
        </w:tc>
        <w:tc>
          <w:tcPr>
            <w:tcW w:w="202" w:type="pct"/>
            <w:tcBorders>
              <w:top w:val="single" w:color="000000" w:sz="4" w:space="0"/>
              <w:left w:val="single" w:color="000000" w:sz="4" w:space="0"/>
              <w:bottom w:val="single" w:color="000000" w:sz="4" w:space="0"/>
              <w:right w:val="single" w:color="000000" w:sz="4" w:space="0"/>
            </w:tcBorders>
            <w:noWrap w:val="0"/>
            <w:vAlign w:val="top"/>
          </w:tcPr>
          <w:p w14:paraId="5CEA8CE9">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2年</w:t>
            </w:r>
          </w:p>
        </w:tc>
        <w:tc>
          <w:tcPr>
            <w:tcW w:w="823" w:type="pct"/>
            <w:tcBorders>
              <w:top w:val="single" w:color="000000" w:sz="4" w:space="0"/>
              <w:left w:val="single" w:color="000000" w:sz="4" w:space="0"/>
              <w:bottom w:val="single" w:color="000000" w:sz="4" w:space="0"/>
              <w:right w:val="single" w:color="000000" w:sz="4" w:space="0"/>
            </w:tcBorders>
            <w:noWrap w:val="0"/>
            <w:vAlign w:val="top"/>
          </w:tcPr>
          <w:p w14:paraId="707FA5B3">
            <w:pPr>
              <w:keepNext w:val="0"/>
              <w:keepLines w:val="0"/>
              <w:pageBreakBefore w:val="0"/>
              <w:widowControl/>
              <w:numPr>
                <w:ilvl w:val="0"/>
                <w:numId w:val="0"/>
              </w:numPr>
              <w:suppressLineNumbers w:val="0"/>
              <w:kinsoku/>
              <w:wordWrap/>
              <w:overflowPunct/>
              <w:topLinePunct w:val="0"/>
              <w:autoSpaceDE/>
              <w:autoSpaceDN/>
              <w:bidi w:val="0"/>
              <w:adjustRightInd/>
              <w:snapToGrid/>
              <w:spacing w:line="280" w:lineRule="exact"/>
              <w:ind w:leftChars="0"/>
              <w:jc w:val="left"/>
              <w:textAlignment w:val="top"/>
              <w:rPr>
                <w:rFonts w:hint="eastAsia" w:ascii="Times New Roman" w:hAnsi="Times New Roman" w:cs="Times New Roman"/>
                <w:b w:val="0"/>
                <w:bCs w:val="0"/>
                <w:color w:val="auto"/>
                <w:highlight w:val="none"/>
                <w:lang w:val="en-US" w:eastAsia="zh-CN"/>
              </w:rPr>
            </w:pPr>
            <w:r>
              <w:rPr>
                <w:rFonts w:hint="eastAsia" w:ascii="Times New Roman" w:hAnsi="Times New Roman" w:cs="Times New Roman"/>
                <w:b w:val="0"/>
                <w:bCs w:val="0"/>
                <w:color w:val="auto"/>
                <w:highlight w:val="none"/>
                <w:lang w:val="en-US" w:eastAsia="zh-CN"/>
              </w:rPr>
              <w:t>1.申请专利2项。</w:t>
            </w:r>
          </w:p>
          <w:p w14:paraId="2D7621B3">
            <w:pPr>
              <w:keepNext w:val="0"/>
              <w:keepLines w:val="0"/>
              <w:pageBreakBefore w:val="0"/>
              <w:widowControl/>
              <w:numPr>
                <w:ilvl w:val="0"/>
                <w:numId w:val="0"/>
              </w:numPr>
              <w:suppressLineNumbers w:val="0"/>
              <w:kinsoku/>
              <w:wordWrap/>
              <w:overflowPunct/>
              <w:topLinePunct w:val="0"/>
              <w:autoSpaceDE/>
              <w:autoSpaceDN/>
              <w:bidi w:val="0"/>
              <w:adjustRightInd/>
              <w:snapToGrid/>
              <w:spacing w:line="280" w:lineRule="exact"/>
              <w:ind w:leftChars="0"/>
              <w:jc w:val="left"/>
              <w:textAlignment w:val="top"/>
              <w:rPr>
                <w:rFonts w:hint="eastAsia" w:ascii="Times New Roman" w:hAnsi="Times New Roman" w:cs="Times New Roman"/>
                <w:b w:val="0"/>
                <w:bCs w:val="0"/>
                <w:color w:val="auto"/>
                <w:highlight w:val="none"/>
                <w:lang w:val="en-US" w:eastAsia="zh-CN"/>
              </w:rPr>
            </w:pPr>
            <w:r>
              <w:rPr>
                <w:rFonts w:hint="eastAsia" w:ascii="Times New Roman" w:hAnsi="Times New Roman" w:cs="Times New Roman"/>
                <w:b w:val="0"/>
                <w:bCs w:val="0"/>
                <w:color w:val="auto"/>
                <w:highlight w:val="none"/>
                <w:lang w:val="en-US" w:eastAsia="zh-CN"/>
              </w:rPr>
              <w:t>2.发表高水平论文2篇。</w:t>
            </w:r>
          </w:p>
          <w:p w14:paraId="26F794B4">
            <w:pPr>
              <w:keepNext w:val="0"/>
              <w:keepLines w:val="0"/>
              <w:pageBreakBefore w:val="0"/>
              <w:widowControl/>
              <w:numPr>
                <w:ilvl w:val="0"/>
                <w:numId w:val="0"/>
              </w:numPr>
              <w:suppressLineNumbers w:val="0"/>
              <w:kinsoku/>
              <w:wordWrap/>
              <w:overflowPunct/>
              <w:topLinePunct w:val="0"/>
              <w:autoSpaceDE/>
              <w:autoSpaceDN/>
              <w:bidi w:val="0"/>
              <w:adjustRightInd/>
              <w:snapToGrid/>
              <w:spacing w:line="280" w:lineRule="exact"/>
              <w:ind w:leftChars="0"/>
              <w:jc w:val="left"/>
              <w:textAlignment w:val="top"/>
              <w:rPr>
                <w:rFonts w:hint="default" w:ascii="Times New Roman" w:hAnsi="Times New Roman" w:cs="Times New Roman"/>
                <w:color w:val="auto"/>
                <w:highlight w:val="none"/>
                <w:lang w:val="en-US" w:eastAsia="zh-CN"/>
              </w:rPr>
            </w:pPr>
            <w:r>
              <w:rPr>
                <w:rFonts w:hint="eastAsia" w:ascii="Times New Roman" w:hAnsi="Times New Roman" w:cs="Times New Roman"/>
                <w:b w:val="0"/>
                <w:bCs w:val="0"/>
                <w:color w:val="auto"/>
                <w:highlight w:val="none"/>
                <w:lang w:val="en-US" w:eastAsia="zh-CN"/>
              </w:rPr>
              <w:t>3.技术应用于示范项目1项</w:t>
            </w:r>
            <w:r>
              <w:rPr>
                <w:rFonts w:hint="default" w:ascii="Times New Roman" w:hAnsi="Times New Roman" w:cs="Times New Roman"/>
                <w:color w:val="auto"/>
                <w:highlight w:val="none"/>
                <w:lang w:val="en-US" w:eastAsia="zh-CN"/>
              </w:rPr>
              <w:t>‌。</w:t>
            </w:r>
          </w:p>
          <w:p w14:paraId="6A125129">
            <w:pPr>
              <w:keepNext w:val="0"/>
              <w:keepLines w:val="0"/>
              <w:pageBreakBefore w:val="0"/>
              <w:widowControl/>
              <w:numPr>
                <w:ilvl w:val="0"/>
                <w:numId w:val="0"/>
              </w:numPr>
              <w:suppressLineNumbers w:val="0"/>
              <w:kinsoku/>
              <w:wordWrap/>
              <w:overflowPunct/>
              <w:topLinePunct w:val="0"/>
              <w:autoSpaceDE/>
              <w:autoSpaceDN/>
              <w:bidi w:val="0"/>
              <w:adjustRightInd/>
              <w:snapToGrid/>
              <w:spacing w:line="280" w:lineRule="exact"/>
              <w:ind w:left="0" w:leftChars="0" w:firstLine="0" w:firstLineChars="0"/>
              <w:jc w:val="left"/>
              <w:textAlignment w:val="top"/>
              <w:rPr>
                <w:rFonts w:hint="eastAsia" w:ascii="宋体" w:hAnsi="宋体" w:eastAsia="宋体" w:cs="宋体"/>
                <w:i w:val="0"/>
                <w:iCs w:val="0"/>
                <w:color w:val="auto"/>
                <w:sz w:val="21"/>
                <w:szCs w:val="21"/>
                <w:highlight w:val="none"/>
                <w:u w:val="none"/>
              </w:rPr>
            </w:pPr>
          </w:p>
        </w:tc>
        <w:tc>
          <w:tcPr>
            <w:tcW w:w="316" w:type="pct"/>
            <w:tcBorders>
              <w:top w:val="single" w:color="000000" w:sz="4" w:space="0"/>
              <w:left w:val="single" w:color="000000" w:sz="4" w:space="0"/>
              <w:bottom w:val="single" w:color="000000" w:sz="4" w:space="0"/>
              <w:right w:val="single" w:color="000000" w:sz="4" w:space="0"/>
            </w:tcBorders>
            <w:noWrap w:val="0"/>
            <w:vAlign w:val="top"/>
          </w:tcPr>
          <w:p w14:paraId="2754F760">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张会敏15515811128</w:t>
            </w:r>
          </w:p>
        </w:tc>
        <w:tc>
          <w:tcPr>
            <w:tcW w:w="238" w:type="pct"/>
            <w:tcBorders>
              <w:top w:val="single" w:color="000000" w:sz="4" w:space="0"/>
              <w:left w:val="single" w:color="000000" w:sz="4" w:space="0"/>
              <w:bottom w:val="single" w:color="000000" w:sz="4" w:space="0"/>
              <w:right w:val="single" w:color="000000" w:sz="4" w:space="0"/>
            </w:tcBorders>
            <w:noWrap w:val="0"/>
            <w:vAlign w:val="top"/>
          </w:tcPr>
          <w:p w14:paraId="057B88D6">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高新区</w:t>
            </w:r>
          </w:p>
        </w:tc>
      </w:tr>
      <w:tr w14:paraId="3AFA0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6" w:hRule="atLeast"/>
        </w:trPr>
        <w:tc>
          <w:tcPr>
            <w:tcW w:w="181" w:type="pct"/>
            <w:tcBorders>
              <w:top w:val="single" w:color="000000" w:sz="4" w:space="0"/>
              <w:left w:val="single" w:color="000000" w:sz="4" w:space="0"/>
              <w:bottom w:val="single" w:color="000000" w:sz="4" w:space="0"/>
              <w:right w:val="single" w:color="000000" w:sz="4" w:space="0"/>
            </w:tcBorders>
            <w:noWrap w:val="0"/>
            <w:vAlign w:val="center"/>
          </w:tcPr>
          <w:p w14:paraId="3C75574D">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eastAsia" w:ascii="宋体" w:hAnsi="宋体" w:eastAsia="宋体" w:cs="宋体"/>
                <w:i w:val="0"/>
                <w:iCs w:val="0"/>
                <w:color w:val="auto"/>
                <w:sz w:val="21"/>
                <w:szCs w:val="21"/>
                <w:highlight w:val="none"/>
                <w:u w:val="none"/>
              </w:rPr>
            </w:pPr>
            <w:r>
              <w:rPr>
                <w:rFonts w:hint="eastAsia" w:ascii="宋体" w:hAnsi="宋体" w:cs="宋体"/>
                <w:i w:val="0"/>
                <w:iCs w:val="0"/>
                <w:color w:val="auto"/>
                <w:kern w:val="0"/>
                <w:sz w:val="21"/>
                <w:szCs w:val="21"/>
                <w:highlight w:val="none"/>
                <w:u w:val="none"/>
                <w:lang w:val="en-US" w:eastAsia="zh-CN" w:bidi="ar"/>
              </w:rPr>
              <w:t>7</w:t>
            </w:r>
          </w:p>
        </w:tc>
        <w:tc>
          <w:tcPr>
            <w:tcW w:w="446" w:type="pct"/>
            <w:tcBorders>
              <w:top w:val="single" w:color="000000" w:sz="4" w:space="0"/>
              <w:left w:val="single" w:color="000000" w:sz="4" w:space="0"/>
              <w:bottom w:val="single" w:color="000000" w:sz="4" w:space="0"/>
              <w:right w:val="single" w:color="000000" w:sz="4" w:space="0"/>
            </w:tcBorders>
            <w:noWrap w:val="0"/>
            <w:vAlign w:val="top"/>
          </w:tcPr>
          <w:p w14:paraId="036311F8">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超低负压旋射流气液交换技术</w:t>
            </w:r>
          </w:p>
        </w:tc>
        <w:tc>
          <w:tcPr>
            <w:tcW w:w="276" w:type="pct"/>
            <w:tcBorders>
              <w:top w:val="single" w:color="000000" w:sz="4" w:space="0"/>
              <w:left w:val="single" w:color="000000" w:sz="4" w:space="0"/>
              <w:bottom w:val="single" w:color="000000" w:sz="4" w:space="0"/>
              <w:right w:val="single" w:color="000000" w:sz="4" w:space="0"/>
            </w:tcBorders>
            <w:noWrap w:val="0"/>
            <w:vAlign w:val="top"/>
          </w:tcPr>
          <w:p w14:paraId="32145505">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资源环境与社会事业领域,绿色低碳</w:t>
            </w:r>
          </w:p>
        </w:tc>
        <w:tc>
          <w:tcPr>
            <w:tcW w:w="788" w:type="pct"/>
            <w:tcBorders>
              <w:top w:val="single" w:color="000000" w:sz="4" w:space="0"/>
              <w:left w:val="single" w:color="000000" w:sz="4" w:space="0"/>
              <w:bottom w:val="single" w:color="000000" w:sz="4" w:space="0"/>
              <w:right w:val="single" w:color="000000" w:sz="4" w:space="0"/>
            </w:tcBorders>
            <w:noWrap w:val="0"/>
            <w:vAlign w:val="top"/>
          </w:tcPr>
          <w:p w14:paraId="687CE152">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1.超低负压多物理场耦合仿真与结构优化：建立气-液-固三相流耦合模型，研究旋射流发生器在不同负压、风速、粉尘浓度下的流场分布与传质规律，优化流道几何参数及叶片排布，提升低能耗下的离心分离效率。2.动态自清洁与排渣连续运行机制：开发基于时序控制与压力反馈联动的全方位自清洁系统，研究高粘性粉尘在微孔转网表面的粘附与剥离机理，实现不停机自动清渣、排渣及水循环利用。3.功能纤维接枝改性及其与旋射流耦合净化技术：设计并合成RPF官能团接枝改性纤维新材料，通过调控官能团密度与亲疏水平衡，实现对烟草加工典型VOCs（烟碱、酮类、酚类等）的高效选择性吸附；将纤维以填料形式集成于旋射流系统内解决传统吸附材料难题。</w:t>
            </w:r>
          </w:p>
        </w:tc>
        <w:tc>
          <w:tcPr>
            <w:tcW w:w="1057" w:type="pct"/>
            <w:tcBorders>
              <w:top w:val="single" w:color="000000" w:sz="4" w:space="0"/>
              <w:left w:val="single" w:color="000000" w:sz="4" w:space="0"/>
              <w:bottom w:val="single" w:color="000000" w:sz="4" w:space="0"/>
              <w:right w:val="single" w:color="000000" w:sz="4" w:space="0"/>
            </w:tcBorders>
            <w:noWrap w:val="0"/>
            <w:vAlign w:val="top"/>
          </w:tcPr>
          <w:p w14:paraId="6629AE2B">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1.技术性能指标:研发出超低负压旋射流气液交换系统工程样机不少于3台套,覆盖风量范围2万~12万m3/h;系统在额定工况下粉尘排放浓度≤10mg/m3,异味去除率≥90%,净化水循环利用率≥95%;系统运行能耗较传统袋式除尘+异味处理模式降低≥35%;排潮系统恒压恒阻运行稳定率提升≥45%,火灾隐患消除率达100%。</w:t>
            </w:r>
          </w:p>
          <w:p w14:paraId="07B0D5B6">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2.材料与知识产权指标:开发出RPF官能团接枝改性纤维新材料配方不少于2种,对烟草加工典型VOCs(烟碱、酮类、酚类等)的吸附容量较常规活性炭纤维提升≥30%;申请发明专利不少于8项(其中至少3项进入实质审查),形成核心自主知识产权群;制定企业技术标准不少于1项。</w:t>
            </w:r>
          </w:p>
          <w:p w14:paraId="761FF946">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3.示范应用指标:在不少于3个典型烟草工艺场景(如薄板烘丝、加香、加料等)完成工程样机现场验证,单台套连续稳定运行时间不少于720小时,各项技术指标经第三方检测机构出具检验报告认证;形成模块化、标准化的产品设计图纸及工艺文件1套,具备产业化推广条件。</w:t>
            </w:r>
          </w:p>
        </w:tc>
        <w:tc>
          <w:tcPr>
            <w:tcW w:w="225" w:type="pct"/>
            <w:tcBorders>
              <w:top w:val="single" w:color="000000" w:sz="4" w:space="0"/>
              <w:left w:val="single" w:color="000000" w:sz="4" w:space="0"/>
              <w:bottom w:val="single" w:color="000000" w:sz="4" w:space="0"/>
              <w:right w:val="single" w:color="000000" w:sz="4" w:space="0"/>
            </w:tcBorders>
            <w:noWrap w:val="0"/>
            <w:vAlign w:val="top"/>
          </w:tcPr>
          <w:p w14:paraId="741DD804">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郑州世峰节能科技有限公司</w:t>
            </w:r>
          </w:p>
        </w:tc>
        <w:tc>
          <w:tcPr>
            <w:tcW w:w="202" w:type="pct"/>
            <w:tcBorders>
              <w:top w:val="single" w:color="000000" w:sz="4" w:space="0"/>
              <w:left w:val="single" w:color="000000" w:sz="4" w:space="0"/>
              <w:bottom w:val="single" w:color="000000" w:sz="4" w:space="0"/>
              <w:right w:val="single" w:color="000000" w:sz="4" w:space="0"/>
            </w:tcBorders>
            <w:noWrap w:val="0"/>
            <w:vAlign w:val="top"/>
          </w:tcPr>
          <w:p w14:paraId="11415AF2">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500</w:t>
            </w:r>
          </w:p>
        </w:tc>
        <w:tc>
          <w:tcPr>
            <w:tcW w:w="238" w:type="pct"/>
            <w:tcBorders>
              <w:top w:val="single" w:color="000000" w:sz="4" w:space="0"/>
              <w:left w:val="single" w:color="000000" w:sz="4" w:space="0"/>
              <w:bottom w:val="single" w:color="000000" w:sz="4" w:space="0"/>
              <w:right w:val="single" w:color="000000" w:sz="4" w:space="0"/>
            </w:tcBorders>
            <w:noWrap w:val="0"/>
            <w:vAlign w:val="top"/>
          </w:tcPr>
          <w:p w14:paraId="0DE3CE6D">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350</w:t>
            </w:r>
          </w:p>
        </w:tc>
        <w:tc>
          <w:tcPr>
            <w:tcW w:w="202" w:type="pct"/>
            <w:tcBorders>
              <w:top w:val="single" w:color="000000" w:sz="4" w:space="0"/>
              <w:left w:val="single" w:color="000000" w:sz="4" w:space="0"/>
              <w:bottom w:val="single" w:color="000000" w:sz="4" w:space="0"/>
              <w:right w:val="single" w:color="000000" w:sz="4" w:space="0"/>
            </w:tcBorders>
            <w:noWrap w:val="0"/>
            <w:vAlign w:val="top"/>
          </w:tcPr>
          <w:p w14:paraId="408EADDD">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2年</w:t>
            </w:r>
          </w:p>
        </w:tc>
        <w:tc>
          <w:tcPr>
            <w:tcW w:w="823" w:type="pct"/>
            <w:tcBorders>
              <w:top w:val="single" w:color="000000" w:sz="4" w:space="0"/>
              <w:left w:val="single" w:color="000000" w:sz="4" w:space="0"/>
              <w:bottom w:val="single" w:color="000000" w:sz="4" w:space="0"/>
              <w:right w:val="single" w:color="000000" w:sz="4" w:space="0"/>
            </w:tcBorders>
            <w:noWrap w:val="0"/>
            <w:vAlign w:val="top"/>
          </w:tcPr>
          <w:p w14:paraId="14F8B4C7">
            <w:pPr>
              <w:keepNext w:val="0"/>
              <w:keepLines w:val="0"/>
              <w:pageBreakBefore w:val="0"/>
              <w:widowControl/>
              <w:numPr>
                <w:ilvl w:val="0"/>
                <w:numId w:val="0"/>
              </w:numPr>
              <w:suppressLineNumbers w:val="0"/>
              <w:kinsoku/>
              <w:wordWrap/>
              <w:overflowPunct/>
              <w:topLinePunct w:val="0"/>
              <w:autoSpaceDE/>
              <w:autoSpaceDN/>
              <w:bidi w:val="0"/>
              <w:adjustRightInd/>
              <w:snapToGrid/>
              <w:spacing w:line="280" w:lineRule="exact"/>
              <w:jc w:val="left"/>
              <w:textAlignment w:val="top"/>
              <w:rPr>
                <w:rFonts w:hint="eastAsia" w:ascii="宋体" w:hAnsi="宋体" w:cs="宋体"/>
                <w:i w:val="0"/>
                <w:iCs w:val="0"/>
                <w:color w:val="auto"/>
                <w:sz w:val="21"/>
                <w:szCs w:val="21"/>
                <w:highlight w:val="none"/>
                <w:u w:val="none"/>
                <w:lang w:val="en-US" w:eastAsia="zh-CN"/>
              </w:rPr>
            </w:pPr>
            <w:r>
              <w:rPr>
                <w:rFonts w:hint="eastAsia" w:ascii="宋体" w:hAnsi="宋体" w:cs="宋体"/>
                <w:i w:val="0"/>
                <w:iCs w:val="0"/>
                <w:color w:val="auto"/>
                <w:sz w:val="21"/>
                <w:szCs w:val="21"/>
                <w:highlight w:val="none"/>
                <w:u w:val="none"/>
                <w:lang w:val="en-US" w:eastAsia="zh-CN"/>
              </w:rPr>
              <w:t>1.技术设计方案及仿真报告、工程样机及第三方检测报告、RPF改性纤维材料样品及性能测试报告、发明专利受理通知书及实审文件、企业技术标准草案、现场验证运行报告及用户证明等。</w:t>
            </w:r>
          </w:p>
          <w:p w14:paraId="11B66174">
            <w:pPr>
              <w:keepNext w:val="0"/>
              <w:keepLines w:val="0"/>
              <w:pageBreakBefore w:val="0"/>
              <w:widowControl/>
              <w:numPr>
                <w:ilvl w:val="0"/>
                <w:numId w:val="0"/>
              </w:numPr>
              <w:suppressLineNumbers w:val="0"/>
              <w:kinsoku/>
              <w:wordWrap/>
              <w:overflowPunct/>
              <w:topLinePunct w:val="0"/>
              <w:autoSpaceDE/>
              <w:autoSpaceDN/>
              <w:bidi w:val="0"/>
              <w:adjustRightInd/>
              <w:snapToGrid/>
              <w:spacing w:line="280" w:lineRule="exact"/>
              <w:jc w:val="left"/>
              <w:textAlignment w:val="top"/>
              <w:rPr>
                <w:rFonts w:hint="eastAsia" w:ascii="宋体" w:hAnsi="宋体" w:cs="宋体"/>
                <w:i w:val="0"/>
                <w:iCs w:val="0"/>
                <w:color w:val="auto"/>
                <w:sz w:val="21"/>
                <w:szCs w:val="21"/>
                <w:highlight w:val="none"/>
                <w:u w:val="none"/>
                <w:lang w:val="en-US" w:eastAsia="zh-CN"/>
              </w:rPr>
            </w:pPr>
            <w:r>
              <w:rPr>
                <w:rFonts w:hint="eastAsia" w:ascii="宋体" w:hAnsi="宋体" w:cs="宋体"/>
                <w:i w:val="0"/>
                <w:iCs w:val="0"/>
                <w:color w:val="auto"/>
                <w:sz w:val="21"/>
                <w:szCs w:val="21"/>
                <w:highlight w:val="none"/>
                <w:u w:val="none"/>
                <w:lang w:val="en-US" w:eastAsia="zh-CN"/>
              </w:rPr>
              <w:t>2.验收时需提供第三方权威机构出具的检验检测报告或应用证明作为佐证材料。</w:t>
            </w:r>
          </w:p>
          <w:p w14:paraId="6A70F83E">
            <w:pPr>
              <w:keepNext w:val="0"/>
              <w:keepLines w:val="0"/>
              <w:pageBreakBefore w:val="0"/>
              <w:widowControl/>
              <w:numPr>
                <w:ilvl w:val="0"/>
                <w:numId w:val="0"/>
              </w:numPr>
              <w:suppressLineNumbers w:val="0"/>
              <w:kinsoku/>
              <w:wordWrap/>
              <w:overflowPunct/>
              <w:topLinePunct w:val="0"/>
              <w:autoSpaceDE/>
              <w:autoSpaceDN/>
              <w:bidi w:val="0"/>
              <w:adjustRightInd/>
              <w:snapToGrid/>
              <w:spacing w:line="280" w:lineRule="exact"/>
              <w:ind w:left="0" w:leftChars="0" w:firstLine="0" w:firstLineChars="0"/>
              <w:jc w:val="left"/>
              <w:textAlignment w:val="top"/>
              <w:rPr>
                <w:rFonts w:hint="eastAsia" w:ascii="宋体" w:hAnsi="宋体" w:eastAsia="宋体" w:cs="宋体"/>
                <w:i w:val="0"/>
                <w:iCs w:val="0"/>
                <w:color w:val="auto"/>
                <w:sz w:val="21"/>
                <w:szCs w:val="21"/>
                <w:highlight w:val="none"/>
                <w:u w:val="none"/>
              </w:rPr>
            </w:pPr>
          </w:p>
        </w:tc>
        <w:tc>
          <w:tcPr>
            <w:tcW w:w="316" w:type="pct"/>
            <w:tcBorders>
              <w:top w:val="single" w:color="000000" w:sz="4" w:space="0"/>
              <w:left w:val="single" w:color="000000" w:sz="4" w:space="0"/>
              <w:bottom w:val="single" w:color="000000" w:sz="4" w:space="0"/>
              <w:right w:val="single" w:color="000000" w:sz="4" w:space="0"/>
            </w:tcBorders>
            <w:noWrap w:val="0"/>
            <w:vAlign w:val="top"/>
          </w:tcPr>
          <w:p w14:paraId="3769DA9E">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张钰涵15890688620</w:t>
            </w:r>
          </w:p>
        </w:tc>
        <w:tc>
          <w:tcPr>
            <w:tcW w:w="238" w:type="pct"/>
            <w:tcBorders>
              <w:top w:val="single" w:color="000000" w:sz="4" w:space="0"/>
              <w:left w:val="single" w:color="000000" w:sz="4" w:space="0"/>
              <w:bottom w:val="single" w:color="000000" w:sz="4" w:space="0"/>
              <w:right w:val="single" w:color="000000" w:sz="4" w:space="0"/>
            </w:tcBorders>
            <w:noWrap w:val="0"/>
            <w:vAlign w:val="top"/>
          </w:tcPr>
          <w:p w14:paraId="6E040198">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top"/>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金水区</w:t>
            </w:r>
          </w:p>
        </w:tc>
      </w:tr>
      <w:tr w14:paraId="77D837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7" w:hRule="atLeast"/>
        </w:trPr>
        <w:tc>
          <w:tcPr>
            <w:tcW w:w="181" w:type="pct"/>
            <w:tcBorders>
              <w:top w:val="single" w:color="000000" w:sz="4" w:space="0"/>
              <w:left w:val="single" w:color="000000" w:sz="4" w:space="0"/>
              <w:bottom w:val="single" w:color="000000" w:sz="4" w:space="0"/>
              <w:right w:val="single" w:color="000000" w:sz="4" w:space="0"/>
            </w:tcBorders>
            <w:noWrap w:val="0"/>
            <w:vAlign w:val="center"/>
          </w:tcPr>
          <w:p w14:paraId="1B13B6A0">
            <w:pPr>
              <w:keepNext w:val="0"/>
              <w:keepLines w:val="0"/>
              <w:pageBreakBefore w:val="0"/>
              <w:widowControl/>
              <w:suppressLineNumbers w:val="0"/>
              <w:kinsoku/>
              <w:wordWrap/>
              <w:overflowPunct/>
              <w:topLinePunct w:val="0"/>
              <w:autoSpaceDE/>
              <w:autoSpaceDN/>
              <w:bidi w:val="0"/>
              <w:adjustRightInd/>
              <w:snapToGrid/>
              <w:spacing w:line="280" w:lineRule="exact"/>
              <w:jc w:val="center"/>
              <w:textAlignment w:val="center"/>
              <w:rPr>
                <w:rFonts w:hint="eastAsia" w:ascii="宋体" w:hAnsi="宋体" w:eastAsia="宋体" w:cs="宋体"/>
                <w:i w:val="0"/>
                <w:iCs w:val="0"/>
                <w:color w:val="auto"/>
                <w:sz w:val="21"/>
                <w:szCs w:val="21"/>
                <w:highlight w:val="none"/>
                <w:u w:val="none"/>
              </w:rPr>
            </w:pPr>
            <w:r>
              <w:rPr>
                <w:rFonts w:hint="eastAsia" w:ascii="宋体" w:hAnsi="宋体" w:cs="宋体"/>
                <w:i w:val="0"/>
                <w:iCs w:val="0"/>
                <w:color w:val="auto"/>
                <w:kern w:val="0"/>
                <w:sz w:val="21"/>
                <w:szCs w:val="21"/>
                <w:highlight w:val="none"/>
                <w:u w:val="none"/>
                <w:lang w:val="en-US" w:eastAsia="zh-CN" w:bidi="ar"/>
              </w:rPr>
              <w:t>8</w:t>
            </w:r>
          </w:p>
        </w:tc>
        <w:tc>
          <w:tcPr>
            <w:tcW w:w="446" w:type="pct"/>
            <w:tcBorders>
              <w:top w:val="single" w:color="000000" w:sz="4" w:space="0"/>
              <w:left w:val="single" w:color="000000" w:sz="4" w:space="0"/>
              <w:bottom w:val="single" w:color="000000" w:sz="4" w:space="0"/>
              <w:right w:val="single" w:color="000000" w:sz="4" w:space="0"/>
            </w:tcBorders>
            <w:noWrap w:val="0"/>
            <w:vAlign w:val="center"/>
          </w:tcPr>
          <w:p w14:paraId="1C775EEC">
            <w:pPr>
              <w:pStyle w:val="13"/>
              <w:keepNext w:val="0"/>
              <w:keepLines w:val="0"/>
              <w:pageBreakBefore w:val="0"/>
              <w:widowControl w:val="0"/>
              <w:kinsoku/>
              <w:wordWrap/>
              <w:overflowPunct/>
              <w:topLinePunct w:val="0"/>
              <w:autoSpaceDE/>
              <w:autoSpaceDN/>
              <w:bidi w:val="0"/>
              <w:adjustRightInd/>
              <w:snapToGrid/>
              <w:spacing w:before="0"/>
              <w:ind w:left="0" w:leftChars="0" w:firstLine="0" w:firstLineChars="0"/>
              <w:jc w:val="center"/>
              <w:textAlignment w:val="auto"/>
              <w:rPr>
                <w:rFonts w:hint="eastAsia" w:ascii="宋体" w:hAnsi="宋体" w:eastAsia="宋体" w:cs="宋体"/>
                <w:i w:val="0"/>
                <w:iCs w:val="0"/>
                <w:color w:val="auto"/>
                <w:sz w:val="21"/>
                <w:szCs w:val="21"/>
                <w:highlight w:val="none"/>
                <w:u w:val="none"/>
              </w:rPr>
            </w:pPr>
            <w:r>
              <w:rPr>
                <w:rFonts w:hint="eastAsia"/>
                <w:color w:val="auto"/>
                <w:sz w:val="21"/>
                <w:szCs w:val="21"/>
                <w:highlight w:val="none"/>
                <w:vertAlign w:val="baseline"/>
                <w:lang w:val="en-US" w:eastAsia="zh-CN"/>
              </w:rPr>
              <w:t>玄武岩纤维UHPC赋能“好房子”与城市更新应用关键技术研究</w:t>
            </w:r>
          </w:p>
        </w:tc>
        <w:tc>
          <w:tcPr>
            <w:tcW w:w="276" w:type="pct"/>
            <w:tcBorders>
              <w:top w:val="single" w:color="000000" w:sz="4" w:space="0"/>
              <w:left w:val="single" w:color="000000" w:sz="4" w:space="0"/>
              <w:bottom w:val="single" w:color="000000" w:sz="4" w:space="0"/>
              <w:right w:val="single" w:color="000000" w:sz="4" w:space="0"/>
            </w:tcBorders>
            <w:noWrap w:val="0"/>
            <w:vAlign w:val="center"/>
          </w:tcPr>
          <w:p w14:paraId="3A3385BD">
            <w:pPr>
              <w:pStyle w:val="13"/>
              <w:keepNext w:val="0"/>
              <w:keepLines w:val="0"/>
              <w:pageBreakBefore w:val="0"/>
              <w:widowControl w:val="0"/>
              <w:kinsoku/>
              <w:wordWrap/>
              <w:overflowPunct/>
              <w:topLinePunct w:val="0"/>
              <w:autoSpaceDE/>
              <w:autoSpaceDN/>
              <w:bidi w:val="0"/>
              <w:adjustRightInd/>
              <w:snapToGrid/>
              <w:spacing w:before="0"/>
              <w:ind w:left="0" w:leftChars="0" w:firstLine="0" w:firstLineChars="0"/>
              <w:jc w:val="center"/>
              <w:textAlignment w:val="auto"/>
              <w:rPr>
                <w:rFonts w:hint="eastAsia" w:ascii="宋体" w:hAnsi="宋体" w:eastAsia="宋体" w:cs="宋体"/>
                <w:i w:val="0"/>
                <w:iCs w:val="0"/>
                <w:color w:val="auto"/>
                <w:sz w:val="21"/>
                <w:szCs w:val="21"/>
                <w:highlight w:val="none"/>
                <w:u w:val="none"/>
              </w:rPr>
            </w:pPr>
            <w:r>
              <w:rPr>
                <w:rFonts w:hint="eastAsia"/>
                <w:color w:val="auto"/>
                <w:sz w:val="21"/>
                <w:szCs w:val="21"/>
                <w:highlight w:val="none"/>
                <w:vertAlign w:val="baseline"/>
                <w:lang w:val="en-US" w:eastAsia="zh-CN"/>
              </w:rPr>
              <w:t>资源环境与社会事业领域/绿色低碳</w:t>
            </w:r>
          </w:p>
        </w:tc>
        <w:tc>
          <w:tcPr>
            <w:tcW w:w="788" w:type="pct"/>
            <w:tcBorders>
              <w:top w:val="single" w:color="000000" w:sz="4" w:space="0"/>
              <w:left w:val="single" w:color="000000" w:sz="4" w:space="0"/>
              <w:bottom w:val="single" w:color="000000" w:sz="4" w:space="0"/>
              <w:right w:val="single" w:color="000000" w:sz="4" w:space="0"/>
            </w:tcBorders>
            <w:noWrap w:val="0"/>
            <w:vAlign w:val="center"/>
          </w:tcPr>
          <w:p w14:paraId="3443BC0A">
            <w:pPr>
              <w:pStyle w:val="13"/>
              <w:keepNext w:val="0"/>
              <w:keepLines w:val="0"/>
              <w:pageBreakBefore w:val="0"/>
              <w:widowControl w:val="0"/>
              <w:kinsoku/>
              <w:wordWrap/>
              <w:overflowPunct/>
              <w:topLinePunct w:val="0"/>
              <w:autoSpaceDE/>
              <w:autoSpaceDN/>
              <w:bidi w:val="0"/>
              <w:adjustRightInd/>
              <w:snapToGrid/>
              <w:spacing w:before="0"/>
              <w:ind w:left="0" w:firstLine="0" w:firstLineChars="0"/>
              <w:jc w:val="left"/>
              <w:textAlignment w:val="auto"/>
              <w:rPr>
                <w:rFonts w:hint="eastAsia"/>
                <w:color w:val="auto"/>
                <w:sz w:val="21"/>
                <w:szCs w:val="21"/>
                <w:highlight w:val="none"/>
                <w:vertAlign w:val="baseline"/>
                <w:lang w:val="en-US" w:eastAsia="zh-CN"/>
              </w:rPr>
            </w:pPr>
            <w:r>
              <w:rPr>
                <w:rFonts w:hint="eastAsia"/>
                <w:color w:val="auto"/>
                <w:sz w:val="21"/>
                <w:szCs w:val="21"/>
                <w:highlight w:val="none"/>
                <w:vertAlign w:val="baseline"/>
                <w:lang w:val="en-US" w:eastAsia="zh-CN"/>
              </w:rPr>
              <w:t>1.多场景配方优化，28d抗压≥120MPa；</w:t>
            </w:r>
          </w:p>
          <w:p w14:paraId="1DC8F4AA">
            <w:pPr>
              <w:pStyle w:val="13"/>
              <w:keepNext w:val="0"/>
              <w:keepLines w:val="0"/>
              <w:pageBreakBefore w:val="0"/>
              <w:widowControl w:val="0"/>
              <w:kinsoku/>
              <w:wordWrap/>
              <w:overflowPunct/>
              <w:topLinePunct w:val="0"/>
              <w:autoSpaceDE/>
              <w:autoSpaceDN/>
              <w:bidi w:val="0"/>
              <w:adjustRightInd/>
              <w:snapToGrid/>
              <w:spacing w:before="0"/>
              <w:ind w:left="0" w:firstLine="0" w:firstLineChars="0"/>
              <w:jc w:val="left"/>
              <w:textAlignment w:val="auto"/>
              <w:rPr>
                <w:rFonts w:hint="eastAsia"/>
                <w:color w:val="auto"/>
                <w:sz w:val="21"/>
                <w:szCs w:val="21"/>
                <w:highlight w:val="none"/>
                <w:vertAlign w:val="baseline"/>
                <w:lang w:val="en-US" w:eastAsia="zh-CN"/>
              </w:rPr>
            </w:pPr>
            <w:r>
              <w:rPr>
                <w:rFonts w:hint="eastAsia"/>
                <w:color w:val="auto"/>
                <w:sz w:val="21"/>
                <w:szCs w:val="21"/>
                <w:highlight w:val="none"/>
                <w:vertAlign w:val="baseline"/>
                <w:lang w:val="en-US" w:eastAsia="zh-CN"/>
              </w:rPr>
              <w:t>2.差异化加固技术，构件承载力提升50%以上；</w:t>
            </w:r>
          </w:p>
          <w:p w14:paraId="4DA4767F">
            <w:pPr>
              <w:pStyle w:val="13"/>
              <w:keepNext w:val="0"/>
              <w:keepLines w:val="0"/>
              <w:pageBreakBefore w:val="0"/>
              <w:widowControl w:val="0"/>
              <w:kinsoku/>
              <w:wordWrap/>
              <w:overflowPunct/>
              <w:topLinePunct w:val="0"/>
              <w:autoSpaceDE/>
              <w:autoSpaceDN/>
              <w:bidi w:val="0"/>
              <w:adjustRightInd/>
              <w:snapToGrid/>
              <w:spacing w:before="0"/>
              <w:ind w:left="0" w:firstLine="0" w:firstLineChars="0"/>
              <w:jc w:val="left"/>
              <w:textAlignment w:val="auto"/>
              <w:rPr>
                <w:rFonts w:hint="eastAsia"/>
                <w:color w:val="auto"/>
                <w:sz w:val="21"/>
                <w:szCs w:val="21"/>
                <w:highlight w:val="none"/>
                <w:vertAlign w:val="baseline"/>
                <w:lang w:val="en-US" w:eastAsia="zh-CN"/>
              </w:rPr>
            </w:pPr>
            <w:r>
              <w:rPr>
                <w:rFonts w:hint="eastAsia"/>
                <w:color w:val="auto"/>
                <w:sz w:val="21"/>
                <w:szCs w:val="21"/>
                <w:highlight w:val="none"/>
                <w:vertAlign w:val="baseline"/>
                <w:lang w:val="en-US" w:eastAsia="zh-CN"/>
              </w:rPr>
              <w:t>3.宽温域施工工法，实现-5℃~40℃连续施工；</w:t>
            </w:r>
          </w:p>
          <w:p w14:paraId="6EC54EF5">
            <w:pPr>
              <w:pStyle w:val="13"/>
              <w:keepNext w:val="0"/>
              <w:keepLines w:val="0"/>
              <w:pageBreakBefore w:val="0"/>
              <w:widowControl w:val="0"/>
              <w:kinsoku/>
              <w:wordWrap/>
              <w:overflowPunct/>
              <w:topLinePunct w:val="0"/>
              <w:autoSpaceDE/>
              <w:autoSpaceDN/>
              <w:bidi w:val="0"/>
              <w:adjustRightInd/>
              <w:snapToGrid/>
              <w:spacing w:before="0"/>
              <w:ind w:left="0" w:firstLine="0" w:firstLineChars="0"/>
              <w:jc w:val="left"/>
              <w:textAlignment w:val="auto"/>
              <w:rPr>
                <w:rFonts w:hint="eastAsia"/>
                <w:color w:val="auto"/>
                <w:sz w:val="21"/>
                <w:szCs w:val="21"/>
                <w:highlight w:val="none"/>
                <w:vertAlign w:val="baseline"/>
                <w:lang w:val="en-US" w:eastAsia="zh-CN"/>
              </w:rPr>
            </w:pPr>
            <w:r>
              <w:rPr>
                <w:rFonts w:hint="eastAsia"/>
                <w:color w:val="auto"/>
                <w:sz w:val="21"/>
                <w:szCs w:val="21"/>
                <w:highlight w:val="none"/>
                <w:vertAlign w:val="baseline"/>
                <w:lang w:val="en-US" w:eastAsia="zh-CN"/>
              </w:rPr>
              <w:t>4.全流程质量管控与智能运维；</w:t>
            </w:r>
          </w:p>
          <w:p w14:paraId="082DEA10">
            <w:pPr>
              <w:pStyle w:val="13"/>
              <w:keepNext w:val="0"/>
              <w:keepLines w:val="0"/>
              <w:pageBreakBefore w:val="0"/>
              <w:widowControl w:val="0"/>
              <w:kinsoku/>
              <w:wordWrap/>
              <w:overflowPunct/>
              <w:topLinePunct w:val="0"/>
              <w:autoSpaceDE/>
              <w:autoSpaceDN/>
              <w:bidi w:val="0"/>
              <w:adjustRightInd/>
              <w:snapToGrid/>
              <w:spacing w:before="0"/>
              <w:ind w:left="0" w:leftChars="0" w:firstLine="0" w:firstLineChars="0"/>
              <w:jc w:val="left"/>
              <w:textAlignment w:val="auto"/>
              <w:rPr>
                <w:rFonts w:hint="eastAsia" w:ascii="宋体" w:hAnsi="宋体" w:eastAsia="宋体" w:cs="宋体"/>
                <w:i w:val="0"/>
                <w:iCs w:val="0"/>
                <w:color w:val="auto"/>
                <w:sz w:val="21"/>
                <w:szCs w:val="21"/>
                <w:highlight w:val="none"/>
                <w:u w:val="none"/>
              </w:rPr>
            </w:pPr>
            <w:r>
              <w:rPr>
                <w:rFonts w:hint="eastAsia"/>
                <w:color w:val="auto"/>
                <w:sz w:val="21"/>
                <w:szCs w:val="21"/>
                <w:highlight w:val="none"/>
                <w:vertAlign w:val="baseline"/>
                <w:lang w:val="en-US" w:eastAsia="zh-CN"/>
              </w:rPr>
              <w:t>5.三类示范工程建设与产业化推广。</w:t>
            </w:r>
          </w:p>
        </w:tc>
        <w:tc>
          <w:tcPr>
            <w:tcW w:w="1057" w:type="pct"/>
            <w:tcBorders>
              <w:top w:val="single" w:color="000000" w:sz="4" w:space="0"/>
              <w:left w:val="single" w:color="000000" w:sz="4" w:space="0"/>
              <w:bottom w:val="single" w:color="000000" w:sz="4" w:space="0"/>
              <w:right w:val="single" w:color="000000" w:sz="4" w:space="0"/>
            </w:tcBorders>
            <w:noWrap w:val="0"/>
            <w:vAlign w:val="center"/>
          </w:tcPr>
          <w:p w14:paraId="57599582">
            <w:pPr>
              <w:pStyle w:val="13"/>
              <w:keepNext w:val="0"/>
              <w:keepLines w:val="0"/>
              <w:pageBreakBefore w:val="0"/>
              <w:widowControl w:val="0"/>
              <w:kinsoku/>
              <w:wordWrap/>
              <w:overflowPunct/>
              <w:topLinePunct w:val="0"/>
              <w:autoSpaceDE/>
              <w:autoSpaceDN/>
              <w:bidi w:val="0"/>
              <w:adjustRightInd/>
              <w:snapToGrid/>
              <w:spacing w:before="0"/>
              <w:ind w:left="0" w:firstLine="0" w:firstLineChars="0"/>
              <w:jc w:val="left"/>
              <w:textAlignment w:val="auto"/>
              <w:rPr>
                <w:rFonts w:hint="eastAsia"/>
                <w:color w:val="auto"/>
                <w:sz w:val="21"/>
                <w:szCs w:val="21"/>
                <w:highlight w:val="none"/>
                <w:vertAlign w:val="baseline"/>
                <w:lang w:val="en-US" w:eastAsia="zh-CN"/>
              </w:rPr>
            </w:pPr>
            <w:r>
              <w:rPr>
                <w:rFonts w:hint="eastAsia"/>
                <w:b/>
                <w:bCs/>
                <w:color w:val="auto"/>
                <w:sz w:val="21"/>
                <w:szCs w:val="21"/>
                <w:highlight w:val="none"/>
                <w:vertAlign w:val="baseline"/>
                <w:lang w:val="en-US" w:eastAsia="zh-CN"/>
              </w:rPr>
              <w:t>1.任务指标：</w:t>
            </w:r>
            <w:r>
              <w:rPr>
                <w:rFonts w:hint="eastAsia"/>
                <w:color w:val="auto"/>
                <w:sz w:val="21"/>
                <w:szCs w:val="21"/>
                <w:highlight w:val="none"/>
                <w:vertAlign w:val="baseline"/>
                <w:lang w:val="en-US" w:eastAsia="zh-CN"/>
              </w:rPr>
              <w:t>形成不少于3类典型应用场景的配合比设计方案，提出不少于2种针对不同结构类型的加固技术方案，形成适应于宽温域场景的工法1套，开发质量管控与智能运维平台1套。</w:t>
            </w:r>
          </w:p>
          <w:p w14:paraId="3296364C">
            <w:pPr>
              <w:rPr>
                <w:rFonts w:hint="eastAsia" w:eastAsia="宋体"/>
                <w:color w:val="auto"/>
                <w:highlight w:val="none"/>
                <w:lang w:val="en-US" w:eastAsia="zh-CN"/>
              </w:rPr>
            </w:pPr>
            <w:r>
              <w:rPr>
                <w:rFonts w:hint="eastAsia" w:ascii="Calibri" w:hAnsi="Calibri" w:eastAsia="宋体" w:cs="Times New Roman"/>
                <w:b/>
                <w:bCs/>
                <w:color w:val="auto"/>
                <w:kern w:val="2"/>
                <w:sz w:val="21"/>
                <w:szCs w:val="21"/>
                <w:highlight w:val="none"/>
                <w:vertAlign w:val="baseline"/>
                <w:lang w:val="en-US" w:eastAsia="zh-CN" w:bidi="ar-SA"/>
              </w:rPr>
              <w:t>2.技术指标：</w:t>
            </w:r>
            <w:r>
              <w:rPr>
                <w:rFonts w:hint="eastAsia"/>
                <w:color w:val="auto"/>
                <w:sz w:val="21"/>
                <w:szCs w:val="21"/>
                <w:highlight w:val="none"/>
                <w:vertAlign w:val="baseline"/>
                <w:lang w:val="en-US" w:eastAsia="zh-CN"/>
              </w:rPr>
              <w:t>玄武岩纤维UHPC力学性能28d抗压强度≥100MPa，28d抗折强度≥15MPa，坍落扩展度≥600mm，受弯构件承载力提升≥50%，受剪构件承载力提升≥40%，在-5℃～40℃宽温域条件下，UHPC拌合物工作性能满足施工要求，28d强度不低于设计值的90%。</w:t>
            </w:r>
          </w:p>
          <w:p w14:paraId="5E0FD12A">
            <w:pPr>
              <w:pStyle w:val="13"/>
              <w:keepNext w:val="0"/>
              <w:keepLines w:val="0"/>
              <w:pageBreakBefore w:val="0"/>
              <w:widowControl w:val="0"/>
              <w:kinsoku/>
              <w:wordWrap/>
              <w:overflowPunct/>
              <w:topLinePunct w:val="0"/>
              <w:autoSpaceDE/>
              <w:autoSpaceDN/>
              <w:bidi w:val="0"/>
              <w:adjustRightInd/>
              <w:snapToGrid/>
              <w:spacing w:before="0"/>
              <w:ind w:left="0" w:firstLine="0" w:firstLineChars="0"/>
              <w:jc w:val="left"/>
              <w:textAlignment w:val="auto"/>
              <w:rPr>
                <w:rFonts w:hint="eastAsia"/>
                <w:color w:val="auto"/>
                <w:sz w:val="21"/>
                <w:szCs w:val="21"/>
                <w:highlight w:val="none"/>
                <w:vertAlign w:val="baseline"/>
                <w:lang w:val="en-US" w:eastAsia="zh-CN"/>
              </w:rPr>
            </w:pPr>
            <w:r>
              <w:rPr>
                <w:rFonts w:hint="eastAsia"/>
                <w:b/>
                <w:bCs/>
                <w:color w:val="auto"/>
                <w:sz w:val="21"/>
                <w:szCs w:val="21"/>
                <w:highlight w:val="none"/>
                <w:vertAlign w:val="baseline"/>
                <w:lang w:val="en-US" w:eastAsia="zh-CN"/>
              </w:rPr>
              <w:t>3.成果指标：</w:t>
            </w:r>
            <w:r>
              <w:rPr>
                <w:rFonts w:hint="eastAsia"/>
                <w:color w:val="auto"/>
                <w:sz w:val="21"/>
                <w:szCs w:val="21"/>
                <w:highlight w:val="none"/>
                <w:vertAlign w:val="baseline"/>
                <w:lang w:val="en-US" w:eastAsia="zh-CN"/>
              </w:rPr>
              <w:t>申请并进入实审专利8项，其中发明专利不少于5项；编制地方技术标准或施工工法2项；取得成果登记不少于2项；联合培养博士人员2人、研究生5人。</w:t>
            </w:r>
          </w:p>
          <w:p w14:paraId="209DFC21">
            <w:pPr>
              <w:pStyle w:val="13"/>
              <w:keepNext w:val="0"/>
              <w:keepLines w:val="0"/>
              <w:pageBreakBefore w:val="0"/>
              <w:widowControl w:val="0"/>
              <w:kinsoku/>
              <w:wordWrap/>
              <w:overflowPunct/>
              <w:topLinePunct w:val="0"/>
              <w:autoSpaceDE/>
              <w:autoSpaceDN/>
              <w:bidi w:val="0"/>
              <w:adjustRightInd/>
              <w:snapToGrid/>
              <w:spacing w:before="0"/>
              <w:ind w:left="0" w:leftChars="0" w:firstLine="0" w:firstLineChars="0"/>
              <w:jc w:val="left"/>
              <w:textAlignment w:val="auto"/>
              <w:rPr>
                <w:rFonts w:hint="eastAsia" w:ascii="宋体" w:hAnsi="宋体" w:eastAsia="宋体" w:cs="宋体"/>
                <w:i w:val="0"/>
                <w:iCs w:val="0"/>
                <w:color w:val="auto"/>
                <w:sz w:val="21"/>
                <w:szCs w:val="21"/>
                <w:highlight w:val="none"/>
                <w:u w:val="none"/>
              </w:rPr>
            </w:pPr>
            <w:r>
              <w:rPr>
                <w:rFonts w:hint="eastAsia"/>
                <w:b/>
                <w:bCs/>
                <w:color w:val="auto"/>
                <w:sz w:val="21"/>
                <w:szCs w:val="21"/>
                <w:highlight w:val="none"/>
                <w:vertAlign w:val="baseline"/>
                <w:lang w:val="en-US" w:eastAsia="zh-CN"/>
              </w:rPr>
              <w:t>4.效益指标：</w:t>
            </w:r>
            <w:r>
              <w:rPr>
                <w:rFonts w:hint="eastAsia"/>
                <w:color w:val="auto"/>
                <w:sz w:val="21"/>
                <w:szCs w:val="21"/>
                <w:highlight w:val="none"/>
                <w:vertAlign w:val="baseline"/>
                <w:lang w:val="en-US" w:eastAsia="zh-CN"/>
              </w:rPr>
              <w:t>实施期内双方联合新增产值不低于500万元。</w:t>
            </w:r>
          </w:p>
        </w:tc>
        <w:tc>
          <w:tcPr>
            <w:tcW w:w="225" w:type="pct"/>
            <w:tcBorders>
              <w:top w:val="single" w:color="000000" w:sz="4" w:space="0"/>
              <w:left w:val="single" w:color="000000" w:sz="4" w:space="0"/>
              <w:bottom w:val="single" w:color="000000" w:sz="4" w:space="0"/>
              <w:right w:val="single" w:color="000000" w:sz="4" w:space="0"/>
            </w:tcBorders>
            <w:noWrap w:val="0"/>
            <w:vAlign w:val="center"/>
          </w:tcPr>
          <w:p w14:paraId="6EFFE1CC">
            <w:pPr>
              <w:pStyle w:val="13"/>
              <w:keepNext w:val="0"/>
              <w:keepLines w:val="0"/>
              <w:pageBreakBefore w:val="0"/>
              <w:widowControl w:val="0"/>
              <w:kinsoku/>
              <w:wordWrap/>
              <w:overflowPunct/>
              <w:topLinePunct w:val="0"/>
              <w:autoSpaceDE/>
              <w:autoSpaceDN/>
              <w:bidi w:val="0"/>
              <w:adjustRightInd/>
              <w:snapToGrid/>
              <w:spacing w:before="0"/>
              <w:ind w:left="0" w:leftChars="0" w:firstLine="0" w:firstLineChars="0"/>
              <w:jc w:val="center"/>
              <w:textAlignment w:val="auto"/>
              <w:rPr>
                <w:rFonts w:hint="eastAsia" w:ascii="宋体" w:hAnsi="宋体" w:eastAsia="宋体" w:cs="宋体"/>
                <w:i w:val="0"/>
                <w:iCs w:val="0"/>
                <w:color w:val="auto"/>
                <w:sz w:val="21"/>
                <w:szCs w:val="21"/>
                <w:highlight w:val="none"/>
                <w:u w:val="none"/>
              </w:rPr>
            </w:pPr>
            <w:r>
              <w:rPr>
                <w:rFonts w:hint="eastAsia"/>
                <w:color w:val="auto"/>
                <w:sz w:val="21"/>
                <w:szCs w:val="21"/>
                <w:highlight w:val="none"/>
                <w:vertAlign w:val="baseline"/>
                <w:lang w:val="en-US" w:eastAsia="zh-CN"/>
              </w:rPr>
              <w:t>河南交院工程技术集团有限公司</w:t>
            </w:r>
          </w:p>
        </w:tc>
        <w:tc>
          <w:tcPr>
            <w:tcW w:w="202" w:type="pct"/>
            <w:tcBorders>
              <w:top w:val="single" w:color="000000" w:sz="4" w:space="0"/>
              <w:left w:val="single" w:color="000000" w:sz="4" w:space="0"/>
              <w:bottom w:val="single" w:color="000000" w:sz="4" w:space="0"/>
              <w:right w:val="single" w:color="000000" w:sz="4" w:space="0"/>
            </w:tcBorders>
            <w:noWrap w:val="0"/>
            <w:vAlign w:val="center"/>
          </w:tcPr>
          <w:p w14:paraId="3DEEF8DA">
            <w:pPr>
              <w:pStyle w:val="13"/>
              <w:keepNext w:val="0"/>
              <w:keepLines w:val="0"/>
              <w:pageBreakBefore w:val="0"/>
              <w:widowControl w:val="0"/>
              <w:kinsoku/>
              <w:wordWrap/>
              <w:overflowPunct/>
              <w:topLinePunct w:val="0"/>
              <w:autoSpaceDE/>
              <w:autoSpaceDN/>
              <w:bidi w:val="0"/>
              <w:adjustRightInd/>
              <w:snapToGrid/>
              <w:spacing w:before="0"/>
              <w:ind w:left="0" w:leftChars="0" w:firstLine="0" w:firstLineChars="0"/>
              <w:jc w:val="center"/>
              <w:textAlignment w:val="auto"/>
              <w:rPr>
                <w:rFonts w:hint="eastAsia" w:ascii="宋体" w:hAnsi="宋体" w:eastAsia="宋体" w:cs="宋体"/>
                <w:i w:val="0"/>
                <w:iCs w:val="0"/>
                <w:color w:val="auto"/>
                <w:sz w:val="21"/>
                <w:szCs w:val="21"/>
                <w:highlight w:val="none"/>
                <w:u w:val="none"/>
              </w:rPr>
            </w:pPr>
            <w:r>
              <w:rPr>
                <w:rFonts w:hint="eastAsia"/>
                <w:color w:val="auto"/>
                <w:sz w:val="21"/>
                <w:szCs w:val="21"/>
                <w:highlight w:val="none"/>
                <w:vertAlign w:val="baseline"/>
                <w:lang w:val="en-US" w:eastAsia="zh-CN"/>
              </w:rPr>
              <w:t>380</w:t>
            </w:r>
          </w:p>
        </w:tc>
        <w:tc>
          <w:tcPr>
            <w:tcW w:w="238" w:type="pct"/>
            <w:tcBorders>
              <w:top w:val="single" w:color="000000" w:sz="4" w:space="0"/>
              <w:left w:val="single" w:color="000000" w:sz="4" w:space="0"/>
              <w:bottom w:val="single" w:color="000000" w:sz="4" w:space="0"/>
              <w:right w:val="single" w:color="000000" w:sz="4" w:space="0"/>
            </w:tcBorders>
            <w:noWrap w:val="0"/>
            <w:vAlign w:val="center"/>
          </w:tcPr>
          <w:p w14:paraId="03414D3B">
            <w:pPr>
              <w:pStyle w:val="13"/>
              <w:keepNext w:val="0"/>
              <w:keepLines w:val="0"/>
              <w:pageBreakBefore w:val="0"/>
              <w:widowControl w:val="0"/>
              <w:kinsoku/>
              <w:wordWrap/>
              <w:overflowPunct/>
              <w:topLinePunct w:val="0"/>
              <w:autoSpaceDE/>
              <w:autoSpaceDN/>
              <w:bidi w:val="0"/>
              <w:adjustRightInd/>
              <w:snapToGrid/>
              <w:spacing w:before="0"/>
              <w:ind w:left="0" w:leftChars="0" w:firstLine="0" w:firstLineChars="0"/>
              <w:jc w:val="center"/>
              <w:textAlignment w:val="auto"/>
              <w:rPr>
                <w:rFonts w:hint="eastAsia" w:ascii="宋体" w:hAnsi="宋体" w:eastAsia="宋体" w:cs="宋体"/>
                <w:i w:val="0"/>
                <w:iCs w:val="0"/>
                <w:color w:val="auto"/>
                <w:sz w:val="21"/>
                <w:szCs w:val="21"/>
                <w:highlight w:val="none"/>
                <w:u w:val="none"/>
              </w:rPr>
            </w:pPr>
            <w:r>
              <w:rPr>
                <w:rFonts w:hint="eastAsia"/>
                <w:color w:val="auto"/>
                <w:sz w:val="21"/>
                <w:szCs w:val="21"/>
                <w:highlight w:val="none"/>
                <w:vertAlign w:val="baseline"/>
                <w:lang w:val="en-US" w:eastAsia="zh-CN"/>
              </w:rPr>
              <w:t>380</w:t>
            </w:r>
          </w:p>
        </w:tc>
        <w:tc>
          <w:tcPr>
            <w:tcW w:w="202" w:type="pct"/>
            <w:tcBorders>
              <w:top w:val="single" w:color="000000" w:sz="4" w:space="0"/>
              <w:left w:val="single" w:color="000000" w:sz="4" w:space="0"/>
              <w:bottom w:val="single" w:color="000000" w:sz="4" w:space="0"/>
              <w:right w:val="single" w:color="000000" w:sz="4" w:space="0"/>
            </w:tcBorders>
            <w:noWrap w:val="0"/>
            <w:vAlign w:val="center"/>
          </w:tcPr>
          <w:p w14:paraId="4212EEE4">
            <w:pPr>
              <w:pStyle w:val="13"/>
              <w:keepNext w:val="0"/>
              <w:keepLines w:val="0"/>
              <w:pageBreakBefore w:val="0"/>
              <w:widowControl w:val="0"/>
              <w:kinsoku/>
              <w:wordWrap/>
              <w:overflowPunct/>
              <w:topLinePunct w:val="0"/>
              <w:autoSpaceDE/>
              <w:autoSpaceDN/>
              <w:bidi w:val="0"/>
              <w:adjustRightInd/>
              <w:snapToGrid/>
              <w:spacing w:before="0"/>
              <w:ind w:left="0" w:leftChars="0" w:firstLine="0" w:firstLineChars="0"/>
              <w:jc w:val="center"/>
              <w:textAlignment w:val="auto"/>
              <w:rPr>
                <w:rFonts w:hint="eastAsia" w:ascii="宋体" w:hAnsi="宋体" w:eastAsia="宋体" w:cs="宋体"/>
                <w:i w:val="0"/>
                <w:iCs w:val="0"/>
                <w:color w:val="auto"/>
                <w:sz w:val="21"/>
                <w:szCs w:val="21"/>
                <w:highlight w:val="none"/>
                <w:u w:val="none"/>
              </w:rPr>
            </w:pPr>
            <w:r>
              <w:rPr>
                <w:rFonts w:hint="eastAsia"/>
                <w:color w:val="auto"/>
                <w:sz w:val="21"/>
                <w:szCs w:val="21"/>
                <w:highlight w:val="none"/>
                <w:vertAlign w:val="baseline"/>
                <w:lang w:val="en-US" w:eastAsia="zh-CN"/>
              </w:rPr>
              <w:t>两年</w:t>
            </w:r>
          </w:p>
        </w:tc>
        <w:tc>
          <w:tcPr>
            <w:tcW w:w="823" w:type="pct"/>
            <w:tcBorders>
              <w:top w:val="single" w:color="000000" w:sz="4" w:space="0"/>
              <w:left w:val="single" w:color="000000" w:sz="4" w:space="0"/>
              <w:bottom w:val="single" w:color="000000" w:sz="4" w:space="0"/>
              <w:right w:val="single" w:color="000000" w:sz="4" w:space="0"/>
            </w:tcBorders>
            <w:noWrap w:val="0"/>
            <w:vAlign w:val="center"/>
          </w:tcPr>
          <w:p w14:paraId="4CD40B28">
            <w:pPr>
              <w:pStyle w:val="13"/>
              <w:keepNext w:val="0"/>
              <w:keepLines w:val="0"/>
              <w:pageBreakBefore w:val="0"/>
              <w:widowControl w:val="0"/>
              <w:kinsoku/>
              <w:wordWrap/>
              <w:overflowPunct/>
              <w:topLinePunct w:val="0"/>
              <w:autoSpaceDE/>
              <w:autoSpaceDN/>
              <w:bidi w:val="0"/>
              <w:adjustRightInd/>
              <w:snapToGrid/>
              <w:spacing w:before="0"/>
              <w:ind w:left="0" w:firstLine="0" w:firstLineChars="0"/>
              <w:jc w:val="left"/>
              <w:textAlignment w:val="auto"/>
              <w:rPr>
                <w:rFonts w:hint="eastAsia"/>
                <w:b w:val="0"/>
                <w:bCs w:val="0"/>
                <w:color w:val="auto"/>
                <w:sz w:val="21"/>
                <w:szCs w:val="21"/>
                <w:highlight w:val="none"/>
                <w:vertAlign w:val="baseline"/>
                <w:lang w:val="en-US" w:eastAsia="zh-CN"/>
              </w:rPr>
            </w:pPr>
            <w:r>
              <w:rPr>
                <w:rFonts w:hint="default"/>
                <w:b w:val="0"/>
                <w:bCs w:val="0"/>
                <w:color w:val="auto"/>
                <w:sz w:val="21"/>
                <w:szCs w:val="21"/>
                <w:highlight w:val="none"/>
                <w:vertAlign w:val="baseline"/>
                <w:lang w:val="en-US" w:eastAsia="zh-CN"/>
              </w:rPr>
              <w:t>1.针对不少于3类典型应用场景，提交玄武岩纤维UHPC配合比设计报告及对应的力学性能、工作性能检测报告</w:t>
            </w:r>
            <w:r>
              <w:rPr>
                <w:rFonts w:hint="eastAsia"/>
                <w:b w:val="0"/>
                <w:bCs w:val="0"/>
                <w:color w:val="auto"/>
                <w:sz w:val="21"/>
                <w:szCs w:val="21"/>
                <w:highlight w:val="none"/>
                <w:vertAlign w:val="baseline"/>
                <w:lang w:val="en-US" w:eastAsia="zh-CN"/>
              </w:rPr>
              <w:t>。2.针对不少于2种不同结构类型，提交加固设计方案、计算书及加固后构件承载力验证报告。</w:t>
            </w:r>
          </w:p>
          <w:p w14:paraId="51CECAE1">
            <w:pPr>
              <w:pStyle w:val="13"/>
              <w:keepNext w:val="0"/>
              <w:keepLines w:val="0"/>
              <w:pageBreakBefore w:val="0"/>
              <w:widowControl w:val="0"/>
              <w:kinsoku/>
              <w:wordWrap/>
              <w:overflowPunct/>
              <w:topLinePunct w:val="0"/>
              <w:autoSpaceDE/>
              <w:autoSpaceDN/>
              <w:bidi w:val="0"/>
              <w:adjustRightInd/>
              <w:snapToGrid/>
              <w:spacing w:before="0"/>
              <w:ind w:left="0" w:firstLine="0" w:firstLineChars="0"/>
              <w:jc w:val="left"/>
              <w:textAlignment w:val="auto"/>
              <w:rPr>
                <w:rFonts w:hint="eastAsia"/>
                <w:b w:val="0"/>
                <w:bCs w:val="0"/>
                <w:color w:val="auto"/>
                <w:sz w:val="21"/>
                <w:szCs w:val="21"/>
                <w:highlight w:val="none"/>
                <w:vertAlign w:val="baseline"/>
                <w:lang w:val="en-US" w:eastAsia="zh-CN"/>
              </w:rPr>
            </w:pPr>
            <w:r>
              <w:rPr>
                <w:rFonts w:hint="eastAsia"/>
                <w:b w:val="0"/>
                <w:bCs w:val="0"/>
                <w:color w:val="auto"/>
                <w:sz w:val="21"/>
                <w:szCs w:val="21"/>
                <w:highlight w:val="none"/>
                <w:vertAlign w:val="baseline"/>
                <w:lang w:val="en-US" w:eastAsia="zh-CN"/>
              </w:rPr>
              <w:t>3.提交适应-5℃～40℃连续施工的工法文本、证书及相关工艺参数、温控措施说明。</w:t>
            </w:r>
          </w:p>
          <w:p w14:paraId="14915A64">
            <w:pPr>
              <w:pStyle w:val="13"/>
              <w:keepNext w:val="0"/>
              <w:keepLines w:val="0"/>
              <w:pageBreakBefore w:val="0"/>
              <w:widowControl w:val="0"/>
              <w:kinsoku/>
              <w:wordWrap/>
              <w:overflowPunct/>
              <w:topLinePunct w:val="0"/>
              <w:autoSpaceDE/>
              <w:autoSpaceDN/>
              <w:bidi w:val="0"/>
              <w:adjustRightInd/>
              <w:snapToGrid/>
              <w:spacing w:before="0"/>
              <w:ind w:left="0" w:firstLine="0" w:firstLineChars="0"/>
              <w:jc w:val="left"/>
              <w:textAlignment w:val="auto"/>
              <w:rPr>
                <w:rFonts w:hint="eastAsia"/>
                <w:b w:val="0"/>
                <w:bCs w:val="0"/>
                <w:color w:val="auto"/>
                <w:sz w:val="21"/>
                <w:szCs w:val="21"/>
                <w:highlight w:val="none"/>
                <w:vertAlign w:val="baseline"/>
                <w:lang w:val="en-US" w:eastAsia="zh-CN"/>
              </w:rPr>
            </w:pPr>
            <w:r>
              <w:rPr>
                <w:rFonts w:hint="eastAsia"/>
                <w:b w:val="0"/>
                <w:bCs w:val="0"/>
                <w:color w:val="auto"/>
                <w:sz w:val="21"/>
                <w:szCs w:val="21"/>
                <w:highlight w:val="none"/>
                <w:vertAlign w:val="baseline"/>
                <w:lang w:val="en-US" w:eastAsia="zh-CN"/>
              </w:rPr>
              <w:t>4.提交平台软件一套，含数据采集、分析与预警功能，并提供软著证书、操作手册及测试报告。</w:t>
            </w:r>
          </w:p>
          <w:p w14:paraId="5AA78847">
            <w:pPr>
              <w:pStyle w:val="13"/>
              <w:keepNext w:val="0"/>
              <w:keepLines w:val="0"/>
              <w:pageBreakBefore w:val="0"/>
              <w:widowControl w:val="0"/>
              <w:kinsoku/>
              <w:wordWrap/>
              <w:overflowPunct/>
              <w:topLinePunct w:val="0"/>
              <w:autoSpaceDE/>
              <w:autoSpaceDN/>
              <w:bidi w:val="0"/>
              <w:adjustRightInd/>
              <w:snapToGrid/>
              <w:spacing w:before="0"/>
              <w:ind w:left="0" w:firstLine="0" w:firstLineChars="0"/>
              <w:jc w:val="left"/>
              <w:textAlignment w:val="auto"/>
              <w:rPr>
                <w:rFonts w:hint="eastAsia"/>
                <w:b w:val="0"/>
                <w:bCs w:val="0"/>
                <w:color w:val="auto"/>
                <w:sz w:val="21"/>
                <w:szCs w:val="21"/>
                <w:highlight w:val="none"/>
                <w:vertAlign w:val="baseline"/>
                <w:lang w:val="en-US" w:eastAsia="zh-CN"/>
              </w:rPr>
            </w:pPr>
            <w:r>
              <w:rPr>
                <w:rFonts w:hint="eastAsia"/>
                <w:b w:val="0"/>
                <w:bCs w:val="0"/>
                <w:color w:val="auto"/>
                <w:sz w:val="21"/>
                <w:szCs w:val="21"/>
                <w:highlight w:val="none"/>
                <w:vertAlign w:val="baseline"/>
                <w:lang w:val="en-US" w:eastAsia="zh-CN"/>
              </w:rPr>
              <w:t>5.提供不少于3处示范工程的应用验证报告，内容包括工程概况、施工记录、性能检测数据及效果评价。</w:t>
            </w:r>
          </w:p>
          <w:p w14:paraId="079C183C">
            <w:pPr>
              <w:pStyle w:val="13"/>
              <w:keepNext w:val="0"/>
              <w:keepLines w:val="0"/>
              <w:pageBreakBefore w:val="0"/>
              <w:widowControl w:val="0"/>
              <w:kinsoku/>
              <w:wordWrap/>
              <w:overflowPunct/>
              <w:topLinePunct w:val="0"/>
              <w:autoSpaceDE/>
              <w:autoSpaceDN/>
              <w:bidi w:val="0"/>
              <w:adjustRightInd/>
              <w:snapToGrid/>
              <w:spacing w:before="0"/>
              <w:ind w:left="0" w:firstLine="0" w:firstLineChars="0"/>
              <w:jc w:val="left"/>
              <w:textAlignment w:val="auto"/>
              <w:rPr>
                <w:rFonts w:hint="eastAsia" w:ascii="宋体" w:hAnsi="宋体" w:eastAsia="宋体" w:cs="宋体"/>
                <w:i w:val="0"/>
                <w:iCs w:val="0"/>
                <w:color w:val="auto"/>
                <w:sz w:val="21"/>
                <w:szCs w:val="21"/>
                <w:highlight w:val="none"/>
                <w:u w:val="none"/>
              </w:rPr>
            </w:pPr>
            <w:r>
              <w:rPr>
                <w:rFonts w:hint="eastAsia"/>
                <w:b w:val="0"/>
                <w:bCs w:val="0"/>
                <w:color w:val="auto"/>
                <w:sz w:val="21"/>
                <w:szCs w:val="21"/>
                <w:highlight w:val="none"/>
                <w:vertAlign w:val="baseline"/>
                <w:lang w:val="en-US" w:eastAsia="zh-CN"/>
              </w:rPr>
              <w:t>6.完成发明专利授权不少于5项、实用新型专利授权不少于3项；编制地方技术标准或施工工法不少于2项；协助完成成果登记不少于2项。</w:t>
            </w:r>
          </w:p>
        </w:tc>
        <w:tc>
          <w:tcPr>
            <w:tcW w:w="316" w:type="pct"/>
            <w:tcBorders>
              <w:top w:val="single" w:color="000000" w:sz="4" w:space="0"/>
              <w:left w:val="single" w:color="000000" w:sz="4" w:space="0"/>
              <w:bottom w:val="single" w:color="000000" w:sz="4" w:space="0"/>
              <w:right w:val="single" w:color="000000" w:sz="4" w:space="0"/>
            </w:tcBorders>
            <w:noWrap w:val="0"/>
            <w:vAlign w:val="center"/>
          </w:tcPr>
          <w:p w14:paraId="19458754">
            <w:pPr>
              <w:pStyle w:val="13"/>
              <w:keepNext w:val="0"/>
              <w:keepLines w:val="0"/>
              <w:pageBreakBefore w:val="0"/>
              <w:widowControl w:val="0"/>
              <w:kinsoku/>
              <w:wordWrap/>
              <w:overflowPunct/>
              <w:topLinePunct w:val="0"/>
              <w:autoSpaceDE/>
              <w:autoSpaceDN/>
              <w:bidi w:val="0"/>
              <w:adjustRightInd/>
              <w:snapToGrid/>
              <w:spacing w:before="0"/>
              <w:ind w:left="0" w:firstLine="0" w:firstLineChars="0"/>
              <w:jc w:val="center"/>
              <w:textAlignment w:val="auto"/>
              <w:rPr>
                <w:rFonts w:hint="eastAsia"/>
                <w:color w:val="auto"/>
                <w:sz w:val="21"/>
                <w:szCs w:val="21"/>
                <w:highlight w:val="none"/>
                <w:vertAlign w:val="baseline"/>
                <w:lang w:val="en-US" w:eastAsia="zh-CN"/>
              </w:rPr>
            </w:pPr>
            <w:r>
              <w:rPr>
                <w:rFonts w:hint="eastAsia"/>
                <w:color w:val="auto"/>
                <w:sz w:val="21"/>
                <w:szCs w:val="21"/>
                <w:highlight w:val="none"/>
                <w:vertAlign w:val="baseline"/>
                <w:lang w:val="en-US" w:eastAsia="zh-CN"/>
              </w:rPr>
              <w:t>李聪</w:t>
            </w:r>
          </w:p>
          <w:p w14:paraId="44354C85">
            <w:pPr>
              <w:pStyle w:val="13"/>
              <w:keepNext w:val="0"/>
              <w:keepLines w:val="0"/>
              <w:pageBreakBefore w:val="0"/>
              <w:widowControl w:val="0"/>
              <w:kinsoku/>
              <w:wordWrap/>
              <w:overflowPunct/>
              <w:topLinePunct w:val="0"/>
              <w:autoSpaceDE/>
              <w:autoSpaceDN/>
              <w:bidi w:val="0"/>
              <w:adjustRightInd/>
              <w:snapToGrid/>
              <w:spacing w:before="0"/>
              <w:ind w:left="0" w:leftChars="0" w:firstLine="0" w:firstLineChars="0"/>
              <w:jc w:val="center"/>
              <w:textAlignment w:val="auto"/>
              <w:rPr>
                <w:rFonts w:hint="eastAsia" w:ascii="宋体" w:hAnsi="宋体" w:eastAsia="宋体" w:cs="宋体"/>
                <w:i w:val="0"/>
                <w:iCs w:val="0"/>
                <w:color w:val="auto"/>
                <w:sz w:val="21"/>
                <w:szCs w:val="21"/>
                <w:highlight w:val="none"/>
                <w:u w:val="none"/>
              </w:rPr>
            </w:pPr>
            <w:r>
              <w:rPr>
                <w:rFonts w:hint="eastAsia"/>
                <w:color w:val="auto"/>
                <w:sz w:val="21"/>
                <w:szCs w:val="21"/>
                <w:highlight w:val="none"/>
                <w:vertAlign w:val="baseline"/>
                <w:lang w:val="en-US" w:eastAsia="zh-CN"/>
              </w:rPr>
              <w:t>15837134846</w:t>
            </w:r>
          </w:p>
        </w:tc>
        <w:tc>
          <w:tcPr>
            <w:tcW w:w="238" w:type="pct"/>
            <w:tcBorders>
              <w:top w:val="single" w:color="000000" w:sz="4" w:space="0"/>
              <w:left w:val="single" w:color="000000" w:sz="4" w:space="0"/>
              <w:bottom w:val="single" w:color="000000" w:sz="4" w:space="0"/>
              <w:right w:val="single" w:color="000000" w:sz="4" w:space="0"/>
            </w:tcBorders>
            <w:noWrap w:val="0"/>
            <w:vAlign w:val="center"/>
          </w:tcPr>
          <w:p w14:paraId="17426A6B">
            <w:pPr>
              <w:pStyle w:val="13"/>
              <w:keepNext w:val="0"/>
              <w:keepLines w:val="0"/>
              <w:pageBreakBefore w:val="0"/>
              <w:widowControl w:val="0"/>
              <w:kinsoku/>
              <w:wordWrap/>
              <w:overflowPunct/>
              <w:topLinePunct w:val="0"/>
              <w:autoSpaceDE/>
              <w:autoSpaceDN/>
              <w:bidi w:val="0"/>
              <w:adjustRightInd/>
              <w:snapToGrid/>
              <w:spacing w:before="0"/>
              <w:ind w:left="0" w:leftChars="0" w:firstLine="0" w:firstLineChars="0"/>
              <w:jc w:val="center"/>
              <w:textAlignment w:val="auto"/>
              <w:rPr>
                <w:rFonts w:hint="eastAsia" w:ascii="宋体" w:hAnsi="宋体" w:eastAsia="宋体" w:cs="宋体"/>
                <w:i w:val="0"/>
                <w:iCs w:val="0"/>
                <w:color w:val="auto"/>
                <w:sz w:val="21"/>
                <w:szCs w:val="21"/>
                <w:highlight w:val="none"/>
                <w:u w:val="none"/>
              </w:rPr>
            </w:pPr>
            <w:r>
              <w:rPr>
                <w:rFonts w:hint="eastAsia"/>
                <w:color w:val="auto"/>
                <w:sz w:val="21"/>
                <w:szCs w:val="21"/>
                <w:highlight w:val="none"/>
                <w:vertAlign w:val="baseline"/>
                <w:lang w:val="en-US" w:eastAsia="zh-CN"/>
              </w:rPr>
              <w:t>二七区</w:t>
            </w:r>
          </w:p>
        </w:tc>
      </w:tr>
    </w:tbl>
    <w:p w14:paraId="39F0148F">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华文仿宋" w:hAnsi="华文仿宋" w:eastAsia="华文仿宋" w:cs="华文仿宋"/>
          <w:color w:val="auto"/>
          <w:sz w:val="32"/>
          <w:szCs w:val="32"/>
          <w:highlight w:val="none"/>
          <w:lang w:eastAsia="zh-CN"/>
        </w:rPr>
        <w:sectPr>
          <w:pgSz w:w="16838" w:h="11906" w:orient="landscape"/>
          <w:pgMar w:top="1531" w:right="2098" w:bottom="1531" w:left="1984" w:header="851" w:footer="992" w:gutter="0"/>
          <w:pgNumType w:fmt="decimal"/>
          <w:cols w:space="720" w:num="1"/>
          <w:docGrid w:type="lines" w:linePitch="312" w:charSpace="0"/>
        </w:sectPr>
      </w:pPr>
    </w:p>
    <w:p w14:paraId="4B332DF0">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华文仿宋" w:hAnsi="华文仿宋" w:eastAsia="华文仿宋" w:cs="华文仿宋"/>
          <w:color w:val="auto"/>
          <w:sz w:val="32"/>
          <w:szCs w:val="32"/>
          <w:highlight w:val="none"/>
        </w:rPr>
      </w:pPr>
    </w:p>
    <w:sectPr>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2020603050405020304"/>
    <w:charset w:val="7A"/>
    <w:family w:val="swiss"/>
    <w:pitch w:val="default"/>
    <w:sig w:usb0="00000000" w:usb1="00000000" w:usb2="00000008" w:usb3="00000000" w:csb0="400001FF" w:csb1="FFFF0000"/>
  </w:font>
  <w:font w:name="宋体">
    <w:altName w:val="方正书宋_GBK"/>
    <w:panose1 w:val="00000000000000000000"/>
    <w:charset w:val="86"/>
    <w:family w:val="auto"/>
    <w:pitch w:val="default"/>
    <w:sig w:usb0="00000000" w:usb1="00000000" w:usb2="00000000" w:usb3="00000000" w:csb0="00000000" w:csb1="00000000"/>
  </w:font>
  <w:font w:name="Wingdings">
    <w:altName w:val="国标宋体-超大字符集扩"/>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国标宋体-超大字符集扩"/>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方正小标宋简体">
    <w:panose1 w:val="02000000000000000000"/>
    <w:charset w:val="86"/>
    <w:family w:val="auto"/>
    <w:pitch w:val="default"/>
    <w:sig w:usb0="A00002BF" w:usb1="184F6CFA" w:usb2="00000012" w:usb3="00000000" w:csb0="00040001" w:csb1="00000000"/>
  </w:font>
  <w:font w:name="楷体_GB2312">
    <w:altName w:val="方正楷体_GBK"/>
    <w:panose1 w:val="02010609030101010101"/>
    <w:charset w:val="00"/>
    <w:family w:val="auto"/>
    <w:pitch w:val="default"/>
    <w:sig w:usb0="00000000" w:usb1="00000000" w:usb2="00000000" w:usb3="00000000" w:csb0="00040000" w:csb1="00000000"/>
  </w:font>
  <w:font w:name="方正楷体_GBK">
    <w:panose1 w:val="02000000000000000000"/>
    <w:charset w:val="86"/>
    <w:family w:val="auto"/>
    <w:pitch w:val="default"/>
    <w:sig w:usb0="00000001" w:usb1="08000000" w:usb2="00000000" w:usb3="00000000" w:csb0="00040000" w:csb1="00000000"/>
  </w:font>
  <w:font w:name="Nimbus Roman No9 L">
    <w:altName w:val="Noto Sans CJK HK"/>
    <w:panose1 w:val="00000000000000000000"/>
    <w:charset w:val="00"/>
    <w:family w:val="auto"/>
    <w:pitch w:val="default"/>
    <w:sig w:usb0="00000000" w:usb1="00000000" w:usb2="00000000" w:usb3="00000000" w:csb0="00040001" w:csb1="00000000"/>
  </w:font>
  <w:font w:name="Noto Sans CJK HK">
    <w:panose1 w:val="020B0500000000000000"/>
    <w:charset w:val="88"/>
    <w:family w:val="auto"/>
    <w:pitch w:val="default"/>
    <w:sig w:usb0="30000083" w:usb1="2BDF3C10" w:usb2="00000016" w:usb3="00000000" w:csb0="603A0107" w:csb1="00000000"/>
  </w:font>
  <w:font w:name="方正小标宋_GBK">
    <w:panose1 w:val="02000000000000000000"/>
    <w:charset w:val="86"/>
    <w:family w:val="auto"/>
    <w:pitch w:val="default"/>
    <w:sig w:usb0="00000001" w:usb1="08000000" w:usb2="00000000" w:usb3="00000000" w:csb0="00040000" w:csb1="00000000"/>
  </w:font>
  <w:font w:name="华文宋体">
    <w:panose1 w:val="02010600040101010101"/>
    <w:charset w:val="86"/>
    <w:family w:val="auto"/>
    <w:pitch w:val="default"/>
    <w:sig w:usb0="00000287" w:usb1="080F0000" w:usb2="00000000" w:usb3="00000000" w:csb0="0004009F" w:csb1="DFD70000"/>
  </w:font>
  <w:font w:name="华文仿宋">
    <w:panose1 w:val="02010600040101010101"/>
    <w:charset w:val="86"/>
    <w:family w:val="auto"/>
    <w:pitch w:val="default"/>
    <w:sig w:usb0="00000287" w:usb1="080F0000" w:usb2="00000000" w:usb3="00000000" w:csb0="0004009F" w:csb1="DFD70000"/>
  </w:font>
  <w:font w:name="方正黑体_GBK">
    <w:panose1 w:val="02000000000000000000"/>
    <w:charset w:val="86"/>
    <w:family w:val="auto"/>
    <w:pitch w:val="default"/>
    <w:sig w:usb0="00000001" w:usb1="0800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仿宋_GB2312">
    <w:altName w:val="方正仿宋_GBK"/>
    <w:panose1 w:val="02010609030101010101"/>
    <w:charset w:val="86"/>
    <w:family w:val="auto"/>
    <w:pitch w:val="default"/>
    <w:sig w:usb0="00000000" w:usb1="00000000" w:usb2="00000000" w:usb3="00000000" w:csb0="00040000" w:csb1="00000000"/>
  </w:font>
  <w:font w:name="方正仿宋_GBK">
    <w:panose1 w:val="02000000000000000000"/>
    <w:charset w:val="86"/>
    <w:family w:val="auto"/>
    <w:pitch w:val="default"/>
    <w:sig w:usb0="00000001" w:usb1="08000000" w:usb2="00000000"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C059">
    <w:panose1 w:val="00000500000000000000"/>
    <w:charset w:val="00"/>
    <w:family w:val="auto"/>
    <w:pitch w:val="default"/>
    <w:sig w:usb0="00000287" w:usb1="00000800" w:usb2="00000000" w:usb3="00000000" w:csb0="6000009F" w:csb1="00000000"/>
  </w:font>
  <w:font w:name="国标宋体-超大字符集扩">
    <w:panose1 w:val="000005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7DAD07">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0FADD3">
                          <w:pPr>
                            <w:pStyle w:val="1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  \* MERGEFORMAT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F0FADD3">
                    <w:pPr>
                      <w:pStyle w:val="1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  \* MERGEFORMAT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attachedTemplate r:id="rId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DDBBCA"/>
    <w:rsid w:val="076551EA"/>
    <w:rsid w:val="0BBF4DB3"/>
    <w:rsid w:val="0EBFDB23"/>
    <w:rsid w:val="0EFDFF6F"/>
    <w:rsid w:val="0F9C36B7"/>
    <w:rsid w:val="179DAFFF"/>
    <w:rsid w:val="271F6440"/>
    <w:rsid w:val="27FFC9FB"/>
    <w:rsid w:val="2B5FB6A1"/>
    <w:rsid w:val="2BF7AF80"/>
    <w:rsid w:val="35CF4B1E"/>
    <w:rsid w:val="37B7A8F2"/>
    <w:rsid w:val="37FDCF00"/>
    <w:rsid w:val="38CAEFDF"/>
    <w:rsid w:val="3DEF2797"/>
    <w:rsid w:val="3FC7DE53"/>
    <w:rsid w:val="4BE5B256"/>
    <w:rsid w:val="4FE4A0E8"/>
    <w:rsid w:val="54DED56F"/>
    <w:rsid w:val="5761A4FB"/>
    <w:rsid w:val="57BF8C1F"/>
    <w:rsid w:val="57FEA89A"/>
    <w:rsid w:val="5A9F6750"/>
    <w:rsid w:val="5BFB9368"/>
    <w:rsid w:val="5CFCCE10"/>
    <w:rsid w:val="5EDA7728"/>
    <w:rsid w:val="5EFE707C"/>
    <w:rsid w:val="5F1551A0"/>
    <w:rsid w:val="5FB7F5EF"/>
    <w:rsid w:val="5FBE77DC"/>
    <w:rsid w:val="5FCAAC1C"/>
    <w:rsid w:val="5FFFBFCC"/>
    <w:rsid w:val="61CD0F6B"/>
    <w:rsid w:val="63FC960F"/>
    <w:rsid w:val="67AFE20E"/>
    <w:rsid w:val="67DA863E"/>
    <w:rsid w:val="69FA0F7B"/>
    <w:rsid w:val="6B727C01"/>
    <w:rsid w:val="6DBF7091"/>
    <w:rsid w:val="6E8E8702"/>
    <w:rsid w:val="6F9EA0B4"/>
    <w:rsid w:val="6FFB9DA6"/>
    <w:rsid w:val="7049B80C"/>
    <w:rsid w:val="72EAA856"/>
    <w:rsid w:val="73DE1FBE"/>
    <w:rsid w:val="73F7929D"/>
    <w:rsid w:val="7AEAA4AF"/>
    <w:rsid w:val="7AF9FBAE"/>
    <w:rsid w:val="7BDF511C"/>
    <w:rsid w:val="7BFBB078"/>
    <w:rsid w:val="7BFF4CA0"/>
    <w:rsid w:val="7DF973A9"/>
    <w:rsid w:val="7DFCC4F7"/>
    <w:rsid w:val="7DFE6CED"/>
    <w:rsid w:val="7EDFEA51"/>
    <w:rsid w:val="7EF3D6A0"/>
    <w:rsid w:val="7F1D5219"/>
    <w:rsid w:val="7F509455"/>
    <w:rsid w:val="7F6CFCE4"/>
    <w:rsid w:val="7F6FFC89"/>
    <w:rsid w:val="7F7FF9FB"/>
    <w:rsid w:val="7F9BB02E"/>
    <w:rsid w:val="7FAF132E"/>
    <w:rsid w:val="7FCDD143"/>
    <w:rsid w:val="7FF3267D"/>
    <w:rsid w:val="7FF3AE9C"/>
    <w:rsid w:val="7FF7408F"/>
    <w:rsid w:val="7FF76F2B"/>
    <w:rsid w:val="7FFD09D7"/>
    <w:rsid w:val="7FFF9E0E"/>
    <w:rsid w:val="89F72DDE"/>
    <w:rsid w:val="8FBE396E"/>
    <w:rsid w:val="90BF25D7"/>
    <w:rsid w:val="99F6ECE8"/>
    <w:rsid w:val="9D7BC050"/>
    <w:rsid w:val="9DDB57E6"/>
    <w:rsid w:val="AC7610B4"/>
    <w:rsid w:val="AE2F6270"/>
    <w:rsid w:val="AEFB6D6D"/>
    <w:rsid w:val="B2E65790"/>
    <w:rsid w:val="B7BB95CA"/>
    <w:rsid w:val="B7FAF1E8"/>
    <w:rsid w:val="BAFD1ABF"/>
    <w:rsid w:val="BB5B81D0"/>
    <w:rsid w:val="BBFDA386"/>
    <w:rsid w:val="BDFDC57E"/>
    <w:rsid w:val="BEFFE44F"/>
    <w:rsid w:val="BF3F7E48"/>
    <w:rsid w:val="BFBF8804"/>
    <w:rsid w:val="BFBFAC63"/>
    <w:rsid w:val="BFEDD7BC"/>
    <w:rsid w:val="BFFFC3A3"/>
    <w:rsid w:val="CDEF99B4"/>
    <w:rsid w:val="D3FFC061"/>
    <w:rsid w:val="D4FF9038"/>
    <w:rsid w:val="DA2D317C"/>
    <w:rsid w:val="DB77B09B"/>
    <w:rsid w:val="DBADF9EF"/>
    <w:rsid w:val="DBFD541E"/>
    <w:rsid w:val="DCF77EA0"/>
    <w:rsid w:val="DE756C16"/>
    <w:rsid w:val="DEB67101"/>
    <w:rsid w:val="DED32177"/>
    <w:rsid w:val="DFF10D9F"/>
    <w:rsid w:val="E1FBF626"/>
    <w:rsid w:val="E36FBCDA"/>
    <w:rsid w:val="E8DECE0F"/>
    <w:rsid w:val="E9F7F1DE"/>
    <w:rsid w:val="EA7ECC9A"/>
    <w:rsid w:val="EB7FE8E1"/>
    <w:rsid w:val="ECFEF5AE"/>
    <w:rsid w:val="EDEF5A33"/>
    <w:rsid w:val="EE7D1152"/>
    <w:rsid w:val="EE7F7295"/>
    <w:rsid w:val="EED788C3"/>
    <w:rsid w:val="EEFB371D"/>
    <w:rsid w:val="EFFB58F1"/>
    <w:rsid w:val="EFFEF49B"/>
    <w:rsid w:val="F1E79674"/>
    <w:rsid w:val="F3BE925F"/>
    <w:rsid w:val="F3D7E7CB"/>
    <w:rsid w:val="F6EE5264"/>
    <w:rsid w:val="F6FCB9D6"/>
    <w:rsid w:val="F6FFD9C8"/>
    <w:rsid w:val="F77610A2"/>
    <w:rsid w:val="F7B781E5"/>
    <w:rsid w:val="F7BF6885"/>
    <w:rsid w:val="F7D74B75"/>
    <w:rsid w:val="F7FF2115"/>
    <w:rsid w:val="FBAFAB3E"/>
    <w:rsid w:val="FBFA6840"/>
    <w:rsid w:val="FBFE211E"/>
    <w:rsid w:val="FC77F43D"/>
    <w:rsid w:val="FCDD3374"/>
    <w:rsid w:val="FD75C575"/>
    <w:rsid w:val="FD7D5627"/>
    <w:rsid w:val="FDFA7E37"/>
    <w:rsid w:val="FE9C4668"/>
    <w:rsid w:val="FEEF856C"/>
    <w:rsid w:val="FF6FA448"/>
    <w:rsid w:val="FF772A83"/>
    <w:rsid w:val="FF7F5F42"/>
    <w:rsid w:val="FF7F7EAE"/>
    <w:rsid w:val="FFB6EF6D"/>
    <w:rsid w:val="FFBD874A"/>
    <w:rsid w:val="FFBF486F"/>
    <w:rsid w:val="FFCFCE82"/>
    <w:rsid w:val="FFD72256"/>
    <w:rsid w:val="FFDBFC76"/>
    <w:rsid w:val="FFDDBBCA"/>
    <w:rsid w:val="FFEF331C"/>
    <w:rsid w:val="FFEF97A0"/>
    <w:rsid w:val="FFFF21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paragraph" w:styleId="5">
    <w:name w:val="heading 1"/>
    <w:basedOn w:val="1"/>
    <w:next w:val="1"/>
    <w:qFormat/>
    <w:uiPriority w:val="0"/>
    <w:pPr>
      <w:widowControl w:val="0"/>
      <w:spacing w:beforeAutospacing="0" w:afterAutospacing="0" w:line="560" w:lineRule="exact"/>
      <w:jc w:val="center"/>
      <w:outlineLvl w:val="0"/>
    </w:pPr>
    <w:rPr>
      <w:rFonts w:hint="eastAsia" w:ascii="方正小标宋简体" w:hAnsi="方正小标宋简体" w:eastAsia="方正小标宋简体" w:cs="方正小标宋简体"/>
      <w:sz w:val="44"/>
      <w:szCs w:val="44"/>
      <w:lang w:bidi="ar"/>
    </w:rPr>
  </w:style>
  <w:style w:type="paragraph" w:styleId="6">
    <w:name w:val="heading 2"/>
    <w:basedOn w:val="1"/>
    <w:next w:val="1"/>
    <w:unhideWhenUsed/>
    <w:qFormat/>
    <w:uiPriority w:val="0"/>
    <w:pPr>
      <w:spacing w:before="100" w:beforeAutospacing="1" w:after="100" w:afterAutospacing="1"/>
      <w:jc w:val="left"/>
      <w:outlineLvl w:val="1"/>
    </w:pPr>
    <w:rPr>
      <w:rFonts w:hint="eastAsia" w:ascii="宋体" w:hAnsi="宋体" w:eastAsia="宋体" w:cs="宋体"/>
      <w:b/>
      <w:bCs/>
      <w:kern w:val="0"/>
      <w:sz w:val="36"/>
      <w:szCs w:val="36"/>
      <w:lang w:val="en-US" w:eastAsia="zh-CN" w:bidi="ar"/>
    </w:rPr>
  </w:style>
  <w:style w:type="paragraph" w:styleId="7">
    <w:name w:val="heading 3"/>
    <w:basedOn w:val="1"/>
    <w:next w:val="1"/>
    <w:unhideWhenUsed/>
    <w:qFormat/>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paragraph" w:styleId="8">
    <w:name w:val="heading 4"/>
    <w:basedOn w:val="1"/>
    <w:next w:val="1"/>
    <w:unhideWhenUsed/>
    <w:qFormat/>
    <w:uiPriority w:val="0"/>
    <w:pPr>
      <w:spacing w:before="100" w:beforeAutospacing="1" w:after="100" w:afterAutospacing="1"/>
      <w:jc w:val="left"/>
      <w:outlineLvl w:val="3"/>
    </w:pPr>
    <w:rPr>
      <w:rFonts w:hint="eastAsia" w:ascii="宋体" w:hAnsi="宋体" w:eastAsia="宋体" w:cs="宋体"/>
      <w:b/>
      <w:bCs/>
      <w:kern w:val="0"/>
      <w:sz w:val="24"/>
      <w:szCs w:val="24"/>
      <w:lang w:val="en-US" w:eastAsia="zh-CN" w:bidi="ar"/>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2">
    <w:name w:val="Body Text"/>
    <w:basedOn w:val="1"/>
    <w:next w:val="3"/>
    <w:qFormat/>
    <w:uiPriority w:val="99"/>
    <w:pPr>
      <w:widowControl w:val="0"/>
      <w:spacing w:after="120"/>
      <w:jc w:val="both"/>
    </w:pPr>
    <w:rPr>
      <w:rFonts w:ascii="Calibri" w:hAnsi="Calibri" w:eastAsia="宋体" w:cs="Times New Roman"/>
      <w:kern w:val="2"/>
      <w:sz w:val="21"/>
      <w:szCs w:val="24"/>
      <w:lang w:val="en-US" w:eastAsia="zh-CN" w:bidi="ar-SA"/>
    </w:rPr>
  </w:style>
  <w:style w:type="paragraph" w:customStyle="1" w:styleId="3">
    <w:name w:val="style4"/>
    <w:basedOn w:val="1"/>
    <w:next w:val="4"/>
    <w:qFormat/>
    <w:uiPriority w:val="0"/>
    <w:pPr>
      <w:widowControl/>
      <w:spacing w:before="100" w:beforeAutospacing="1" w:after="100" w:afterAutospacing="1"/>
      <w:jc w:val="left"/>
    </w:pPr>
    <w:rPr>
      <w:rFonts w:ascii="宋体" w:hAnsi="宋体" w:cs="宋体"/>
      <w:kern w:val="0"/>
      <w:sz w:val="18"/>
      <w:szCs w:val="18"/>
    </w:rPr>
  </w:style>
  <w:style w:type="paragraph" w:customStyle="1" w:styleId="4">
    <w:name w:val="2"/>
    <w:basedOn w:val="1"/>
    <w:next w:val="1"/>
    <w:qFormat/>
    <w:uiPriority w:val="0"/>
    <w:pPr>
      <w:adjustRightInd w:val="0"/>
      <w:spacing w:line="420" w:lineRule="atLeast"/>
      <w:ind w:left="1134" w:hanging="227"/>
      <w:textAlignment w:val="baseline"/>
    </w:pPr>
    <w:rPr>
      <w:kern w:val="0"/>
      <w:szCs w:val="20"/>
    </w:rPr>
  </w:style>
  <w:style w:type="paragraph" w:styleId="9">
    <w:name w:val="annotation text"/>
    <w:basedOn w:val="1"/>
    <w:qFormat/>
    <w:uiPriority w:val="0"/>
    <w:pPr>
      <w:jc w:val="left"/>
    </w:pPr>
  </w:style>
  <w:style w:type="paragraph" w:styleId="10">
    <w:name w:val="footer"/>
    <w:basedOn w:val="1"/>
    <w:qFormat/>
    <w:uiPriority w:val="0"/>
    <w:pPr>
      <w:tabs>
        <w:tab w:val="center" w:pos="4153"/>
        <w:tab w:val="right" w:pos="8306"/>
      </w:tabs>
      <w:snapToGrid w:val="0"/>
      <w:jc w:val="left"/>
    </w:pPr>
    <w:rPr>
      <w:sz w:val="18"/>
    </w:r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2">
    <w:name w:val="Body Text 2"/>
    <w:basedOn w:val="1"/>
    <w:qFormat/>
    <w:uiPriority w:val="0"/>
    <w:pPr>
      <w:widowControl w:val="0"/>
      <w:adjustRightInd w:val="0"/>
      <w:spacing w:line="360" w:lineRule="auto"/>
      <w:jc w:val="both"/>
      <w:textAlignment w:val="baseline"/>
    </w:pPr>
    <w:rPr>
      <w:rFonts w:ascii="楷体_GB2312" w:hAnsi="Calibri" w:eastAsia="楷体_GB2312" w:cs="Times New Roman"/>
      <w:kern w:val="44"/>
      <w:sz w:val="28"/>
      <w:szCs w:val="20"/>
      <w:lang w:val="en-US" w:eastAsia="zh-CN" w:bidi="ar-SA"/>
    </w:rPr>
  </w:style>
  <w:style w:type="paragraph" w:styleId="13">
    <w:name w:val="Body Text First Indent"/>
    <w:basedOn w:val="2"/>
    <w:next w:val="1"/>
    <w:qFormat/>
    <w:uiPriority w:val="0"/>
    <w:pPr>
      <w:ind w:firstLine="420" w:firstLineChars="100"/>
    </w:p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Hyperlink"/>
    <w:basedOn w:val="16"/>
    <w:qFormat/>
    <w:uiPriority w:val="0"/>
    <w:rPr>
      <w:color w:val="0000FF"/>
      <w:u w:val="single"/>
    </w:rPr>
  </w:style>
  <w:style w:type="character" w:customStyle="1" w:styleId="19">
    <w:name w:val="font141"/>
    <w:basedOn w:val="16"/>
    <w:qFormat/>
    <w:uiPriority w:val="0"/>
    <w:rPr>
      <w:rFonts w:ascii="Nimbus Roman No9 L" w:hAnsi="Nimbus Roman No9 L" w:eastAsia="Nimbus Roman No9 L" w:cs="Nimbus Roman No9 L"/>
      <w:color w:val="000000"/>
      <w:sz w:val="48"/>
      <w:szCs w:val="48"/>
      <w:u w:val="none"/>
    </w:rPr>
  </w:style>
  <w:style w:type="character" w:customStyle="1" w:styleId="20">
    <w:name w:val="font151"/>
    <w:basedOn w:val="16"/>
    <w:qFormat/>
    <w:uiPriority w:val="0"/>
    <w:rPr>
      <w:rFonts w:hint="eastAsia" w:ascii="方正小标宋_GBK" w:hAnsi="方正小标宋_GBK" w:eastAsia="方正小标宋_GBK" w:cs="方正小标宋_GBK"/>
      <w:color w:val="000000"/>
      <w:sz w:val="48"/>
      <w:szCs w:val="48"/>
      <w:u w:val="none"/>
    </w:rPr>
  </w:style>
  <w:style w:type="character" w:customStyle="1" w:styleId="21">
    <w:name w:val="font112"/>
    <w:basedOn w:val="16"/>
    <w:qFormat/>
    <w:uiPriority w:val="0"/>
    <w:rPr>
      <w:rFonts w:ascii="Calibri" w:hAnsi="Calibri" w:cs="Calibri"/>
      <w:color w:val="000000"/>
      <w:sz w:val="24"/>
      <w:szCs w:val="24"/>
      <w:u w:val="none"/>
    </w:rPr>
  </w:style>
  <w:style w:type="character" w:customStyle="1" w:styleId="22">
    <w:name w:val="font61"/>
    <w:basedOn w:val="16"/>
    <w:qFormat/>
    <w:uiPriority w:val="0"/>
    <w:rPr>
      <w:rFonts w:hint="eastAsia" w:ascii="宋体" w:hAnsi="宋体" w:eastAsia="宋体" w:cs="宋体"/>
      <w:color w:val="000000"/>
      <w:sz w:val="24"/>
      <w:szCs w:val="24"/>
      <w:u w:val="none"/>
    </w:rPr>
  </w:style>
  <w:style w:type="character" w:customStyle="1" w:styleId="23">
    <w:name w:val="font161"/>
    <w:basedOn w:val="16"/>
    <w:qFormat/>
    <w:uiPriority w:val="0"/>
    <w:rPr>
      <w:rFonts w:ascii="方正书宋_GBK" w:hAnsi="方正书宋_GBK" w:eastAsia="方正书宋_GBK" w:cs="方正书宋_GBK"/>
      <w:color w:val="000000"/>
      <w:sz w:val="24"/>
      <w:szCs w:val="24"/>
      <w:u w:val="none"/>
    </w:rPr>
  </w:style>
  <w:style w:type="paragraph" w:customStyle="1" w:styleId="24">
    <w:name w:val="正文缩进1"/>
    <w:basedOn w:val="1"/>
    <w:qFormat/>
    <w:uiPriority w:val="0"/>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data/usershare/&#24037;&#20316;&#25991;&#26723;/&#24037;&#20316;&#25991;&#26723;/2026&#24180;&#24037;&#20316;&#25991;&#26723;/&#31649;&#29702;&#21150;&#27861;&#20462;&#35746;&#65288;&#26446;&#65289;/&#37073;&#24030;&#24066;&#31185;&#25216;&#35745;&#21010;&#8220;&#25581;&#27036;&#25346;&#24069;&#8221;&#21019;&#26032;&#39033;&#30446;&#31649;&#29702;&#21150;&#27861;/&#25581;&#27036;&#25346;&#24069;&#39033;&#30446;&#30003;&#25253;&#24037;&#20316;/&#20851;&#20110;&#32452;&#32455;&#30003;&#25253;%202027&#24180;&#24230;&#37073;&#24030;&#24066;&#31185;&#25216;&#35745;&#21010;&#8220;&#25581;&#27036;&#25346;&#24069;&#8221;&#37325;&#22823;&#25915;&#20851;&#39033;&#30446;&#30340;&#36890;&#30693;.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关于组织申报 2027年度郑州市科技计划“揭榜挂帅”重大攻关项目的通知.dotx</Template>
  <Pages>28</Pages>
  <Words>25648</Words>
  <Characters>27837</Characters>
  <Lines>1</Lines>
  <Paragraphs>1</Paragraphs>
  <TotalTime>216</TotalTime>
  <ScaleCrop>false</ScaleCrop>
  <LinksUpToDate>false</LinksUpToDate>
  <CharactersWithSpaces>28155</CharactersWithSpaces>
  <Application>WPS Office_12.1.2.24730_F1E327BC-269C-435d-A152-05C5408002CA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2026-07-21T01:49:00Z</dcterms:created>
  <dc:creator>lixian</dc:creator>
  <cp:lastModifiedBy>aa</cp:lastModifiedBy>
  <cp:lastPrinted>2026-09-13T03:06:00Z</cp:lastPrinted>
  <dcterms:modified xsi:type="dcterms:W3CDTF">2026-09-14T15:56:09Z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2052-12.1.2.24730</vt:lpwstr>
  </property>
  <property fmtid="{D5CDD505-2E9C-101B-9397-08002B2CF9AE}" pid="3" name="ICV">
    <vt:lpwstr>F01C69C39CA5985099A8A76A7E7A3A3B_43</vt:lpwstr>
  </property>
</Properties>
</file>