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DA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华文宋体" w:hAnsi="华文宋体" w:eastAsia="华文宋体" w:cs="华文宋体"/>
          <w:b/>
          <w:bCs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宋体" w:hAnsi="华文宋体" w:eastAsia="华文宋体" w:cs="华文宋体"/>
          <w:b/>
          <w:bCs/>
          <w:color w:val="auto"/>
          <w:sz w:val="32"/>
          <w:szCs w:val="32"/>
          <w:highlight w:val="none"/>
          <w:lang w:eastAsia="zh-CN"/>
        </w:rPr>
        <w:t>附件</w:t>
      </w:r>
      <w:r>
        <w:rPr>
          <w:rFonts w:hint="eastAsia" w:ascii="华文宋体" w:hAnsi="华文宋体" w:eastAsia="华文宋体" w:cs="华文宋体"/>
          <w:b/>
          <w:bCs/>
          <w:color w:val="auto"/>
          <w:sz w:val="32"/>
          <w:szCs w:val="32"/>
          <w:highlight w:val="none"/>
          <w:lang w:val="en-US" w:eastAsia="zh-CN"/>
        </w:rPr>
        <w:t>2</w:t>
      </w:r>
    </w:p>
    <w:p w14:paraId="7CB74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</w:pPr>
    </w:p>
    <w:p w14:paraId="2AA6C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华文宋体" w:hAnsi="华文宋体" w:eastAsia="华文宋体" w:cs="华文宋体"/>
          <w:b/>
          <w:bCs/>
          <w:color w:val="auto"/>
          <w:sz w:val="44"/>
          <w:szCs w:val="44"/>
          <w:highlight w:val="none"/>
          <w:lang w:eastAsia="zh-CN"/>
        </w:rPr>
      </w:pPr>
      <w:bookmarkStart w:id="3" w:name="_GoBack"/>
      <w:r>
        <w:rPr>
          <w:rFonts w:hint="eastAsia" w:ascii="华文宋体" w:hAnsi="华文宋体" w:eastAsia="华文宋体" w:cs="华文宋体"/>
          <w:b/>
          <w:bCs/>
          <w:color w:val="auto"/>
          <w:sz w:val="44"/>
          <w:szCs w:val="44"/>
          <w:highlight w:val="none"/>
        </w:rPr>
        <w:t>郑州市</w:t>
      </w:r>
      <w:r>
        <w:rPr>
          <w:rFonts w:hint="eastAsia" w:ascii="华文宋体" w:hAnsi="华文宋体" w:eastAsia="华文宋体" w:cs="华文宋体"/>
          <w:b/>
          <w:bCs/>
          <w:color w:val="auto"/>
          <w:sz w:val="44"/>
          <w:szCs w:val="44"/>
          <w:highlight w:val="none"/>
          <w:lang w:eastAsia="zh-CN"/>
        </w:rPr>
        <w:t>科技计划</w:t>
      </w:r>
      <w:r>
        <w:rPr>
          <w:rFonts w:hint="eastAsia" w:ascii="华文宋体" w:hAnsi="华文宋体" w:eastAsia="华文宋体" w:cs="华文宋体"/>
          <w:b/>
          <w:bCs/>
          <w:color w:val="auto"/>
          <w:sz w:val="44"/>
          <w:szCs w:val="44"/>
          <w:highlight w:val="none"/>
        </w:rPr>
        <w:t>“揭榜挂帅”</w:t>
      </w:r>
      <w:r>
        <w:rPr>
          <w:rFonts w:hint="eastAsia" w:ascii="华文宋体" w:hAnsi="华文宋体" w:eastAsia="华文宋体" w:cs="华文宋体"/>
          <w:b/>
          <w:bCs/>
          <w:color w:val="auto"/>
          <w:sz w:val="44"/>
          <w:szCs w:val="44"/>
          <w:highlight w:val="none"/>
          <w:lang w:eastAsia="zh-CN"/>
        </w:rPr>
        <w:t>重点研发</w:t>
      </w:r>
    </w:p>
    <w:p w14:paraId="67148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华文宋体" w:hAnsi="华文宋体" w:eastAsia="华文宋体" w:cs="华文宋体"/>
          <w:b/>
          <w:bCs/>
          <w:color w:val="auto"/>
          <w:sz w:val="44"/>
          <w:szCs w:val="44"/>
          <w:highlight w:val="none"/>
          <w:lang w:eastAsia="zh-CN"/>
        </w:rPr>
      </w:pPr>
      <w:r>
        <w:rPr>
          <w:rFonts w:hint="eastAsia" w:ascii="华文宋体" w:hAnsi="华文宋体" w:eastAsia="华文宋体" w:cs="华文宋体"/>
          <w:b/>
          <w:bCs/>
          <w:color w:val="auto"/>
          <w:sz w:val="44"/>
          <w:szCs w:val="44"/>
          <w:highlight w:val="none"/>
        </w:rPr>
        <w:t>项目</w:t>
      </w:r>
      <w:r>
        <w:rPr>
          <w:rFonts w:hint="eastAsia" w:ascii="华文宋体" w:hAnsi="华文宋体" w:eastAsia="华文宋体" w:cs="华文宋体"/>
          <w:b/>
          <w:bCs/>
          <w:color w:val="auto"/>
          <w:sz w:val="44"/>
          <w:szCs w:val="44"/>
          <w:highlight w:val="none"/>
          <w:lang w:eastAsia="zh-CN"/>
        </w:rPr>
        <w:t>申报指南</w:t>
      </w:r>
    </w:p>
    <w:bookmarkEnd w:id="3"/>
    <w:p w14:paraId="4FE8D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</w:pPr>
    </w:p>
    <w:p w14:paraId="1E741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</w:pPr>
    </w:p>
    <w:p w14:paraId="23D12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color w:val="auto"/>
          <w:sz w:val="32"/>
          <w:szCs w:val="32"/>
          <w:highlight w:val="none"/>
        </w:rPr>
      </w:pPr>
      <w:r>
        <w:rPr>
          <w:rFonts w:hint="eastAsia" w:ascii="方正黑体_GBK" w:hAnsi="方正黑体_GBK" w:eastAsia="方正黑体_GBK" w:cs="方正黑体_GBK"/>
          <w:color w:val="auto"/>
          <w:sz w:val="32"/>
          <w:szCs w:val="32"/>
          <w:highlight w:val="none"/>
        </w:rPr>
        <w:t>一、申报条件</w:t>
      </w:r>
    </w:p>
    <w:p w14:paraId="346F3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华文楷体" w:hAnsi="华文楷体" w:eastAsia="华文楷体" w:cs="华文楷体"/>
          <w:color w:val="auto"/>
          <w:sz w:val="32"/>
          <w:szCs w:val="32"/>
          <w:highlight w:val="none"/>
        </w:rPr>
      </w:pPr>
      <w:r>
        <w:rPr>
          <w:rFonts w:hint="eastAsia" w:ascii="华文楷体" w:hAnsi="华文楷体" w:eastAsia="华文楷体" w:cs="华文楷体"/>
          <w:color w:val="auto"/>
          <w:sz w:val="32"/>
          <w:szCs w:val="32"/>
          <w:highlight w:val="none"/>
        </w:rPr>
        <w:t>（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highlight w:val="none"/>
          <w:lang w:eastAsia="zh-CN"/>
        </w:rPr>
        <w:t>一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highlight w:val="none"/>
        </w:rPr>
        <w:t>）项目负责人条件</w:t>
      </w:r>
    </w:p>
    <w:p w14:paraId="0FF856A3">
      <w:pPr>
        <w:pStyle w:val="9"/>
        <w:ind w:firstLine="640" w:firstLineChars="200"/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1.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项目负责人为项目实际主持研发人员，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是承担单位在职或专职聘用人员，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年龄不超过60周岁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  <w:t>（按申报通知发布之日算起）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，鼓励35周岁以下青年科研骨干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劳模、工匠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牵头，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每年用于项目的工作时间不得少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于6个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月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。</w:t>
      </w:r>
    </w:p>
    <w:p w14:paraId="4A5D2012">
      <w:pPr>
        <w:ind w:firstLine="640" w:firstLineChars="200"/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同一项目负责人原则上每年只能承担一个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财政资金支持的项目。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获市级财政资金支持的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在研项目负责人不得申报；已承担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财政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资金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支持的科技计划项目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截至申报截止日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逾期未结项的不得申报。</w:t>
      </w:r>
    </w:p>
    <w:p w14:paraId="3BCAB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华文楷体" w:hAnsi="华文楷体" w:eastAsia="华文楷体" w:cs="华文楷体"/>
          <w:color w:val="auto"/>
          <w:sz w:val="32"/>
          <w:szCs w:val="32"/>
          <w:highlight w:val="none"/>
        </w:rPr>
      </w:pPr>
      <w:r>
        <w:rPr>
          <w:rFonts w:hint="eastAsia" w:ascii="华文楷体" w:hAnsi="华文楷体" w:eastAsia="华文楷体" w:cs="华文楷体"/>
          <w:color w:val="auto"/>
          <w:sz w:val="32"/>
          <w:szCs w:val="32"/>
          <w:highlight w:val="none"/>
        </w:rPr>
        <w:t>（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highlight w:val="none"/>
          <w:lang w:eastAsia="zh-CN"/>
        </w:rPr>
        <w:t>二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highlight w:val="none"/>
        </w:rPr>
        <w:t>）申报单位条件</w:t>
      </w:r>
    </w:p>
    <w:p w14:paraId="63776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</w:pP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1.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申报单位为郑州市域内注册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  <w:t>的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独立法人，注册时间满1年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  <w:t>以上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具备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一定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研究能力和研发基础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。</w:t>
      </w:r>
    </w:p>
    <w:p w14:paraId="35DF7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</w:pP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2.申报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单位具有良好的科研道德和社会诚信，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  <w:t>不在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科技计划项目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申报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限制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期内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，近3年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  <w:t>无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市级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  <w:t>科研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项目验收不合格、逾期未结题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  <w:t>情形，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未被列入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  <w:t>失信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联合惩戒名单。</w:t>
      </w:r>
    </w:p>
    <w:p w14:paraId="33F80607">
      <w:pPr>
        <w:pStyle w:val="9"/>
        <w:ind w:firstLine="640" w:firstLineChars="200"/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3.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牵头申报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  <w:t>单位为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企业的，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  <w:t>须是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上年度研发投入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  <w:t>不低于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200万元（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  <w:t>占主营业务收入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比例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  <w:t>应达到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：大中型≥1.5%，其他企业≥3%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）的科技型企业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  <w:t>。</w:t>
      </w:r>
    </w:p>
    <w:p w14:paraId="7540BD13">
      <w:pPr>
        <w:pStyle w:val="9"/>
        <w:ind w:firstLine="640" w:firstLineChars="200"/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4.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牵头申报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  <w:t>单位为非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企业的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  <w:t>，上年度研发投入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不低于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500万元</w:t>
      </w:r>
      <w:r>
        <w:rPr>
          <w:rFonts w:hint="eastAsia" w:ascii="华文仿宋" w:hAnsi="华文仿宋" w:eastAsia="华文仿宋" w:cs="华文仿宋"/>
          <w:color w:val="auto"/>
          <w:kern w:val="2"/>
          <w:sz w:val="32"/>
          <w:szCs w:val="32"/>
          <w:highlight w:val="none"/>
          <w:lang w:val="en-US" w:eastAsia="zh-CN" w:bidi="ar"/>
        </w:rPr>
        <w:t>。</w:t>
      </w:r>
    </w:p>
    <w:p w14:paraId="3D5A9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5.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鼓励企业、高校、科研机构等各类创新主体加强产学研合作，组成创新联合体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联合申报、协同攻关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  <w:t>。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产业化方向项目须企业牵头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  <w:t>，非企业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牵头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  <w:t>的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必须有本地企业实质性参与。</w:t>
      </w:r>
    </w:p>
    <w:p w14:paraId="1FC67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华文楷体" w:hAnsi="华文楷体" w:eastAsia="华文楷体" w:cs="华文楷体"/>
          <w:color w:val="auto"/>
          <w:sz w:val="32"/>
          <w:szCs w:val="32"/>
          <w:highlight w:val="none"/>
        </w:rPr>
      </w:pPr>
      <w:r>
        <w:rPr>
          <w:rFonts w:hint="eastAsia" w:ascii="华文楷体" w:hAnsi="华文楷体" w:eastAsia="华文楷体" w:cs="华文楷体"/>
          <w:color w:val="auto"/>
          <w:sz w:val="32"/>
          <w:szCs w:val="32"/>
          <w:highlight w:val="none"/>
        </w:rPr>
        <w:t>（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highlight w:val="none"/>
          <w:lang w:eastAsia="zh-CN"/>
        </w:rPr>
        <w:t>三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highlight w:val="none"/>
        </w:rPr>
        <w:t>）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highlight w:val="none"/>
          <w:lang w:eastAsia="zh-CN"/>
        </w:rPr>
        <w:t>实施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highlight w:val="none"/>
        </w:rPr>
        <w:t>周期与资金要求</w:t>
      </w:r>
    </w:p>
    <w:p w14:paraId="6513C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1.项目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实施周期原则不超过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年，申报单位为企业的，自筹资金总额不低于市级财政资金申请总额的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3倍，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申报单位为非企业的，自筹资金总额不低于市级财政资金申请总额的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1倍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。</w:t>
      </w:r>
    </w:p>
    <w:p w14:paraId="4B6A0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华文仿宋" w:hAnsi="华文仿宋" w:eastAsia="华文仿宋" w:cs="华文仿宋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2.项目立项后择优给予支持，市级财政资金实行分批拨付，首笔资金不超过财政资金支持总额的30%，项目验收通过后拨付剩余资金。</w:t>
      </w:r>
    </w:p>
    <w:p w14:paraId="4DC30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3.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对劳模创新工作室核心攻关、全员建会、劳模助企行落地项目，工会择优同步配套职工创新专项扶持资金。</w:t>
      </w:r>
    </w:p>
    <w:p w14:paraId="44368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华文楷体" w:hAnsi="华文楷体" w:eastAsia="华文楷体" w:cs="华文楷体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楷体" w:hAnsi="华文楷体" w:eastAsia="华文楷体" w:cs="华文楷体"/>
          <w:color w:val="auto"/>
          <w:sz w:val="32"/>
          <w:szCs w:val="32"/>
          <w:highlight w:val="none"/>
        </w:rPr>
        <w:t>（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highlight w:val="none"/>
          <w:lang w:eastAsia="zh-CN"/>
        </w:rPr>
        <w:t>四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highlight w:val="none"/>
        </w:rPr>
        <w:t>）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highlight w:val="none"/>
          <w:lang w:eastAsia="zh-CN"/>
        </w:rPr>
        <w:t>其他要求</w:t>
      </w:r>
    </w:p>
    <w:p w14:paraId="1A8D8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各申报单位应加强项目审核，强化科研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诚信管理，加强科技伦理审查。同一研发内容已获得市级及以上财政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资金支持的，严禁重复或变相重复申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。</w:t>
      </w:r>
    </w:p>
    <w:p w14:paraId="2D519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2.同一单位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同一研究方向限推荐申报1项，鼓励单位内部加强资源整合、形成优势团队。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申报单位为企业的，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同一单位同年度限报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项重点研发项目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  <w:t>；申报单位为非企业的，限报数量见下表。</w:t>
      </w:r>
    </w:p>
    <w:tbl>
      <w:tblPr>
        <w:tblStyle w:val="15"/>
        <w:tblW w:w="87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2201"/>
        <w:gridCol w:w="750"/>
        <w:gridCol w:w="4234"/>
      </w:tblGrid>
      <w:tr w14:paraId="53E9F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354213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华文宋体" w:hAnsi="华文宋体" w:eastAsia="华文宋体" w:cs="华文宋体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申报主体</w:t>
            </w:r>
          </w:p>
        </w:tc>
        <w:tc>
          <w:tcPr>
            <w:tcW w:w="2201" w:type="dxa"/>
            <w:noWrap w:val="0"/>
            <w:vAlign w:val="center"/>
          </w:tcPr>
          <w:p w14:paraId="03CA0D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华文宋体" w:hAnsi="华文宋体" w:eastAsia="华文宋体" w:cs="华文宋体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细分单位类型</w:t>
            </w:r>
          </w:p>
        </w:tc>
        <w:tc>
          <w:tcPr>
            <w:tcW w:w="750" w:type="dxa"/>
            <w:noWrap w:val="0"/>
            <w:vAlign w:val="center"/>
          </w:tcPr>
          <w:p w14:paraId="7A3D84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华文宋体" w:hAnsi="华文宋体" w:eastAsia="华文宋体" w:cs="华文宋体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数量（项）</w:t>
            </w:r>
          </w:p>
        </w:tc>
        <w:tc>
          <w:tcPr>
            <w:tcW w:w="4234" w:type="dxa"/>
            <w:noWrap w:val="0"/>
            <w:vAlign w:val="center"/>
          </w:tcPr>
          <w:p w14:paraId="63EBE4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华文宋体" w:hAnsi="华文宋体" w:eastAsia="华文宋体" w:cs="华文宋体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说明</w:t>
            </w:r>
          </w:p>
        </w:tc>
      </w:tr>
      <w:tr w14:paraId="039A7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</w:trPr>
        <w:tc>
          <w:tcPr>
            <w:tcW w:w="1552" w:type="dxa"/>
            <w:vMerge w:val="restart"/>
            <w:noWrap w:val="0"/>
            <w:vAlign w:val="center"/>
          </w:tcPr>
          <w:p w14:paraId="713CEA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华文宋体" w:hAnsi="华文宋体" w:eastAsia="华文宋体" w:cs="华文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高校类</w:t>
            </w:r>
          </w:p>
        </w:tc>
        <w:tc>
          <w:tcPr>
            <w:tcW w:w="2201" w:type="dxa"/>
            <w:noWrap w:val="0"/>
            <w:vAlign w:val="center"/>
          </w:tcPr>
          <w:p w14:paraId="2A2545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华文宋体" w:hAnsi="华文宋体" w:eastAsia="华文宋体" w:cs="华文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驻郑双一流大学</w:t>
            </w:r>
          </w:p>
        </w:tc>
        <w:tc>
          <w:tcPr>
            <w:tcW w:w="750" w:type="dxa"/>
            <w:noWrap w:val="0"/>
            <w:vAlign w:val="center"/>
          </w:tcPr>
          <w:p w14:paraId="7CEC29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华文宋体" w:hAnsi="华文宋体" w:eastAsia="华文宋体" w:cs="华文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4234" w:type="dxa"/>
            <w:vMerge w:val="restart"/>
            <w:noWrap w:val="0"/>
            <w:vAlign w:val="center"/>
          </w:tcPr>
          <w:p w14:paraId="2C5145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1.校内各院系、研究院由学校科技处统一筛选汇总，校内择优整合，杜绝同方向多报；</w:t>
            </w:r>
          </w:p>
          <w:p w14:paraId="6129CF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2.仅面向本校全职在岗科研人员，二级学院不得单独申报，学校统一统筹筛选。</w:t>
            </w:r>
          </w:p>
          <w:p w14:paraId="1C6FEB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3.侧重校企联合产业化课题，纯基础理论类从严压缩，鼓励与企业联合牵头。</w:t>
            </w:r>
          </w:p>
        </w:tc>
      </w:tr>
      <w:tr w14:paraId="132D3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noWrap w:val="0"/>
            <w:vAlign w:val="center"/>
          </w:tcPr>
          <w:p w14:paraId="106BA5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华文宋体" w:hAnsi="华文宋体" w:eastAsia="华文宋体" w:cs="华文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201" w:type="dxa"/>
            <w:noWrap w:val="0"/>
            <w:vAlign w:val="center"/>
          </w:tcPr>
          <w:p w14:paraId="798D4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华文宋体" w:hAnsi="华文宋体" w:eastAsia="华文宋体" w:cs="华文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市属、省属普通院校</w:t>
            </w:r>
          </w:p>
        </w:tc>
        <w:tc>
          <w:tcPr>
            <w:tcW w:w="750" w:type="dxa"/>
            <w:noWrap w:val="0"/>
            <w:vAlign w:val="center"/>
          </w:tcPr>
          <w:p w14:paraId="0B2738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华文宋体" w:hAnsi="华文宋体" w:eastAsia="华文宋体" w:cs="华文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4234" w:type="dxa"/>
            <w:vMerge w:val="continue"/>
            <w:noWrap w:val="0"/>
            <w:vAlign w:val="center"/>
          </w:tcPr>
          <w:p w14:paraId="458E7B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</w:tr>
      <w:tr w14:paraId="7B438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60F80E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华文宋体" w:hAnsi="华文宋体" w:eastAsia="华文宋体" w:cs="华文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全国重点实验室（独立法人）</w:t>
            </w:r>
          </w:p>
        </w:tc>
        <w:tc>
          <w:tcPr>
            <w:tcW w:w="2201" w:type="dxa"/>
            <w:noWrap w:val="0"/>
            <w:vAlign w:val="center"/>
          </w:tcPr>
          <w:p w14:paraId="4B0ED3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由科技部批准建设</w:t>
            </w:r>
          </w:p>
        </w:tc>
        <w:tc>
          <w:tcPr>
            <w:tcW w:w="750" w:type="dxa"/>
            <w:noWrap w:val="0"/>
            <w:vAlign w:val="center"/>
          </w:tcPr>
          <w:p w14:paraId="0FC2E9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4234" w:type="dxa"/>
            <w:noWrap w:val="0"/>
            <w:vAlign w:val="center"/>
          </w:tcPr>
          <w:p w14:paraId="4726CF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非独立法人实验室不能单独申报，依托牵头单位申报且占用牵头单位名额。</w:t>
            </w:r>
          </w:p>
        </w:tc>
      </w:tr>
      <w:tr w14:paraId="55A3C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552" w:type="dxa"/>
            <w:noWrap w:val="0"/>
            <w:vAlign w:val="center"/>
          </w:tcPr>
          <w:p w14:paraId="5C509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华文宋体" w:hAnsi="华文宋体" w:eastAsia="华文宋体" w:cs="华文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河南省实验室（独立法人）</w:t>
            </w:r>
          </w:p>
        </w:tc>
        <w:tc>
          <w:tcPr>
            <w:tcW w:w="2201" w:type="dxa"/>
            <w:noWrap w:val="0"/>
            <w:vAlign w:val="center"/>
          </w:tcPr>
          <w:p w14:paraId="6E1C9D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华文宋体" w:hAnsi="华文宋体" w:eastAsia="华文宋体" w:cs="华文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由省科技厅批准建设</w:t>
            </w:r>
          </w:p>
        </w:tc>
        <w:tc>
          <w:tcPr>
            <w:tcW w:w="750" w:type="dxa"/>
            <w:noWrap w:val="0"/>
            <w:vAlign w:val="center"/>
          </w:tcPr>
          <w:p w14:paraId="48C167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华文宋体" w:hAnsi="华文宋体" w:eastAsia="华文宋体" w:cs="华文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4234" w:type="dxa"/>
            <w:noWrap w:val="0"/>
            <w:vAlign w:val="center"/>
          </w:tcPr>
          <w:p w14:paraId="09BE87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华文宋体" w:hAnsi="华文宋体" w:eastAsia="华文宋体" w:cs="华文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1081F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0DB689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科研院所</w:t>
            </w:r>
          </w:p>
        </w:tc>
        <w:tc>
          <w:tcPr>
            <w:tcW w:w="2201" w:type="dxa"/>
            <w:noWrap w:val="0"/>
            <w:vAlign w:val="center"/>
          </w:tcPr>
          <w:p w14:paraId="1A630A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市属/省属科研院所</w:t>
            </w:r>
          </w:p>
        </w:tc>
        <w:tc>
          <w:tcPr>
            <w:tcW w:w="750" w:type="dxa"/>
            <w:noWrap w:val="0"/>
            <w:vAlign w:val="center"/>
          </w:tcPr>
          <w:p w14:paraId="230E88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4234" w:type="dxa"/>
            <w:noWrap w:val="0"/>
            <w:vAlign w:val="center"/>
          </w:tcPr>
          <w:p w14:paraId="648B59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华文宋体" w:hAnsi="华文宋体" w:eastAsia="华文宋体" w:cs="华文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按院所整体统筹，各研究中心内部整合，同一产业链方向只保留1项。</w:t>
            </w:r>
          </w:p>
        </w:tc>
      </w:tr>
      <w:tr w14:paraId="17797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restart"/>
            <w:noWrap w:val="0"/>
            <w:vAlign w:val="center"/>
          </w:tcPr>
          <w:p w14:paraId="0EC06D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华文宋体" w:hAnsi="华文宋体" w:eastAsia="华文宋体" w:cs="华文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医疗机构</w:t>
            </w:r>
          </w:p>
        </w:tc>
        <w:tc>
          <w:tcPr>
            <w:tcW w:w="2201" w:type="dxa"/>
            <w:noWrap w:val="0"/>
            <w:vAlign w:val="center"/>
          </w:tcPr>
          <w:p w14:paraId="0953D4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华文宋体" w:hAnsi="华文宋体" w:eastAsia="华文宋体" w:cs="华文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三甲综合、三甲专科研究型医院</w:t>
            </w:r>
          </w:p>
        </w:tc>
        <w:tc>
          <w:tcPr>
            <w:tcW w:w="750" w:type="dxa"/>
            <w:noWrap w:val="0"/>
            <w:vAlign w:val="center"/>
          </w:tcPr>
          <w:p w14:paraId="38A611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华文宋体" w:hAnsi="华文宋体" w:eastAsia="华文宋体" w:cs="华文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4234" w:type="dxa"/>
            <w:noWrap w:val="0"/>
            <w:vAlign w:val="center"/>
          </w:tcPr>
          <w:p w14:paraId="17FC0D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华文宋体" w:hAnsi="华文宋体" w:eastAsia="华文宋体" w:cs="华文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按医院整体统筹，同一攻关方向只保留1项。多院区统一按一个法人限项。</w:t>
            </w:r>
          </w:p>
        </w:tc>
      </w:tr>
      <w:tr w14:paraId="66625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noWrap w:val="0"/>
            <w:vAlign w:val="center"/>
          </w:tcPr>
          <w:p w14:paraId="777ABA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华文宋体" w:hAnsi="华文宋体" w:eastAsia="华文宋体" w:cs="华文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201" w:type="dxa"/>
            <w:noWrap w:val="0"/>
            <w:vAlign w:val="center"/>
          </w:tcPr>
          <w:p w14:paraId="6BCDB6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华文宋体" w:hAnsi="华文宋体" w:eastAsia="华文宋体" w:cs="华文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二甲及以下普通医疗机构、疾控中心</w:t>
            </w:r>
          </w:p>
        </w:tc>
        <w:tc>
          <w:tcPr>
            <w:tcW w:w="750" w:type="dxa"/>
            <w:noWrap w:val="0"/>
            <w:vAlign w:val="center"/>
          </w:tcPr>
          <w:p w14:paraId="22AF09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华文宋体" w:hAnsi="华文宋体" w:eastAsia="华文宋体" w:cs="华文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4234" w:type="dxa"/>
            <w:noWrap w:val="0"/>
            <w:vAlign w:val="center"/>
          </w:tcPr>
          <w:p w14:paraId="21F20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华文宋体" w:hAnsi="华文宋体" w:eastAsia="华文宋体" w:cs="华文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sz w:val="21"/>
                <w:szCs w:val="21"/>
                <w:highlight w:val="none"/>
                <w:lang w:val="en-US" w:eastAsia="zh-CN"/>
              </w:rPr>
              <w:t>按医院整体统筹，同一攻关方向只保留1项。多院区统一按一个法人限项。</w:t>
            </w:r>
          </w:p>
        </w:tc>
      </w:tr>
    </w:tbl>
    <w:p w14:paraId="10745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</w:pP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3.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涉密项目不予受理。</w:t>
      </w:r>
    </w:p>
    <w:p w14:paraId="09749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color w:val="auto"/>
          <w:sz w:val="32"/>
          <w:szCs w:val="32"/>
          <w:highlight w:val="none"/>
        </w:rPr>
      </w:pPr>
      <w:r>
        <w:rPr>
          <w:rFonts w:hint="eastAsia" w:ascii="方正黑体_GBK" w:hAnsi="方正黑体_GBK" w:eastAsia="方正黑体_GBK" w:cs="方正黑体_GBK"/>
          <w:color w:val="auto"/>
          <w:sz w:val="32"/>
          <w:szCs w:val="32"/>
          <w:highlight w:val="none"/>
          <w:lang w:eastAsia="zh-CN"/>
        </w:rPr>
        <w:t>二</w:t>
      </w:r>
      <w:r>
        <w:rPr>
          <w:rFonts w:hint="eastAsia" w:ascii="方正黑体_GBK" w:hAnsi="方正黑体_GBK" w:eastAsia="方正黑体_GBK" w:cs="方正黑体_GBK"/>
          <w:color w:val="auto"/>
          <w:sz w:val="32"/>
          <w:szCs w:val="32"/>
          <w:highlight w:val="none"/>
        </w:rPr>
        <w:t>、申报程序</w:t>
      </w:r>
    </w:p>
    <w:p w14:paraId="675BC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项目申报人、项目申报单位登录系统进行申报或审核。</w:t>
      </w:r>
    </w:p>
    <w:p w14:paraId="73E5C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楷体" w:hAnsi="华文楷体" w:eastAsia="华文楷体" w:cs="华文楷体"/>
          <w:color w:val="auto"/>
          <w:sz w:val="32"/>
          <w:szCs w:val="32"/>
          <w:highlight w:val="none"/>
          <w:lang w:val="en-US" w:eastAsia="zh-CN"/>
        </w:rPr>
        <w:t>（一）账号注册认证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br w:type="textWrapping"/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已注册账号的单位，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登录郑州市科学技术局官网（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fldChar w:fldCharType="begin"/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instrText xml:space="preserve">HYPERLINK"https://zzkj.zhengzhou.gov.cn/%EF%BC%89-%E9%83%91%E5%B7%9E%E5%B8%82%E7%A7%91%E6%8A%80%E4%B8%9A%E5%8A%A1%E7%AE%A1%E7%90%86%E7%B3%BB%E7%BB%9F-%E9%80%89%E6%8B%A9%E8%A7%92%E8%89%B2%E2%80%9C%E5%8D%95%E4%BD%8D%E2%80%9D-%E8%BE%93%E5%85%A5%E7%94%A8%E6%88%B7%E5%90%8D%E5%92%8C%E5%AF%86%E7%A0%81%EF%BC%88%E5%8D%95%E4%BD%8D%E7%AE%A1%E7%90%86%E5%91%98%E6%89%8B%E6%9C%BA%E5%8F%B7+%E5%AF%86%E7%A0%81%E2%80%9C%E9%BB%98%E8%AE%A4%E5%AF%86%E7%A0%81%E4%B8%BA%E6%89%8B%E6%9C%BA%E5%8F%B7%E5%90%8E%E5%85%AD%E4%BD%8D%E2%80%9D%EF%BC%89%E5%90%8E%E8%BF%9B%E5%85%A5%E7%B3%BB%E7%BB%9F%E5%9C%A8%E5%BE%85%E7%94%B3%E6%8A%A5%E6%B8%85%E5%8D%95%E9%87%8C"\t"/home/lx/文档\\x/_blank"</w:instrTex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fldChar w:fldCharType="separate"/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</w:rPr>
        <w:t>https://zzkj.zhengzhou.gov.cn/）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——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</w:rPr>
        <w:t>郑州市科技业务管理系统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——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</w:rPr>
        <w:t>选择角色“单位”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——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</w:rPr>
        <w:t>输入用户名和密码后进入系统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</w:rPr>
        <w:t>在待申报清单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里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fldChar w:fldCharType="end"/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选择需要申报的项目进行填报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；非管理员子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账号由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单位管理员进入用户中心创建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后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，再按以上登录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；</w:t>
      </w:r>
    </w:p>
    <w:p w14:paraId="0F045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没有注册账号的单位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，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登录郑州市科学技术局官网（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fldChar w:fldCharType="begin"/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instrText xml:space="preserve">HYPERLINK"https://zzkj.zhengzhou.gov.cn/%EF%BC%89-%E9%83%91%E5%B7%9E%E5%B8%82%E7%A7%91%E6%8A%80%E4%B8%9A%E5%8A%A1%E7%AE%A1%E7%90%86%E7%B3%BB%E7%BB%9F-%E9%80%89%E6%8B%A9%E6%B3%A8%E5%86%8C"\t"/home/lx/文档\\x/_blank"</w:instrTex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fldChar w:fldCharType="separate"/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</w:rPr>
        <w:t>https://zzkj.zhengzhou.gov.cn/）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——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</w:rPr>
        <w:t>郑州市科技业务管理系统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——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</w:rPr>
        <w:t>选择注册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fldChar w:fldCharType="end"/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，按指示流程进行填报——注册成功后登录开展项目申报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。</w:t>
      </w:r>
    </w:p>
    <w:p w14:paraId="6B078A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华文楷体" w:hAnsi="华文楷体" w:eastAsia="华文楷体" w:cs="华文楷体"/>
          <w:color w:val="auto"/>
          <w:sz w:val="32"/>
          <w:szCs w:val="32"/>
          <w:highlight w:val="none"/>
          <w:lang w:val="en-US" w:eastAsia="zh-CN"/>
        </w:rPr>
      </w:pPr>
      <w:r>
        <w:rPr>
          <w:rFonts w:hint="default" w:ascii="华文楷体" w:hAnsi="华文楷体" w:eastAsia="华文楷体" w:cs="华文楷体"/>
          <w:color w:val="auto"/>
          <w:sz w:val="32"/>
          <w:szCs w:val="32"/>
          <w:highlight w:val="none"/>
          <w:lang w:val="en-US" w:eastAsia="zh-CN"/>
        </w:rPr>
        <w:t>单位信息维护</w:t>
      </w:r>
    </w:p>
    <w:p w14:paraId="7F0855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单位管理员进入系统后可点击左侧菜单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“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完善信息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”，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对单位信息进行维护，全单位申报人共享，无需重复填报。</w:t>
      </w:r>
    </w:p>
    <w:p w14:paraId="65AC34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华文楷体" w:hAnsi="华文楷体" w:eastAsia="华文楷体" w:cs="华文楷体"/>
          <w:color w:val="auto"/>
          <w:sz w:val="32"/>
          <w:szCs w:val="32"/>
          <w:highlight w:val="none"/>
          <w:lang w:val="en-US" w:eastAsia="zh-CN"/>
        </w:rPr>
      </w:pPr>
      <w:r>
        <w:rPr>
          <w:rFonts w:hint="default" w:ascii="华文楷体" w:hAnsi="华文楷体" w:eastAsia="华文楷体" w:cs="华文楷体"/>
          <w:color w:val="auto"/>
          <w:sz w:val="32"/>
          <w:szCs w:val="32"/>
          <w:highlight w:val="none"/>
          <w:lang w:val="en-US" w:eastAsia="zh-CN"/>
        </w:rPr>
        <w:t>（三）项目线上填报</w:t>
      </w:r>
    </w:p>
    <w:p w14:paraId="068A25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申报人登录系统，依据指南填报相关材料，提交至单位管理员审核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，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审核通过后推送至项目属地管理部门。</w:t>
      </w:r>
    </w:p>
    <w:p w14:paraId="20C3C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华文楷体" w:hAnsi="华文楷体" w:eastAsia="华文楷体" w:cs="华文楷体"/>
          <w:color w:val="auto"/>
          <w:sz w:val="32"/>
          <w:szCs w:val="32"/>
          <w:highlight w:val="none"/>
        </w:rPr>
      </w:pPr>
      <w:r>
        <w:rPr>
          <w:rFonts w:hint="eastAsia" w:ascii="华文楷体" w:hAnsi="华文楷体" w:eastAsia="华文楷体" w:cs="华文楷体"/>
          <w:color w:val="auto"/>
          <w:sz w:val="32"/>
          <w:szCs w:val="32"/>
          <w:highlight w:val="none"/>
        </w:rPr>
        <w:t>（四）审核推荐</w:t>
      </w:r>
    </w:p>
    <w:p w14:paraId="7706A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属地管理部门完成形式、信用、指南符合性初审，线上推荐至市科技局。本年度重点研发项目立项前无需线下报送纸质材料，系统电子材料为评审主要依据。</w:t>
      </w:r>
    </w:p>
    <w:p w14:paraId="4777D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华文楷体" w:hAnsi="华文楷体" w:eastAsia="华文楷体" w:cs="华文楷体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楷体" w:hAnsi="华文楷体" w:eastAsia="华文楷体" w:cs="华文楷体"/>
          <w:color w:val="auto"/>
          <w:sz w:val="32"/>
          <w:szCs w:val="32"/>
          <w:highlight w:val="none"/>
          <w:lang w:val="en-US" w:eastAsia="zh-CN"/>
        </w:rPr>
        <w:t>（五）咨询电话</w:t>
      </w:r>
    </w:p>
    <w:p w14:paraId="47B77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1.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  <w:t>高新领域：市科技局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高新处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67883885</w:t>
      </w:r>
    </w:p>
    <w:p w14:paraId="7F1AF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2.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  <w:t>农业领域：市科技局农村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处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67180457</w:t>
      </w:r>
    </w:p>
    <w:p w14:paraId="03978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3.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eastAsia="zh-CN"/>
        </w:rPr>
        <w:t>社发领域：市科技局社发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  <w:t>处</w:t>
      </w: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67177022</w:t>
      </w:r>
    </w:p>
    <w:p w14:paraId="08F5B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  <w:lang w:val="en-US" w:eastAsia="zh-CN"/>
        </w:rPr>
        <w:t>4.工会创新载体、建会入会、劳模助企行对接咨询：郑州市总工会电子信息科技工会67883192</w:t>
      </w:r>
    </w:p>
    <w:p w14:paraId="407E8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方正黑体_GBK" w:hAnsi="方正黑体_GBK" w:eastAsia="方正黑体_GBK" w:cs="方正黑体_GBK"/>
          <w:color w:val="auto"/>
          <w:sz w:val="32"/>
          <w:szCs w:val="32"/>
          <w:highlight w:val="none"/>
          <w:lang w:eastAsia="zh-CN"/>
        </w:rPr>
        <w:t>三</w:t>
      </w:r>
      <w:r>
        <w:rPr>
          <w:rFonts w:hint="eastAsia" w:ascii="方正黑体_GBK" w:hAnsi="方正黑体_GBK" w:eastAsia="方正黑体_GBK" w:cs="方正黑体_GBK"/>
          <w:color w:val="auto"/>
          <w:sz w:val="32"/>
          <w:szCs w:val="32"/>
          <w:highlight w:val="none"/>
        </w:rPr>
        <w:t>、</w:t>
      </w:r>
      <w:r>
        <w:rPr>
          <w:rFonts w:hint="eastAsia" w:ascii="方正黑体_GBK" w:hAnsi="方正黑体_GBK" w:eastAsia="方正黑体_GBK" w:cs="方正黑体_GBK"/>
          <w:color w:val="auto"/>
          <w:sz w:val="32"/>
          <w:szCs w:val="32"/>
          <w:highlight w:val="none"/>
          <w:lang w:eastAsia="zh-CN"/>
        </w:rPr>
        <w:t>申报领域</w:t>
      </w:r>
    </w:p>
    <w:p w14:paraId="4EC16A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华文楷体" w:hAnsi="华文楷体" w:eastAsia="华文楷体" w:cs="华文楷体"/>
          <w:b w:val="0"/>
          <w:bCs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/>
          <w:color w:val="auto"/>
          <w:sz w:val="32"/>
          <w:szCs w:val="32"/>
          <w:highlight w:val="none"/>
          <w:lang w:val="en-US" w:eastAsia="zh-CN"/>
        </w:rPr>
        <w:t>（一）高新领域</w:t>
      </w:r>
    </w:p>
    <w:p w14:paraId="78D70A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color w:val="auto"/>
          <w:sz w:val="32"/>
          <w:szCs w:val="32"/>
          <w:highlight w:val="none"/>
          <w:lang w:val="en-US" w:eastAsia="zh-CN"/>
        </w:rPr>
      </w:pPr>
      <w:bookmarkStart w:id="0" w:name="_Toc2095927352"/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  <w:highlight w:val="none"/>
          <w:lang w:val="en-US" w:eastAsia="zh-CN"/>
        </w:rPr>
        <w:t>1.先进制造领域</w:t>
      </w:r>
    </w:p>
    <w:p w14:paraId="7AFBC9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1" w:firstLineChars="200"/>
        <w:textAlignment w:val="auto"/>
        <w:rPr>
          <w:rFonts w:hint="default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  <w:t>课题1</w:t>
      </w:r>
      <w:r>
        <w:rPr>
          <w:rFonts w:hint="default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  <w:t>：高端</w:t>
      </w:r>
      <w:r>
        <w:rPr>
          <w:rFonts w:hint="eastAsia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  <w:t>智能</w:t>
      </w:r>
      <w:r>
        <w:rPr>
          <w:rFonts w:hint="default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  <w:t>装备</w:t>
      </w:r>
    </w:p>
    <w:p w14:paraId="79CD25DC">
      <w:pPr>
        <w:pStyle w:val="2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Times New Roman" w:hAnsi="Times New Roman" w:eastAsia="仿宋_GB2312" w:cs="Times New Roman"/>
          <w:b w:val="0"/>
          <w:bCs/>
          <w:color w:val="auto"/>
          <w:kern w:val="0"/>
          <w:sz w:val="32"/>
          <w:szCs w:val="32"/>
          <w:highlight w:val="none"/>
        </w:rPr>
      </w:pPr>
      <w:r>
        <w:rPr>
          <w:rFonts w:hint="default" w:ascii="Times New Roman" w:hAnsi="Times New Roman" w:eastAsia="仿宋_GB2312" w:cs="Times New Roman"/>
          <w:bCs/>
          <w:color w:val="auto"/>
          <w:kern w:val="0"/>
          <w:sz w:val="32"/>
          <w:szCs w:val="32"/>
          <w:highlight w:val="none"/>
        </w:rPr>
        <w:t>围绕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</w:rPr>
        <w:t>高端仪器仪表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</w:rPr>
        <w:t>智能传感器</w:t>
      </w:r>
      <w:r>
        <w:rPr>
          <w:rFonts w:hint="eastAsia" w:ascii="Times New Roman" w:hAnsi="Times New Roman" w:eastAsia="仿宋_GB2312" w:cs="Times New Roman"/>
          <w:bCs/>
          <w:color w:val="auto"/>
          <w:kern w:val="0"/>
          <w:sz w:val="32"/>
          <w:szCs w:val="32"/>
          <w:highlight w:val="none"/>
          <w:lang w:eastAsia="zh-CN"/>
        </w:rPr>
        <w:t>和</w:t>
      </w:r>
      <w:r>
        <w:rPr>
          <w:rFonts w:hint="default" w:ascii="Times New Roman" w:hAnsi="Times New Roman" w:eastAsia="仿宋_GB2312" w:cs="Times New Roman"/>
          <w:bCs/>
          <w:color w:val="auto"/>
          <w:kern w:val="0"/>
          <w:sz w:val="32"/>
          <w:szCs w:val="32"/>
          <w:highlight w:val="none"/>
        </w:rPr>
        <w:t>先进工程机械产业链重大创新需求，</w:t>
      </w:r>
      <w:r>
        <w:rPr>
          <w:rFonts w:hint="eastAsia" w:ascii="Times New Roman" w:hAnsi="Times New Roman" w:eastAsia="仿宋_GB2312" w:cs="Times New Roman"/>
          <w:b w:val="0"/>
          <w:bCs/>
          <w:color w:val="auto"/>
          <w:kern w:val="0"/>
          <w:sz w:val="32"/>
          <w:szCs w:val="32"/>
          <w:highlight w:val="none"/>
          <w:lang w:eastAsia="zh-CN"/>
        </w:rPr>
        <w:t>支持</w:t>
      </w:r>
      <w:r>
        <w:rPr>
          <w:rFonts w:hint="eastAsia" w:ascii="华文仿宋" w:hAnsi="华文仿宋" w:eastAsia="华文仿宋" w:cs="华文仿宋"/>
          <w:color w:val="auto"/>
          <w:sz w:val="32"/>
          <w:szCs w:val="40"/>
          <w:highlight w:val="none"/>
          <w:lang w:val="en-US" w:eastAsia="zh-CN"/>
        </w:rPr>
        <w:t>变压器故障气体多组分智能检测模块；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  <w:t>高精度道路路况感知传感器、水下环境探测传感器；高精度工业光学传感核心技术；毫米级精准重载智能钢丝绳电动葫芦、智能化焊接成套装备。</w:t>
      </w:r>
    </w:p>
    <w:p w14:paraId="023F8E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1" w:firstLineChars="200"/>
        <w:textAlignment w:val="auto"/>
        <w:rPr>
          <w:rFonts w:hint="default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  <w:t>课题2</w:t>
      </w:r>
      <w:r>
        <w:rPr>
          <w:rFonts w:hint="default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  <w:t>：航空航天及低空装备</w:t>
      </w:r>
    </w:p>
    <w:p w14:paraId="5B39F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color w:val="auto"/>
          <w:kern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kern w:val="0"/>
          <w:sz w:val="32"/>
          <w:szCs w:val="32"/>
          <w:highlight w:val="none"/>
        </w:rPr>
        <w:t>围绕郑州低空经济产业布局，支持轻量化长航时多用途无人机整机与核心零部件；低空承载-储能一体化结构电源</w:t>
      </w:r>
      <w:r>
        <w:rPr>
          <w:rFonts w:hint="eastAsia" w:ascii="仿宋_GB2312" w:hAnsi="仿宋_GB2312" w:eastAsia="仿宋_GB2312" w:cs="仿宋_GB2312"/>
          <w:b w:val="0"/>
          <w:bCs/>
          <w:color w:val="auto"/>
          <w:kern w:val="0"/>
          <w:sz w:val="32"/>
          <w:szCs w:val="32"/>
          <w:highlight w:val="none"/>
          <w:lang w:eastAsia="zh-CN"/>
        </w:rPr>
        <w:t>。</w:t>
      </w:r>
    </w:p>
    <w:p w14:paraId="073FCD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1" w:firstLineChars="200"/>
        <w:textAlignment w:val="auto"/>
        <w:rPr>
          <w:rFonts w:hint="default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  <w:t>课题3</w:t>
      </w:r>
      <w:r>
        <w:rPr>
          <w:rFonts w:hint="default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  <w:t>：机器人与智能制造</w:t>
      </w:r>
    </w:p>
    <w:p w14:paraId="20C08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  <w:t>围绕人形机器人、特种机器人、智能制造国产化需求，</w:t>
      </w:r>
      <w:r>
        <w:rPr>
          <w:rFonts w:hint="default" w:ascii="Times New Roman" w:hAnsi="Times New Roman" w:eastAsia="仿宋_GB2312" w:cs="Times New Roman"/>
          <w:bCs/>
          <w:color w:val="auto"/>
          <w:kern w:val="0"/>
          <w:sz w:val="32"/>
          <w:szCs w:val="32"/>
          <w:highlight w:val="none"/>
        </w:rPr>
        <w:t>支持水下受限空间隐患检测与运维处置机器人</w:t>
      </w:r>
      <w:r>
        <w:rPr>
          <w:rFonts w:hint="eastAsia" w:ascii="Times New Roman" w:hAnsi="Times New Roman" w:eastAsia="仿宋_GB2312" w:cs="Times New Roman"/>
          <w:bCs/>
          <w:color w:val="auto"/>
          <w:kern w:val="0"/>
          <w:sz w:val="32"/>
          <w:szCs w:val="32"/>
          <w:highlight w:val="none"/>
          <w:lang w:eastAsia="zh-CN"/>
        </w:rPr>
        <w:t>；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  <w:t>人形机器人RV减速器配套超精密加工CBN磨具；人机协同工作站；三电极等离子喷涂高端表面处理装备。</w:t>
      </w:r>
    </w:p>
    <w:p w14:paraId="5861EA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  <w:highlight w:val="none"/>
          <w:lang w:val="en-US" w:eastAsia="zh-CN"/>
        </w:rPr>
        <w:t>2.新材料领域</w:t>
      </w:r>
    </w:p>
    <w:p w14:paraId="622F47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1" w:firstLineChars="200"/>
        <w:textAlignment w:val="auto"/>
        <w:rPr>
          <w:rFonts w:hint="eastAsia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  <w:t>课题1：先进金属基材料</w:t>
      </w:r>
    </w:p>
    <w:p w14:paraId="697F4C4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default" w:ascii="Times New Roman" w:hAnsi="Times New Roman" w:eastAsia="仿宋_GB2312" w:cs="Times New Roman"/>
          <w:bCs/>
          <w:color w:val="auto"/>
          <w:kern w:val="0"/>
          <w:sz w:val="32"/>
          <w:szCs w:val="32"/>
          <w:highlight w:val="none"/>
        </w:rPr>
        <w:t>围绕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</w:rPr>
        <w:t>先进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lang w:eastAsia="zh-CN"/>
        </w:rPr>
        <w:t>金属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</w:rPr>
        <w:t>材料在重大工程、装备以及特殊或极端场景的应用，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  <w:t>支持70MPa以上高压储氢瓶耐氢脆铝合金、车用轻量化高强铝/镁合金；电解铝专用高强防渗金属复合内衬材料研发。</w:t>
      </w:r>
    </w:p>
    <w:p w14:paraId="3E1DFF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1" w:firstLineChars="200"/>
        <w:textAlignment w:val="auto"/>
        <w:rPr>
          <w:rFonts w:hint="default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  <w:t>课题2</w:t>
      </w:r>
      <w:r>
        <w:rPr>
          <w:rFonts w:hint="default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  <w:t>：先进无机非金属材料</w:t>
      </w:r>
    </w:p>
    <w:p w14:paraId="5194D561">
      <w:pPr>
        <w:pStyle w:val="2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eastAsia="zh-CN"/>
        </w:rPr>
      </w:pPr>
      <w:r>
        <w:rPr>
          <w:rFonts w:hint="default" w:ascii="Times New Roman" w:hAnsi="Times New Roman" w:eastAsia="仿宋_GB2312" w:cs="Times New Roman"/>
          <w:bCs/>
          <w:color w:val="auto"/>
          <w:kern w:val="0"/>
          <w:sz w:val="32"/>
          <w:szCs w:val="32"/>
          <w:highlight w:val="none"/>
        </w:rPr>
        <w:t>围绕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</w:rPr>
        <w:t>新型陶瓷材料、新型耐火材料、绿色建筑材料、高端超硬材料在重大工程、重点领域的应用，重点支持大型复杂构件的低成本CVD-TaC涂层关键技术攻关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lang w:eastAsia="zh-CN"/>
        </w:rPr>
        <w:t>；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</w:rPr>
        <w:t>工业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  <w:t>800℃以上长效节能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</w:rPr>
        <w:t>气凝胶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lang w:eastAsia="zh-CN"/>
        </w:rPr>
        <w:t>保温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</w:rPr>
        <w:t>材料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lang w:eastAsia="zh-CN"/>
        </w:rPr>
        <w:t>；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</w:rPr>
        <w:t>电解铝工业用长寿命防渗砖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lang w:eastAsia="zh-CN"/>
        </w:rPr>
        <w:t>；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  <w:t>工业富氧燃烧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</w:rPr>
        <w:t>疏水制氧分子筛关键技术研发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eastAsia="zh-CN"/>
        </w:rPr>
        <w:t>。</w:t>
      </w:r>
    </w:p>
    <w:p w14:paraId="173E07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  <w:highlight w:val="none"/>
          <w:lang w:val="en-US" w:eastAsia="zh-CN"/>
        </w:rPr>
        <w:t>3.能源交通领域</w:t>
      </w:r>
    </w:p>
    <w:p w14:paraId="2DA9FF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1" w:firstLineChars="200"/>
        <w:textAlignment w:val="auto"/>
        <w:rPr>
          <w:rFonts w:hint="eastAsia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</w:pPr>
      <w:bookmarkStart w:id="1" w:name="_Toc388728169"/>
      <w:r>
        <w:rPr>
          <w:rFonts w:hint="eastAsia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  <w:t>课题1：氢能与新型储能</w:t>
      </w:r>
      <w:bookmarkEnd w:id="1"/>
    </w:p>
    <w:p w14:paraId="6867CB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bookmarkStart w:id="2" w:name="_Toc1960620830"/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  <w:t>紧扣“中原氢都”、郑汴洛濮氢走廊建设，支持高压储氢铝合金成套技术；加氢站核心装备、多场景氢能综合利用；兆瓦级全钒液流电池系统集成、电解液量产、热流电协同管控；大规模储能安全智能调度、长时储能变流装备关键技术与并网示范工程。</w:t>
      </w:r>
    </w:p>
    <w:p w14:paraId="3CB6AC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1" w:firstLineChars="200"/>
        <w:textAlignment w:val="auto"/>
        <w:rPr>
          <w:rFonts w:hint="eastAsia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  <w:t>课题2：新型电池</w:t>
      </w:r>
      <w:bookmarkEnd w:id="2"/>
    </w:p>
    <w:p w14:paraId="29945D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eastAsia="zh-CN"/>
        </w:rPr>
        <w:t>围绕我市新型电池产业链，聚焦液流电池领域，重点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  <w:t>支持全钒液流电池关键主材；动力电池高效热管理、阻燃防护新材料；宽温域钠离子电池、储能智能BMS管理系统研发产业化。</w:t>
      </w:r>
    </w:p>
    <w:p w14:paraId="6670B6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/>
          <w:lang w:val="en-US" w:eastAsia="zh-CN"/>
        </w:rPr>
      </w:pPr>
    </w:p>
    <w:p w14:paraId="424275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/>
          <w:lang w:val="en-US" w:eastAsia="zh-CN"/>
        </w:rPr>
        <w:t>指南咨询：</w:t>
      </w:r>
      <w:r>
        <w:rPr>
          <w:rFonts w:hint="eastAsia" w:eastAsia="仿宋_GB2312" w:cs="Times New Roman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（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高新处67883885）</w:t>
      </w:r>
    </w:p>
    <w:p w14:paraId="74F9E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32"/>
          <w:highlight w:val="none"/>
          <w:shd w:val="clear" w:color="auto" w:fill="auto"/>
          <w:lang w:val="en-US" w:eastAsia="zh-CN"/>
        </w:rPr>
      </w:pPr>
    </w:p>
    <w:p w14:paraId="3A9CCC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1" w:firstLineChars="200"/>
        <w:jc w:val="left"/>
        <w:textAlignment w:val="auto"/>
        <w:rPr>
          <w:rFonts w:hint="default" w:ascii="华文楷体" w:hAnsi="华文楷体" w:eastAsia="华文楷体" w:cs="华文楷体"/>
          <w:b/>
          <w:bCs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color="auto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color="auto" w:fill="FFFFFF"/>
          <w:lang w:val="en-US" w:eastAsia="zh-CN" w:bidi="ar"/>
        </w:rPr>
        <w:t>（二）社发领域</w:t>
      </w:r>
    </w:p>
    <w:bookmarkEnd w:id="0"/>
    <w:p w14:paraId="52E7DA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color="auto" w:fill="FFFFFF"/>
          <w:lang w:val="en-US" w:eastAsia="zh-CN" w:bidi="ar"/>
        </w:rPr>
        <w:t>1.生物技术与医药领域</w:t>
      </w:r>
    </w:p>
    <w:p w14:paraId="653293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1" w:firstLineChars="200"/>
        <w:textAlignment w:val="auto"/>
        <w:rPr>
          <w:rFonts w:hint="default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  <w:t>课题</w:t>
      </w:r>
      <w:r>
        <w:rPr>
          <w:rFonts w:hint="default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  <w:t>1：中医药创新与中药新药研发</w:t>
      </w:r>
    </w:p>
    <w:p w14:paraId="5D5D5C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围绕中药新药研发、中医特色技术体系构建、药食同源健康产品开发等方向，开展中药复方制剂的临床前与临床研究、中医特色疗法规范化体系建设、中医药抗衰产品开发等关键技术攻关。</w:t>
      </w:r>
    </w:p>
    <w:p w14:paraId="35BFB5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1" w:firstLineChars="200"/>
        <w:textAlignment w:val="auto"/>
        <w:rPr>
          <w:rFonts w:hint="eastAsia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  <w:t>课题2：重大疾病临床防治与精准诊疗</w:t>
      </w:r>
    </w:p>
    <w:p w14:paraId="0D17E8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聚焦恶性肿瘤、心脑血管疾病、传染病、代谢性疾病等重大慢病的临床防治痛点，开展精准诊疗技术、疗效预测体系、免疫治疗技术等关键技术研究。覆盖肿瘤新辅助治疗精准预测、心脑血管疾病风险预警与诊疗、糖尿病肾脏病免疫微环境调控等方向。</w:t>
      </w:r>
    </w:p>
    <w:p w14:paraId="03112C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1" w:firstLineChars="200"/>
        <w:textAlignment w:val="auto"/>
        <w:rPr>
          <w:rFonts w:hint="default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  <w:t>课题</w:t>
      </w:r>
      <w:r>
        <w:rPr>
          <w:rFonts w:hint="default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  <w:t>3：智能医疗器械与创新装备研发</w:t>
      </w:r>
    </w:p>
    <w:p w14:paraId="7282A8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开展智能医疗器械、可穿戴设备、有源介入器械、体外诊断设备等核心产品研发。覆盖介入术后智能止血装备、儿童遗尿智能报警设备、睡眠呼吸暂停治疗装置、脊柱侧弯全周期诊疗系统、全自动细胞培养仪、AI辅助诊断软件等核心方向，突破智能传感、精准控制、AI算法、三维光学成像等关键技术，研发一批智能化、精准化、微创化的创新医疗器械。</w:t>
      </w:r>
    </w:p>
    <w:p w14:paraId="7BC62E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1" w:firstLineChars="200"/>
        <w:textAlignment w:val="auto"/>
        <w:rPr>
          <w:rFonts w:hint="default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  <w:t>课题</w:t>
      </w:r>
      <w:r>
        <w:rPr>
          <w:rFonts w:hint="default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  <w:t>4：生物技术与创新生物药研发</w:t>
      </w:r>
    </w:p>
    <w:p w14:paraId="6A70E9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围绕免疫细胞治疗、工程化益生菌、胞外囊泡检测、基因耐药检测等核心技术方向，开展创新生物药、活体药物、POCT检测技术、精准诊断试剂等产品研发。突破CRISPR免扩增检测、低丰度耐药突变富集、工程化益生菌构建等关键技术，研发一批具有自主知识产权的创新生物药与诊断产品。</w:t>
      </w:r>
    </w:p>
    <w:p w14:paraId="11E03C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1" w:firstLineChars="200"/>
        <w:textAlignment w:val="auto"/>
        <w:rPr>
          <w:rFonts w:hint="eastAsia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  <w:t>课题5：AI与多模态数据融合智能医疗</w:t>
      </w:r>
    </w:p>
    <w:p w14:paraId="275C34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围绕多模态医疗数据融合、AI辅助诊断、智能风险预警、等核心方向，开展医学影像AI分析、临床风险分层模型、中西医结合智能决策体系、多模态数据融合算法等关键技术研究。突破多模态医疗数据标准化、AI模型临床验证等关键技术，研发一批临床适用的AI辅助诊断产品与智能决策系统。</w:t>
      </w:r>
    </w:p>
    <w:p w14:paraId="566024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leftChars="0" w:right="0"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highlight w:val="none"/>
          <w:lang w:val="en-US" w:eastAsia="zh-CN"/>
        </w:rPr>
      </w:pPr>
    </w:p>
    <w:p w14:paraId="1074C7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highlight w:val="none"/>
          <w:lang w:val="en-US" w:eastAsia="zh-CN" w:bidi="ar"/>
        </w:rPr>
        <w:t>2.资源环境与社会事业领域</w:t>
      </w:r>
    </w:p>
    <w:p w14:paraId="14501563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leftChars="0" w:right="0" w:firstLine="643" w:firstLineChars="200"/>
        <w:textAlignment w:val="auto"/>
        <w:rPr>
          <w:rFonts w:hint="eastAsia" w:ascii="仿宋" w:hAnsi="仿宋" w:eastAsia="仿宋" w:cs="仿宋"/>
          <w:b/>
          <w:bCs/>
          <w:color w:val="auto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auto"/>
          <w:kern w:val="0"/>
          <w:sz w:val="32"/>
          <w:szCs w:val="32"/>
          <w:highlight w:val="none"/>
          <w:lang w:val="en-US" w:eastAsia="zh-CN" w:bidi="ar"/>
        </w:rPr>
        <w:t>课题1：绿色低碳与民生技术</w:t>
      </w:r>
    </w:p>
    <w:p w14:paraId="2050ED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聚焦绿色低碳发展、固废高值化利用与民生食品安全保障核心需求，围绕工业固废资源化、污水低碳处理、废气净化、碳排放管控、节能装备研发等方向，覆盖炼铝废渣催化制氢、市政污水深度脱氮减碳、VOCs废气生物耦合净化、食品安全，开发非贵金属催化剂、低碳脱氮菌剂、高效净化装备等新产品。</w:t>
      </w:r>
    </w:p>
    <w:p w14:paraId="7716BD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1" w:firstLineChars="200"/>
        <w:textAlignment w:val="auto"/>
        <w:rPr>
          <w:rFonts w:hint="eastAsia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 w:val="0"/>
          <w:color w:val="auto"/>
          <w:sz w:val="32"/>
          <w:szCs w:val="32"/>
          <w:highlight w:val="none"/>
          <w:lang w:val="en-US" w:eastAsia="zh-CN"/>
        </w:rPr>
        <w:t>课题2：城市安全与智能预警技术</w:t>
      </w:r>
    </w:p>
    <w:p w14:paraId="1B62F9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围绕城市安全风险防控、极端天气预警、基础设施韧性提升、高危行业人因安全防护等内容，在加密货币新型犯罪智能侦查、城市水利防洪工程遥感精细化重建、气象大模型网格化智能预警、脑机驱动人因安全实时预警装备等方面开展技术研究，开发智能侦查系统、数字孪生模型、气象大模型、低功耗可穿戴脑机预警装备等核心产品。</w:t>
      </w:r>
    </w:p>
    <w:p w14:paraId="333480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/>
        <w:jc w:val="left"/>
        <w:textAlignment w:val="auto"/>
        <w:rPr>
          <w:rFonts w:hint="eastAsia" w:ascii="Times New Roman" w:hAnsi="Times New Roman" w:eastAsia="仿宋_GB2312" w:cs="Times New Roman"/>
          <w:b/>
          <w:bCs w:val="0"/>
          <w:color w:val="auto"/>
          <w:sz w:val="32"/>
          <w:szCs w:val="32"/>
          <w:highlight w:val="none"/>
          <w:lang w:val="en-US" w:eastAsia="zh-CN"/>
        </w:rPr>
      </w:pPr>
    </w:p>
    <w:p w14:paraId="7F7F56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leftChars="0" w:right="0" w:firstLine="643" w:firstLineChars="200"/>
        <w:jc w:val="left"/>
        <w:textAlignment w:val="auto"/>
        <w:rPr>
          <w:rFonts w:hint="default" w:ascii="仿宋" w:hAnsi="仿宋" w:eastAsia="仿宋" w:cs="仿宋"/>
          <w:color w:val="auto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b/>
          <w:bCs w:val="0"/>
          <w:color w:val="auto"/>
          <w:sz w:val="32"/>
          <w:szCs w:val="32"/>
          <w:highlight w:val="none"/>
          <w:lang w:val="en-US" w:eastAsia="zh-CN"/>
        </w:rPr>
        <w:t>指南咨询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highlight w:val="none"/>
          <w:lang w:val="en-US" w:eastAsia="zh-CN"/>
        </w:rPr>
        <w:t>：</w:t>
      </w:r>
      <w:r>
        <w:rPr>
          <w:rFonts w:hint="eastAsia" w:eastAsia="仿宋_GB2312" w:cs="Times New Roman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（社发处：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highlight w:val="none"/>
          <w:lang w:val="en-US" w:eastAsia="zh-CN"/>
        </w:rPr>
        <w:t>67177022</w:t>
      </w:r>
      <w:r>
        <w:rPr>
          <w:rFonts w:hint="eastAsia" w:eastAsia="仿宋_GB2312" w:cs="Times New Roman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）</w:t>
      </w:r>
    </w:p>
    <w:p w14:paraId="7921728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0"/>
        <w:rPr>
          <w:rFonts w:hint="eastAsia" w:ascii="Times New Roman" w:hAnsi="Times New Roman" w:eastAsia="黑体" w:cs="Times New Roman"/>
          <w:color w:val="auto"/>
          <w:sz w:val="32"/>
          <w:szCs w:val="32"/>
          <w:highlight w:val="none"/>
          <w:lang w:val="en-US" w:eastAsia="zh-CN"/>
        </w:rPr>
      </w:pPr>
    </w:p>
    <w:p w14:paraId="68B01972">
      <w:pPr>
        <w:spacing w:line="600" w:lineRule="exact"/>
        <w:ind w:firstLine="640" w:firstLineChars="200"/>
        <w:rPr>
          <w:rFonts w:hint="default" w:ascii="华文楷体" w:hAnsi="华文楷体" w:eastAsia="华文楷体" w:cs="华文楷体"/>
          <w:b w:val="0"/>
          <w:bCs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/>
          <w:color w:val="auto"/>
          <w:sz w:val="32"/>
          <w:szCs w:val="32"/>
          <w:highlight w:val="none"/>
          <w:lang w:val="en-US" w:eastAsia="zh-CN"/>
        </w:rPr>
        <w:t>（三）农业</w:t>
      </w:r>
      <w:r>
        <w:rPr>
          <w:rFonts w:hint="default" w:ascii="华文楷体" w:hAnsi="华文楷体" w:eastAsia="华文楷体" w:cs="华文楷体"/>
          <w:b w:val="0"/>
          <w:bCs/>
          <w:color w:val="auto"/>
          <w:sz w:val="32"/>
          <w:szCs w:val="32"/>
          <w:highlight w:val="none"/>
          <w:lang w:val="en-US" w:eastAsia="zh-CN"/>
        </w:rPr>
        <w:t>领域</w:t>
      </w:r>
    </w:p>
    <w:p w14:paraId="3BE208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color="auto" w:fill="FFFFFF"/>
          <w:lang w:val="en-US" w:eastAsia="zh-CN" w:bidi="ar"/>
        </w:rPr>
        <w:t>1.现代农业领域</w:t>
      </w:r>
    </w:p>
    <w:p w14:paraId="1BEBC3C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3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课题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郑州适种农林作物新品种选育与配套种养技术体系构建</w:t>
      </w:r>
    </w:p>
    <w:p w14:paraId="77A31F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  <w:t>开展粮油、蔬果、人工食用菌、经济林果、乡土林木等农林作物种质创新研究；挖掘抗病、优质、抗逆核心种质，解析关键性状调控机理；集成分子标记、基因编辑、异地加代等高效育种技术，定向创制适配郑州本地气候、土壤条件的优质农林新品系；配套研发水肥智能管控、绿色病虫害防控、宜机化树形管理、林下复合种养配套技术，形成分品类标准化种养规程并开展示范推广。</w:t>
      </w:r>
    </w:p>
    <w:p w14:paraId="5FC9B117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3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课题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畜禽良种繁育与多品类新型生物疫苗开发</w:t>
      </w:r>
    </w:p>
    <w:p w14:paraId="17778F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  <w:t>开展畜禽种质资源挖掘及良种选育、新型生物疫苗两大方向技术研究。运用分子标记、基因分型技术解析肉质、繁殖、抗病等关键性状遗传调控机理，定向筛选、培育高产优质、适应性广的畜禽新品系；针对畜禽各类高发疫病研发多联多价自复制RNA疫苗，搭建标准化免疫综合评价体系，制定配套免疫应用技术规程，在规模化养殖场示范落地，减少养殖疫病损失、降低整体防疫成本。</w:t>
      </w:r>
    </w:p>
    <w:p w14:paraId="06CB2092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3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课题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3.智慧农业、智能农机与种养绿色低碳成套装备研发应用</w:t>
      </w:r>
    </w:p>
    <w:p w14:paraId="25D4AC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  <w:t>围绕大田、设施大棚、植物工厂、林下种养等农林畜禽各类生产场景，开展智能作业装备、数字管控系统、节能低碳成套设备一体化技术攻关。研制果蔬柔性无损智能授粉机具、作物长势监测设备等智能农机，配套开发田间水肥一体化系统，集成机器视觉识别、手眼协调运动控制算法，实现农事作业精准自动化管控；搭建种养一体化农业大数据监测调度平台，研发光—电—储多能耦合微电网、光伏直驱冷暖节能成套设备，建立多能源协同调控体系；整合设施节能减碳、农田固碳、农林废弃物资源化循环利用配套技术，形成标准化落地应用方案并开展示范。</w:t>
      </w:r>
    </w:p>
    <w:p w14:paraId="1652ACA5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3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课题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4.区域耕地绿色提质与农田生态改良技术研发</w:t>
      </w:r>
    </w:p>
    <w:p w14:paraId="3185C6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  <w:t>开展酸化退化耕地生态修复与耕地地力提升技术攻关，研发融合生物菌剂、有机基质的绿色长效复合土壤调理产品，构建控源降酸、盐基补充、土壤微生物群落重构一体化改良技术模式；整合各类农田绿色治理技术，分区域编制差异化耕地治理标准化规程，优化土壤理化性状、修复土壤微生态环境，提升耕地保水保肥能力，持续提高农田综合产能与生态承载力。</w:t>
      </w:r>
    </w:p>
    <w:p w14:paraId="26EE74B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rightChars="0" w:firstLine="643" w:firstLineChars="200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auto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32"/>
          <w:szCs w:val="32"/>
          <w:highlight w:val="none"/>
          <w:lang w:val="en-US" w:eastAsia="zh-CN" w:bidi="ar"/>
        </w:rPr>
        <w:t>课题5.大宗粮油绿色智能仓储与产后减损技术研发</w:t>
      </w:r>
    </w:p>
    <w:p w14:paraId="0E73B3C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Chars="0" w:right="0" w:rightChars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  <w:t>开展智慧粮库成套设备、绿色低损储粮技术攻关。研制多参数粮情在线监测传感器、智能通风、低温密闭储粮一体化装备；开发低氧、惰性气体物理防虫抑霉技术，替代传统化学熏蒸；建立的绿色储粮操作规程，配套研发粮食新陈快速检测、品质分级技术，形成示范粮仓，显著降低储藏环节粮食损耗，筑牢区域粮食安全保障体系。</w:t>
      </w:r>
    </w:p>
    <w:p w14:paraId="3B4966E6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3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课题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.农产品精深加工与现代食品高值化利用技术研发</w:t>
      </w:r>
    </w:p>
    <w:p w14:paraId="45B7819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  <w:t>开展速冻食品提质增效及农林副产物高值化加工技术研究，筛选专用发酵微生物菌株，研发谷物蛋白改性与功能营养载体制备工艺，攻克精准控冰、智能化速冻、多物理场绿色保鲜、全程冷链品质稳态调控核心关键技术；研发清洁标签、营养强化型新型速冻食品，建立秸秆、果皮、加工糟渣等农林副产物食品化、功能化循环利用技术体系，形成成套标准化加工技术规范并示范应用，延伸农业产业链，提升农产品综合附加值。</w:t>
      </w:r>
    </w:p>
    <w:p w14:paraId="52EA2A6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/>
          <w:lang w:val="en-US" w:eastAsia="zh-CN"/>
        </w:rPr>
        <w:t>指南咨询：</w:t>
      </w:r>
      <w:r>
        <w:rPr>
          <w:rFonts w:hint="eastAsia" w:eastAsia="仿宋_GB2312" w:cs="Times New Roman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（农村科技处：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67180457</w:t>
      </w:r>
      <w:r>
        <w:rPr>
          <w:rFonts w:hint="eastAsia" w:eastAsia="仿宋_GB2312" w:cs="Times New Roman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）</w:t>
      </w:r>
    </w:p>
    <w:p w14:paraId="0AD65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华文宋体" w:hAnsi="华文宋体" w:eastAsia="华文宋体" w:cs="华文宋体"/>
          <w:b/>
          <w:bCs/>
          <w:color w:val="auto"/>
          <w:sz w:val="44"/>
          <w:szCs w:val="44"/>
          <w:highlight w:val="none"/>
        </w:rPr>
      </w:pPr>
    </w:p>
    <w:p w14:paraId="4B332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华文仿宋" w:hAnsi="华文仿宋" w:eastAsia="华文仿宋" w:cs="华文仿宋"/>
          <w:color w:val="auto"/>
          <w:sz w:val="32"/>
          <w:szCs w:val="32"/>
          <w:highlight w:val="none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7A"/>
    <w:family w:val="swiss"/>
    <w:pitch w:val="default"/>
    <w:sig w:usb0="00000000" w:usb1="00000000" w:usb2="00000008" w:usb3="00000000" w:csb0="400001FF" w:csb1="FFFF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国标宋体-超大字符集扩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国标宋体-超大字符集扩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altName w:val="方正楷体_GBK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altName w:val="Noto Sans CJK HK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Noto Sans CJK HK">
    <w:panose1 w:val="020B0500000000000000"/>
    <w:charset w:val="88"/>
    <w:family w:val="auto"/>
    <w:pitch w:val="default"/>
    <w:sig w:usb0="30000083" w:usb1="2BDF3C10" w:usb2="00000016" w:usb3="00000000" w:csb0="603A0107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国标宋体-超大字符集扩">
    <w:panose1 w:val="000005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7DAD07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0FADD3">
                          <w:pPr>
                            <w:pStyle w:val="10"/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F0FADD3">
                    <w:pPr>
                      <w:pStyle w:val="10"/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FD0B46"/>
    <w:multiLevelType w:val="singleLevel"/>
    <w:tmpl w:val="FAFD0B46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DDBBCA"/>
    <w:rsid w:val="076551EA"/>
    <w:rsid w:val="0BBF4DB3"/>
    <w:rsid w:val="0EBFDB23"/>
    <w:rsid w:val="0EFDFF6F"/>
    <w:rsid w:val="0F9C36B7"/>
    <w:rsid w:val="179DAFFF"/>
    <w:rsid w:val="271F6440"/>
    <w:rsid w:val="27FFC9FB"/>
    <w:rsid w:val="2B5FB6A1"/>
    <w:rsid w:val="2BF7AF80"/>
    <w:rsid w:val="37B7A8F2"/>
    <w:rsid w:val="37FDCF00"/>
    <w:rsid w:val="38CAEFDF"/>
    <w:rsid w:val="3DEF2797"/>
    <w:rsid w:val="3FC7DE53"/>
    <w:rsid w:val="4BE5B256"/>
    <w:rsid w:val="4FE4A0E8"/>
    <w:rsid w:val="54DED56F"/>
    <w:rsid w:val="5761A4FB"/>
    <w:rsid w:val="57BF8C1F"/>
    <w:rsid w:val="57FEA89A"/>
    <w:rsid w:val="5A9F6750"/>
    <w:rsid w:val="5BFB9368"/>
    <w:rsid w:val="5CFCCE10"/>
    <w:rsid w:val="5EDA7728"/>
    <w:rsid w:val="5EFE707C"/>
    <w:rsid w:val="5F1551A0"/>
    <w:rsid w:val="5FB7F5EF"/>
    <w:rsid w:val="5FBE77DC"/>
    <w:rsid w:val="5FCAAC1C"/>
    <w:rsid w:val="5FFFBFCC"/>
    <w:rsid w:val="61CD0F6B"/>
    <w:rsid w:val="63FC960F"/>
    <w:rsid w:val="67AFE20E"/>
    <w:rsid w:val="67DA863E"/>
    <w:rsid w:val="69FA0F7B"/>
    <w:rsid w:val="6B727C01"/>
    <w:rsid w:val="6DBF7091"/>
    <w:rsid w:val="6E8E8702"/>
    <w:rsid w:val="6F9EA0B4"/>
    <w:rsid w:val="6FFB9DA6"/>
    <w:rsid w:val="7049B80C"/>
    <w:rsid w:val="72EAA856"/>
    <w:rsid w:val="73DE1FBE"/>
    <w:rsid w:val="73F7929D"/>
    <w:rsid w:val="7AEAA4AF"/>
    <w:rsid w:val="7AF9FBAE"/>
    <w:rsid w:val="7BDF511C"/>
    <w:rsid w:val="7BFBB078"/>
    <w:rsid w:val="7BFF4CA0"/>
    <w:rsid w:val="7DF973A9"/>
    <w:rsid w:val="7DFCC4F7"/>
    <w:rsid w:val="7DFE6CED"/>
    <w:rsid w:val="7EDFEA51"/>
    <w:rsid w:val="7EF3D6A0"/>
    <w:rsid w:val="7F1D5219"/>
    <w:rsid w:val="7F509455"/>
    <w:rsid w:val="7F6CFCE4"/>
    <w:rsid w:val="7F6FFC89"/>
    <w:rsid w:val="7F7FF9FB"/>
    <w:rsid w:val="7F9BB02E"/>
    <w:rsid w:val="7FAF132E"/>
    <w:rsid w:val="7FCDD143"/>
    <w:rsid w:val="7FF3267D"/>
    <w:rsid w:val="7FF3AE9C"/>
    <w:rsid w:val="7FF7408F"/>
    <w:rsid w:val="7FF76F2B"/>
    <w:rsid w:val="7FFD09D7"/>
    <w:rsid w:val="7FFF9E0E"/>
    <w:rsid w:val="89F72DDE"/>
    <w:rsid w:val="8FBE396E"/>
    <w:rsid w:val="90BF25D7"/>
    <w:rsid w:val="99F6ECE8"/>
    <w:rsid w:val="9D7BC050"/>
    <w:rsid w:val="9DDB57E6"/>
    <w:rsid w:val="AC7610B4"/>
    <w:rsid w:val="AE2F6270"/>
    <w:rsid w:val="AEFB6D6D"/>
    <w:rsid w:val="B2E65790"/>
    <w:rsid w:val="B7BB95CA"/>
    <w:rsid w:val="B7FAF1E8"/>
    <w:rsid w:val="BAFD1ABF"/>
    <w:rsid w:val="BB5B81D0"/>
    <w:rsid w:val="BBFDA386"/>
    <w:rsid w:val="BDFDC57E"/>
    <w:rsid w:val="BEFFE44F"/>
    <w:rsid w:val="BF3F7E48"/>
    <w:rsid w:val="BFBF8804"/>
    <w:rsid w:val="BFBFAC63"/>
    <w:rsid w:val="BFEDD7BC"/>
    <w:rsid w:val="BFFFC3A3"/>
    <w:rsid w:val="CDEF99B4"/>
    <w:rsid w:val="D3FFC061"/>
    <w:rsid w:val="D4FF9038"/>
    <w:rsid w:val="DA2D317C"/>
    <w:rsid w:val="DB77B09B"/>
    <w:rsid w:val="DBADF9EF"/>
    <w:rsid w:val="DBFD541E"/>
    <w:rsid w:val="DCF77EA0"/>
    <w:rsid w:val="DE756C16"/>
    <w:rsid w:val="DEB67101"/>
    <w:rsid w:val="DED32177"/>
    <w:rsid w:val="DFF10D9F"/>
    <w:rsid w:val="E1FBF626"/>
    <w:rsid w:val="E36FBCDA"/>
    <w:rsid w:val="E8DECE0F"/>
    <w:rsid w:val="E9F7F1DE"/>
    <w:rsid w:val="EA7ECC9A"/>
    <w:rsid w:val="EB7FE8E1"/>
    <w:rsid w:val="ECFEF5AE"/>
    <w:rsid w:val="EDEF5A33"/>
    <w:rsid w:val="EE7D1152"/>
    <w:rsid w:val="EE7F7295"/>
    <w:rsid w:val="EED788C3"/>
    <w:rsid w:val="EEFB371D"/>
    <w:rsid w:val="EFFB58F1"/>
    <w:rsid w:val="EFFEF49B"/>
    <w:rsid w:val="F1E79674"/>
    <w:rsid w:val="F3BE925F"/>
    <w:rsid w:val="F3D7E7CB"/>
    <w:rsid w:val="F6EE5264"/>
    <w:rsid w:val="F6FCB9D6"/>
    <w:rsid w:val="F6FFD9C8"/>
    <w:rsid w:val="F77610A2"/>
    <w:rsid w:val="F7B781E5"/>
    <w:rsid w:val="F7BF6885"/>
    <w:rsid w:val="F7D74B75"/>
    <w:rsid w:val="F7FF2115"/>
    <w:rsid w:val="FBAFAB3E"/>
    <w:rsid w:val="FBFA6840"/>
    <w:rsid w:val="FBFE211E"/>
    <w:rsid w:val="FC77F43D"/>
    <w:rsid w:val="FCDD3374"/>
    <w:rsid w:val="FD75C575"/>
    <w:rsid w:val="FD7D5627"/>
    <w:rsid w:val="FDFA7E37"/>
    <w:rsid w:val="FE9C4668"/>
    <w:rsid w:val="FEEF856C"/>
    <w:rsid w:val="FF6FA448"/>
    <w:rsid w:val="FF772A83"/>
    <w:rsid w:val="FF7F5F42"/>
    <w:rsid w:val="FF7F7EAE"/>
    <w:rsid w:val="FFB6EF6D"/>
    <w:rsid w:val="FFBD874A"/>
    <w:rsid w:val="FFBF486F"/>
    <w:rsid w:val="FFCFCE82"/>
    <w:rsid w:val="FFD72256"/>
    <w:rsid w:val="FFDBFC76"/>
    <w:rsid w:val="FFDDBBCA"/>
    <w:rsid w:val="FFEF331C"/>
    <w:rsid w:val="FFEF97A0"/>
    <w:rsid w:val="FFFF21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5">
    <w:name w:val="heading 1"/>
    <w:basedOn w:val="1"/>
    <w:next w:val="1"/>
    <w:qFormat/>
    <w:uiPriority w:val="0"/>
    <w:pPr>
      <w:widowControl w:val="0"/>
      <w:spacing w:beforeAutospacing="0" w:afterAutospacing="0" w:line="560" w:lineRule="exact"/>
      <w:jc w:val="center"/>
      <w:outlineLvl w:val="0"/>
    </w:pPr>
    <w:rPr>
      <w:rFonts w:hint="eastAsia" w:ascii="方正小标宋简体" w:hAnsi="方正小标宋简体" w:eastAsia="方正小标宋简体" w:cs="方正小标宋简体"/>
      <w:sz w:val="44"/>
      <w:szCs w:val="44"/>
      <w:lang w:bidi="ar"/>
    </w:rPr>
  </w:style>
  <w:style w:type="paragraph" w:styleId="6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7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8">
    <w:name w:val="heading 4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6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99"/>
    <w:pPr>
      <w:widowControl w:val="0"/>
      <w:spacing w:after="12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3">
    <w:name w:val="style4"/>
    <w:basedOn w:val="1"/>
    <w:next w:val="4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4">
    <w:name w:val="2"/>
    <w:basedOn w:val="1"/>
    <w:next w:val="1"/>
    <w:qFormat/>
    <w:uiPriority w:val="0"/>
    <w:pPr>
      <w:adjustRightInd w:val="0"/>
      <w:spacing w:line="420" w:lineRule="atLeast"/>
      <w:ind w:left="1134" w:hanging="227"/>
      <w:textAlignment w:val="baseline"/>
    </w:pPr>
    <w:rPr>
      <w:kern w:val="0"/>
      <w:szCs w:val="20"/>
    </w:rPr>
  </w:style>
  <w:style w:type="paragraph" w:styleId="9">
    <w:name w:val="annotation text"/>
    <w:basedOn w:val="1"/>
    <w:qFormat/>
    <w:uiPriority w:val="0"/>
    <w:pPr>
      <w:jc w:val="left"/>
    </w:p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2">
    <w:name w:val="Body Text 2"/>
    <w:basedOn w:val="1"/>
    <w:qFormat/>
    <w:uiPriority w:val="0"/>
    <w:pPr>
      <w:widowControl w:val="0"/>
      <w:adjustRightInd w:val="0"/>
      <w:spacing w:line="360" w:lineRule="auto"/>
      <w:jc w:val="both"/>
      <w:textAlignment w:val="baseline"/>
    </w:pPr>
    <w:rPr>
      <w:rFonts w:ascii="楷体_GB2312" w:hAnsi="Calibri" w:eastAsia="楷体_GB2312" w:cs="Times New Roman"/>
      <w:kern w:val="44"/>
      <w:sz w:val="28"/>
      <w:szCs w:val="20"/>
      <w:lang w:val="en-US" w:eastAsia="zh-CN" w:bidi="ar-SA"/>
    </w:rPr>
  </w:style>
  <w:style w:type="paragraph" w:styleId="13">
    <w:name w:val="Body Text First Indent"/>
    <w:basedOn w:val="2"/>
    <w:next w:val="1"/>
    <w:qFormat/>
    <w:uiPriority w:val="0"/>
    <w:pPr>
      <w:ind w:firstLine="420" w:firstLineChars="100"/>
    </w:p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Hyperlink"/>
    <w:basedOn w:val="16"/>
    <w:qFormat/>
    <w:uiPriority w:val="0"/>
    <w:rPr>
      <w:color w:val="0000FF"/>
      <w:u w:val="single"/>
    </w:rPr>
  </w:style>
  <w:style w:type="character" w:customStyle="1" w:styleId="19">
    <w:name w:val="font141"/>
    <w:basedOn w:val="16"/>
    <w:qFormat/>
    <w:uiPriority w:val="0"/>
    <w:rPr>
      <w:rFonts w:ascii="Nimbus Roman No9 L" w:hAnsi="Nimbus Roman No9 L" w:eastAsia="Nimbus Roman No9 L" w:cs="Nimbus Roman No9 L"/>
      <w:color w:val="000000"/>
      <w:sz w:val="48"/>
      <w:szCs w:val="48"/>
      <w:u w:val="none"/>
    </w:rPr>
  </w:style>
  <w:style w:type="character" w:customStyle="1" w:styleId="20">
    <w:name w:val="font151"/>
    <w:basedOn w:val="16"/>
    <w:qFormat/>
    <w:uiPriority w:val="0"/>
    <w:rPr>
      <w:rFonts w:hint="eastAsia" w:ascii="方正小标宋_GBK" w:hAnsi="方正小标宋_GBK" w:eastAsia="方正小标宋_GBK" w:cs="方正小标宋_GBK"/>
      <w:color w:val="000000"/>
      <w:sz w:val="48"/>
      <w:szCs w:val="48"/>
      <w:u w:val="none"/>
    </w:rPr>
  </w:style>
  <w:style w:type="character" w:customStyle="1" w:styleId="21">
    <w:name w:val="font112"/>
    <w:basedOn w:val="16"/>
    <w:qFormat/>
    <w:uiPriority w:val="0"/>
    <w:rPr>
      <w:rFonts w:ascii="Calibri" w:hAnsi="Calibri" w:cs="Calibri"/>
      <w:color w:val="000000"/>
      <w:sz w:val="24"/>
      <w:szCs w:val="24"/>
      <w:u w:val="none"/>
    </w:rPr>
  </w:style>
  <w:style w:type="character" w:customStyle="1" w:styleId="22">
    <w:name w:val="font61"/>
    <w:basedOn w:val="16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23">
    <w:name w:val="font161"/>
    <w:basedOn w:val="16"/>
    <w:qFormat/>
    <w:uiPriority w:val="0"/>
    <w:rPr>
      <w:rFonts w:ascii="方正书宋_GBK" w:hAnsi="方正书宋_GBK" w:eastAsia="方正书宋_GBK" w:cs="方正书宋_GBK"/>
      <w:color w:val="000000"/>
      <w:sz w:val="24"/>
      <w:szCs w:val="24"/>
      <w:u w:val="none"/>
    </w:rPr>
  </w:style>
  <w:style w:type="paragraph" w:customStyle="1" w:styleId="24">
    <w:name w:val="正文缩进1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usershare/&#24037;&#20316;&#25991;&#26723;/&#24037;&#20316;&#25991;&#26723;/2026&#24180;&#24037;&#20316;&#25991;&#26723;/&#31649;&#29702;&#21150;&#27861;&#20462;&#35746;&#65288;&#26446;&#65289;/&#37073;&#24030;&#24066;&#31185;&#25216;&#35745;&#21010;&#8220;&#25581;&#27036;&#25346;&#24069;&#8221;&#21019;&#26032;&#39033;&#30446;&#31649;&#29702;&#21150;&#27861;/&#25581;&#27036;&#25346;&#24069;&#39033;&#30446;&#30003;&#25253;&#24037;&#20316;/&#20851;&#20110;&#32452;&#32455;&#30003;&#25253;%202027&#24180;&#24230;&#37073;&#24030;&#24066;&#31185;&#25216;&#35745;&#21010;&#8220;&#25581;&#27036;&#25346;&#24069;&#8221;&#37325;&#22823;&#25915;&#20851;&#39033;&#30446;&#30340;&#36890;&#30693;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关于组织申报 2027年度郑州市科技计划“揭榜挂帅”重大攻关项目的通知.dotx</Template>
  <Pages>11</Pages>
  <Words>25648</Words>
  <Characters>27837</Characters>
  <Lines>1</Lines>
  <Paragraphs>1</Paragraphs>
  <TotalTime>216</TotalTime>
  <ScaleCrop>false</ScaleCrop>
  <LinksUpToDate>false</LinksUpToDate>
  <CharactersWithSpaces>28155</CharactersWithSpaces>
  <Application>WPS Office_12.1.2.24730_F1E327BC-269C-435d-A152-05C5408002CA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2026-07-21T01:49:00Z</dcterms:created>
  <dc:creator>lixian</dc:creator>
  <cp:lastModifiedBy>aa</cp:lastModifiedBy>
  <cp:lastPrinted>2026-09-13T03:06:00Z</cp:lastPrinted>
  <dcterms:modified xsi:type="dcterms:W3CDTF">2026-09-14T15:55:15Z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2052-12.1.2.24730</vt:lpwstr>
  </property>
  <property fmtid="{D5CDD505-2E9C-101B-9397-08002B2CF9AE}" pid="3" name="ICV">
    <vt:lpwstr>1D6D58851A1B90C163A8A76A157504E3_43</vt:lpwstr>
  </property>
</Properties>
</file>