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D80C0">
      <w:pPr>
        <w:jc w:val="center"/>
      </w:pPr>
      <w:r>
        <w:rPr>
          <w:rFonts w:ascii="微软雅黑" w:hAnsi="微软雅黑" w:eastAsia="微软雅黑"/>
          <w:b/>
          <w:color w:val="2E75B6"/>
          <w:sz w:val="56"/>
        </w:rPr>
        <w:br w:type="textWrapping"/>
      </w:r>
      <w:r>
        <w:rPr>
          <w:rFonts w:ascii="微软雅黑" w:hAnsi="微软雅黑" w:eastAsia="微软雅黑"/>
          <w:b/>
          <w:color w:val="2E75B6"/>
          <w:sz w:val="56"/>
        </w:rPr>
        <w:br w:type="textWrapping"/>
      </w:r>
      <w:r>
        <w:rPr>
          <w:rFonts w:ascii="微软雅黑" w:hAnsi="微软雅黑" w:eastAsia="微软雅黑"/>
          <w:b/>
          <w:color w:val="2E75B6"/>
          <w:sz w:val="56"/>
        </w:rPr>
        <w:br w:type="textWrapping"/>
      </w:r>
      <w:r>
        <w:rPr>
          <w:rFonts w:ascii="微软雅黑" w:hAnsi="微软雅黑" w:eastAsia="微软雅黑"/>
          <w:b/>
          <w:color w:val="2E75B6"/>
          <w:sz w:val="56"/>
        </w:rPr>
        <w:br w:type="textWrapping"/>
      </w:r>
      <w:r>
        <w:rPr>
          <w:rFonts w:ascii="微软雅黑" w:hAnsi="微软雅黑" w:eastAsia="微软雅黑"/>
          <w:b/>
          <w:color w:val="2E75B6"/>
          <w:sz w:val="56"/>
        </w:rPr>
        <w:t>智能话术配置操作手册</w:t>
      </w:r>
    </w:p>
    <w:p w14:paraId="3823ED6E">
      <w:pPr>
        <w:jc w:val="center"/>
      </w:pPr>
      <w:r>
        <w:rPr>
          <w:rFonts w:ascii="微软雅黑" w:hAnsi="微软雅黑" w:eastAsia="微软雅黑"/>
          <w:color w:val="808080"/>
          <w:sz w:val="28"/>
        </w:rPr>
        <w:br w:type="textWrapping"/>
      </w:r>
      <w:r>
        <w:rPr>
          <w:rFonts w:ascii="微软雅黑" w:hAnsi="微软雅黑" w:eastAsia="微软雅黑"/>
          <w:color w:val="808080"/>
          <w:sz w:val="28"/>
        </w:rPr>
        <w:t>—— 分中心培训参考指南 ——</w:t>
      </w:r>
    </w:p>
    <w:p w14:paraId="5FF997B0">
      <w:pPr>
        <w:jc w:val="center"/>
      </w:pPr>
      <w:r>
        <w:rPr>
          <w:rFonts w:ascii="微软雅黑" w:hAnsi="微软雅黑" w:eastAsia="微软雅黑"/>
          <w:color w:val="666666"/>
          <w:sz w:val="22"/>
        </w:rPr>
        <w:t>版本：</w:t>
      </w:r>
      <w:r>
        <w:rPr>
          <w:rFonts w:ascii="微软雅黑" w:hAnsi="微软雅黑" w:eastAsia="微软雅黑"/>
          <w:color w:val="666666"/>
          <w:sz w:val="22"/>
          <w:highlight w:val="yellow"/>
        </w:rPr>
        <w:t>V2.1（优化版）</w:t>
      </w:r>
      <w:r>
        <w:rPr>
          <w:rFonts w:ascii="微软雅黑" w:hAnsi="微软雅黑" w:eastAsia="微软雅黑"/>
          <w:color w:val="666666"/>
          <w:sz w:val="22"/>
        </w:rPr>
        <w:br w:type="textWrapping"/>
      </w:r>
      <w:r>
        <w:rPr>
          <w:rFonts w:ascii="微软雅黑" w:hAnsi="微软雅黑" w:eastAsia="微软雅黑"/>
          <w:color w:val="666666"/>
          <w:sz w:val="22"/>
        </w:rPr>
        <w:t>适用对象：全国31个分中心</w:t>
      </w:r>
      <w:r>
        <w:rPr>
          <w:rFonts w:ascii="微软雅黑" w:hAnsi="微软雅黑" w:eastAsia="微软雅黑"/>
          <w:color w:val="666666"/>
          <w:sz w:val="22"/>
        </w:rPr>
        <w:br w:type="textWrapping"/>
      </w:r>
      <w:r>
        <w:rPr>
          <w:rFonts w:ascii="微软雅黑" w:hAnsi="微软雅黑" w:eastAsia="微软雅黑"/>
          <w:color w:val="666666"/>
          <w:sz w:val="22"/>
        </w:rPr>
        <w:t>更新日期：</w:t>
      </w:r>
      <w:r>
        <w:rPr>
          <w:rFonts w:ascii="微软雅黑" w:hAnsi="微软雅黑" w:eastAsia="微软雅黑"/>
          <w:color w:val="666666"/>
          <w:sz w:val="22"/>
          <w:highlight w:val="yellow"/>
        </w:rPr>
        <w:t>2026年7月</w:t>
      </w:r>
    </w:p>
    <w:p w14:paraId="52316390">
      <w:r>
        <w:br w:type="page"/>
      </w:r>
    </w:p>
    <w:p w14:paraId="036FA56F">
      <w:pPr>
        <w:pStyle w:val="3"/>
        <w:spacing w:after="120"/>
        <w:jc w:val="center"/>
      </w:pPr>
      <w:r>
        <w:rPr>
          <w:rFonts w:ascii="微软雅黑" w:hAnsi="微软雅黑" w:eastAsia="微软雅黑"/>
        </w:rPr>
        <w:t>目  录</w:t>
      </w:r>
    </w:p>
    <w:p w14:paraId="102B1538">
      <w:pPr>
        <w:jc w:val="center"/>
      </w:pPr>
      <w:r>
        <w:rPr>
          <w:rFonts w:ascii="微软雅黑" w:hAnsi="微软雅黑" w:eastAsia="微软雅黑"/>
          <w:i/>
          <w:color w:val="999999"/>
          <w:sz w:val="18"/>
        </w:rPr>
        <w:t>（请在Word中右键此区域 → 更新域 → 更新整个目录以自动生成目录）</w:t>
      </w:r>
    </w:p>
    <w:p w14:paraId="1EBB362C">
      <w:r>
        <w:rPr>
          <w:rFonts w:ascii="微软雅黑" w:hAnsi="微软雅黑" w:eastAsia="微软雅黑"/>
          <w:sz w:val="20"/>
        </w:rPr>
        <w:t>一、概述 .......................................... 3</w:t>
      </w:r>
    </w:p>
    <w:p w14:paraId="4F0C58BE">
      <w:r>
        <w:rPr>
          <w:rFonts w:ascii="微软雅黑" w:hAnsi="微软雅黑" w:eastAsia="微软雅黑"/>
          <w:sz w:val="20"/>
        </w:rPr>
        <w:t xml:space="preserve">    1.1 背景与目标 ................................... 3</w:t>
      </w:r>
    </w:p>
    <w:p w14:paraId="5B772AAE">
      <w:r>
        <w:rPr>
          <w:rFonts w:ascii="微软雅黑" w:hAnsi="微软雅黑" w:eastAsia="微软雅黑"/>
          <w:sz w:val="20"/>
        </w:rPr>
        <w:t xml:space="preserve">    1.2 适用范围与目标读者 ............................ 3</w:t>
      </w:r>
    </w:p>
    <w:p w14:paraId="77914541">
      <w:r>
        <w:rPr>
          <w:rFonts w:ascii="微软雅黑" w:hAnsi="微软雅黑" w:eastAsia="微软雅黑"/>
          <w:sz w:val="20"/>
        </w:rPr>
        <w:t>二、核心概念与术语 ..................................... 4</w:t>
      </w:r>
    </w:p>
    <w:p w14:paraId="29780744">
      <w:r>
        <w:rPr>
          <w:rFonts w:ascii="微软雅黑" w:hAnsi="微软雅黑" w:eastAsia="微软雅黑"/>
          <w:sz w:val="20"/>
        </w:rPr>
        <w:t xml:space="preserve">    2.1 关键字段说明表 ............................... 4</w:t>
      </w:r>
    </w:p>
    <w:p w14:paraId="720ADC0F">
      <w:r>
        <w:rPr>
          <w:rFonts w:ascii="微软雅黑" w:hAnsi="微软雅黑" w:eastAsia="微软雅黑"/>
          <w:sz w:val="20"/>
        </w:rPr>
        <w:t xml:space="preserve">    2.2 匹配原理 ..................................... 5</w:t>
      </w:r>
    </w:p>
    <w:p w14:paraId="7C19C3FB">
      <w:r>
        <w:rPr>
          <w:rFonts w:ascii="微软雅黑" w:hAnsi="微软雅黑" w:eastAsia="微软雅黑"/>
          <w:sz w:val="20"/>
        </w:rPr>
        <w:t>三、配置前准备 ......................................... 6</w:t>
      </w:r>
    </w:p>
    <w:p w14:paraId="3E805379">
      <w:r>
        <w:rPr>
          <w:rFonts w:ascii="微软雅黑" w:hAnsi="微软雅黑" w:eastAsia="微软雅黑"/>
          <w:sz w:val="20"/>
        </w:rPr>
        <w:t xml:space="preserve">    3.1 需要整理的材料清单 ............................ 6</w:t>
      </w:r>
    </w:p>
    <w:p w14:paraId="26A85C14">
      <w:r>
        <w:rPr>
          <w:rFonts w:ascii="微软雅黑" w:hAnsi="微软雅黑" w:eastAsia="微软雅黑"/>
          <w:sz w:val="20"/>
        </w:rPr>
        <w:t xml:space="preserve">    3.2 权限与环境检查 ............................... 7</w:t>
      </w:r>
    </w:p>
    <w:p w14:paraId="25338562">
      <w:r>
        <w:rPr>
          <w:rFonts w:ascii="微软雅黑" w:hAnsi="微软雅黑" w:eastAsia="微软雅黑"/>
          <w:sz w:val="20"/>
        </w:rPr>
        <w:t>四、操作步骤详解 ....................................... 8</w:t>
      </w:r>
    </w:p>
    <w:p w14:paraId="01247785">
      <w:r>
        <w:rPr>
          <w:rFonts w:ascii="微软雅黑" w:hAnsi="微软雅黑" w:eastAsia="微软雅黑"/>
          <w:sz w:val="20"/>
        </w:rPr>
        <w:t xml:space="preserve">    4.1 进入配置管理页面 .............................. 8</w:t>
      </w:r>
    </w:p>
    <w:p w14:paraId="1FAE00B4">
      <w:r>
        <w:rPr>
          <w:rFonts w:ascii="微软雅黑" w:hAnsi="微软雅黑" w:eastAsia="微软雅黑"/>
          <w:sz w:val="20"/>
        </w:rPr>
        <w:t xml:space="preserve">    4.2 Step 1：创建新配置 — 基本信息 ................. 9</w:t>
      </w:r>
    </w:p>
    <w:p w14:paraId="7E87A92F">
      <w:r>
        <w:rPr>
          <w:rFonts w:ascii="微软雅黑" w:hAnsi="微软雅黑" w:eastAsia="微软雅黑"/>
          <w:sz w:val="20"/>
        </w:rPr>
        <w:t xml:space="preserve">    4.3 Step 2：接口配置 .............................. 10</w:t>
      </w:r>
    </w:p>
    <w:p w14:paraId="21ACFFB5">
      <w:r>
        <w:rPr>
          <w:rFonts w:ascii="微软雅黑" w:hAnsi="微软雅黑" w:eastAsia="微软雅黑"/>
          <w:sz w:val="20"/>
        </w:rPr>
        <w:t xml:space="preserve">    4.4 Step 3：话术模板配置 ......................... 11</w:t>
      </w:r>
    </w:p>
    <w:p w14:paraId="5D87C2B8">
      <w:r>
        <w:rPr>
          <w:rFonts w:ascii="微软雅黑" w:hAnsi="微软雅黑" w:eastAsia="微软雅黑"/>
          <w:sz w:val="20"/>
        </w:rPr>
        <w:t xml:space="preserve">    4.5 Step 4：发布上线 ............................. 16</w:t>
      </w:r>
    </w:p>
    <w:p w14:paraId="295E1450">
      <w:r>
        <w:rPr>
          <w:rFonts w:ascii="微软雅黑" w:hAnsi="微软雅黑" w:eastAsia="微软雅黑"/>
          <w:sz w:val="20"/>
        </w:rPr>
        <w:t xml:space="preserve">    4.6 配置管理（查看/编辑/下线/测试） .............. 17</w:t>
      </w:r>
    </w:p>
    <w:p w14:paraId="4A0B6526">
      <w:r>
        <w:rPr>
          <w:rFonts w:ascii="微软雅黑" w:hAnsi="微软雅黑" w:eastAsia="微软雅黑"/>
          <w:sz w:val="20"/>
        </w:rPr>
        <w:t>五、常见问题与排错 .................................... 18</w:t>
      </w:r>
    </w:p>
    <w:p w14:paraId="06854A67">
      <w:r>
        <w:rPr>
          <w:rFonts w:ascii="微软雅黑" w:hAnsi="微软雅黑" w:eastAsia="微软雅黑"/>
          <w:sz w:val="20"/>
        </w:rPr>
        <w:t>六、最佳实践建议 ...................................... 19</w:t>
      </w:r>
    </w:p>
    <w:p w14:paraId="2C183354">
      <w:r>
        <w:rPr>
          <w:rFonts w:ascii="微软雅黑" w:hAnsi="微软雅黑" w:eastAsia="微软雅黑"/>
          <w:sz w:val="20"/>
        </w:rPr>
        <w:t>附录 A：字段速查表 .................................... 20</w:t>
      </w:r>
    </w:p>
    <w:p w14:paraId="6615B871">
      <w:r>
        <w:rPr>
          <w:rFonts w:ascii="微软雅黑" w:hAnsi="微软雅黑" w:eastAsia="微软雅黑"/>
          <w:sz w:val="20"/>
        </w:rPr>
        <w:t>附录 B：联系方式与技术支持 ............................ 20</w:t>
      </w:r>
    </w:p>
    <w:p w14:paraId="77777BBB">
      <w:r>
        <w:br w:type="page"/>
      </w:r>
    </w:p>
    <w:p w14:paraId="28EFA782">
      <w:pPr>
        <w:pStyle w:val="3"/>
      </w:pPr>
      <w:r>
        <w:t>一、概述</w:t>
      </w:r>
    </w:p>
    <w:p w14:paraId="262497C7">
      <w:pPr>
        <w:pStyle w:val="4"/>
      </w:pPr>
      <w:r>
        <w:t>1.1 背景与目标</w:t>
      </w:r>
    </w:p>
    <w:p w14:paraId="2067C90E">
      <w:pPr>
        <w:spacing w:after="120"/>
      </w:pPr>
      <w:r>
        <w:rPr>
          <w:rFonts w:ascii="微软雅黑" w:hAnsi="微软雅黑" w:eastAsia="微软雅黑"/>
        </w:rPr>
        <w:t>当前各分中心对于话术模板的配置方式较为个性化，存在以下痛点：</w:t>
      </w:r>
    </w:p>
    <w:p w14:paraId="084BAB09">
      <w:pPr>
        <w:pStyle w:val="16"/>
      </w:pPr>
      <w:r>
        <w:t>配置流程不统一，各分中心各自为战</w:t>
      </w:r>
    </w:p>
    <w:p w14:paraId="49A790ED">
      <w:pPr>
        <w:pStyle w:val="16"/>
      </w:pPr>
      <w:r>
        <w:t>配置速度慢，从启动到上线预计耗时约 3 个月</w:t>
      </w:r>
    </w:p>
    <w:p w14:paraId="42EC1370">
      <w:pPr>
        <w:pStyle w:val="16"/>
      </w:pPr>
      <w:r>
        <w:t>缺乏标准化工具支撑，难以快速复制推广</w:t>
      </w:r>
    </w:p>
    <w:p w14:paraId="0A0788B0">
      <w:pPr>
        <w:spacing w:after="120"/>
      </w:pPr>
      <w:r>
        <w:rPr>
          <w:rFonts w:ascii="微软雅黑" w:hAnsi="微软雅黑" w:eastAsia="微软雅黑"/>
        </w:rPr>
        <w:t>为此，我们在灵运平台上搭建了一套话术配置通用能力平台。目前</w:t>
      </w:r>
      <w:r>
        <w:rPr>
          <w:rFonts w:ascii="微软雅黑" w:hAnsi="微软雅黑" w:eastAsia="微软雅黑"/>
          <w:highlight w:val="yellow"/>
        </w:rPr>
        <w:t>北京、福建、广东、辽宁、山东五省</w:t>
      </w:r>
      <w:r>
        <w:rPr>
          <w:rFonts w:ascii="微软雅黑" w:hAnsi="微软雅黑" w:eastAsia="微软雅黑"/>
        </w:rPr>
        <w:t>已通过该流程成功完成配置并上线运行，实践表明：</w:t>
      </w:r>
    </w:p>
    <w:p w14:paraId="22BD0CC9">
      <w:pPr>
        <w:pStyle w:val="16"/>
      </w:pPr>
      <w:r>
        <w:t>配置周期大幅缩短：约 1 个月即可完成从零到上线</w:t>
      </w:r>
    </w:p>
    <w:p w14:paraId="7B528ADC">
      <w:pPr>
        <w:pStyle w:val="16"/>
      </w:pPr>
      <w:r>
        <w:t>全流程在线自助操作，无需依赖开发排期</w:t>
      </w:r>
    </w:p>
    <w:p w14:paraId="704E69B7">
      <w:pPr>
        <w:pStyle w:val="16"/>
      </w:pPr>
      <w:r>
        <w:t>支持分中心独立配置，数据隔离确保安全</w:t>
      </w:r>
    </w:p>
    <w:p w14:paraId="744D1DA4">
      <w:pPr>
        <w:spacing w:after="120"/>
      </w:pPr>
      <w:r>
        <w:rPr>
          <w:rFonts w:ascii="微软雅黑" w:hAnsi="微软雅黑" w:eastAsia="微软雅黑"/>
        </w:rPr>
        <w:t>后续各分中心配置话术，均可通过本手册指引在线上自助完成。如遇技术问题，可联系技术支撑团队协助。</w:t>
      </w:r>
    </w:p>
    <w:p w14:paraId="7D4FA5E6">
      <w:pPr>
        <w:pStyle w:val="4"/>
      </w:pPr>
      <w:r>
        <w:t>1.2 适用范围与目标读者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8FD5843">
        <w:trPr>
          <w:jc w:val="center"/>
        </w:trPr>
        <w:tc>
          <w:tcPr>
            <w:tcW w:w="4536" w:type="dxa"/>
            <w:shd w:val="clear" w:color="auto" w:fill="D5E8F0"/>
          </w:tcPr>
          <w:p w14:paraId="2E96C1C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536" w:type="dxa"/>
            <w:shd w:val="clear" w:color="auto" w:fill="D5E8F0"/>
          </w:tcPr>
          <w:p w14:paraId="626D73C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BD2D07E">
        <w:trPr>
          <w:jc w:val="center"/>
        </w:trPr>
        <w:tc>
          <w:tcPr>
            <w:tcW w:w="4536" w:type="dxa"/>
          </w:tcPr>
          <w:p w14:paraId="4360555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</w:t>
            </w:r>
          </w:p>
        </w:tc>
        <w:tc>
          <w:tcPr>
            <w:tcW w:w="4536" w:type="dxa"/>
          </w:tcPr>
          <w:p w14:paraId="2C00A8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全国 31 个分中心的话术配置负责人及运营人员</w:t>
            </w:r>
          </w:p>
        </w:tc>
      </w:tr>
      <w:tr w14:paraId="2D60FB5B">
        <w:trPr>
          <w:jc w:val="center"/>
        </w:trPr>
        <w:tc>
          <w:tcPr>
            <w:tcW w:w="4536" w:type="dxa"/>
          </w:tcPr>
          <w:p w14:paraId="63CA2A2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适用场景</w:t>
            </w:r>
          </w:p>
        </w:tc>
        <w:tc>
          <w:tcPr>
            <w:tcW w:w="4536" w:type="dxa"/>
          </w:tcPr>
          <w:p w14:paraId="3A081C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营销助手话术模板的新建、编辑、发布及管理</w:t>
            </w:r>
          </w:p>
        </w:tc>
      </w:tr>
      <w:tr w14:paraId="0A13FC3F">
        <w:trPr>
          <w:jc w:val="center"/>
        </w:trPr>
        <w:tc>
          <w:tcPr>
            <w:tcW w:w="4536" w:type="dxa"/>
          </w:tcPr>
          <w:p w14:paraId="74FAE1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前置要求</w:t>
            </w:r>
          </w:p>
        </w:tc>
        <w:tc>
          <w:tcPr>
            <w:tcW w:w="4536" w:type="dxa"/>
          </w:tcPr>
          <w:p w14:paraId="523CAE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具备灵运平台访问权限；已整理好话术素材和接口字段</w:t>
            </w:r>
          </w:p>
        </w:tc>
      </w:tr>
      <w:tr w14:paraId="64D0718F">
        <w:trPr>
          <w:jc w:val="center"/>
        </w:trPr>
        <w:tc>
          <w:tcPr>
            <w:tcW w:w="4536" w:type="dxa"/>
          </w:tcPr>
          <w:p w14:paraId="632F394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预期效果</w:t>
            </w:r>
          </w:p>
        </w:tc>
        <w:tc>
          <w:tcPr>
            <w:tcW w:w="4536" w:type="dxa"/>
          </w:tcPr>
          <w:p w14:paraId="0F0A03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按本手册操作后，可在 1 个月内完成话术配置并上线</w:t>
            </w:r>
          </w:p>
        </w:tc>
      </w:tr>
    </w:tbl>
    <w:p w14:paraId="4A38C178"/>
    <w:p w14:paraId="66FFBEE7">
      <w:pPr>
        <w:pStyle w:val="3"/>
      </w:pPr>
      <w:r>
        <w:t>二、核心概念与术语</w:t>
      </w:r>
    </w:p>
    <w:p w14:paraId="525262CE">
      <w:pPr>
        <w:pStyle w:val="4"/>
      </w:pPr>
      <w:r>
        <w:t>2.1 关键字段说明表</w:t>
      </w:r>
    </w:p>
    <w:p w14:paraId="1C62EBCA">
      <w:pPr>
        <w:spacing w:after="120"/>
      </w:pPr>
      <w:r>
        <w:rPr>
          <w:rFonts w:ascii="微软雅黑" w:hAnsi="微软雅黑" w:eastAsia="微软雅黑"/>
        </w:rPr>
        <w:t>在开始配置前，请务必理解以下关键字段的含义。这些字段贯穿于话术模板整理、接口配置和平台录入的全过程。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8A9B9F4">
        <w:trPr>
          <w:jc w:val="center"/>
        </w:trPr>
        <w:tc>
          <w:tcPr>
            <w:tcW w:w="2268" w:type="dxa"/>
            <w:shd w:val="clear" w:color="auto" w:fill="D5E8F0"/>
          </w:tcPr>
          <w:p w14:paraId="26DEB06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D5E8F0"/>
          </w:tcPr>
          <w:p w14:paraId="6A0D0FB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是否必填</w:t>
            </w:r>
          </w:p>
        </w:tc>
        <w:tc>
          <w:tcPr>
            <w:tcW w:w="2268" w:type="dxa"/>
            <w:shd w:val="clear" w:color="auto" w:fill="D5E8F0"/>
          </w:tcPr>
          <w:p w14:paraId="358AB43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268" w:type="dxa"/>
            <w:shd w:val="clear" w:color="auto" w:fill="D5E8F0"/>
          </w:tcPr>
          <w:p w14:paraId="092E25B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示例/备注</w:t>
            </w:r>
          </w:p>
        </w:tc>
      </w:tr>
      <w:tr w14:paraId="76CA5760">
        <w:trPr>
          <w:jc w:val="center"/>
        </w:trPr>
        <w:tc>
          <w:tcPr>
            <w:tcW w:w="2268" w:type="dxa"/>
          </w:tcPr>
          <w:p w14:paraId="0033C47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省份</w:t>
            </w:r>
          </w:p>
        </w:tc>
        <w:tc>
          <w:tcPr>
            <w:tcW w:w="2268" w:type="dxa"/>
          </w:tcPr>
          <w:p w14:paraId="186BAE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2268" w:type="dxa"/>
          </w:tcPr>
          <w:p w14:paraId="18D251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您所在的省份。不同省份的数据完全隔离，仅能对本省数据进行查看及操作</w:t>
            </w:r>
          </w:p>
        </w:tc>
        <w:tc>
          <w:tcPr>
            <w:tcW w:w="2268" w:type="dxa"/>
          </w:tcPr>
          <w:p w14:paraId="1A7FD1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广东、福建等</w:t>
            </w:r>
          </w:p>
        </w:tc>
      </w:tr>
      <w:tr w14:paraId="0913D39F">
        <w:trPr>
          <w:jc w:val="center"/>
        </w:trPr>
        <w:tc>
          <w:tcPr>
            <w:tcW w:w="2268" w:type="dxa"/>
          </w:tcPr>
          <w:p w14:paraId="1E58E9D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场景分类 / 场景意图</w:t>
            </w:r>
          </w:p>
        </w:tc>
        <w:tc>
          <w:tcPr>
            <w:tcW w:w="2268" w:type="dxa"/>
          </w:tcPr>
          <w:p w14:paraId="1BDEA9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2268" w:type="dxa"/>
          </w:tcPr>
          <w:p w14:paraId="64D538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用于区分不同业务场景，方便分类管理（无匹配逻辑作用）</w:t>
            </w:r>
          </w:p>
        </w:tc>
        <w:tc>
          <w:tcPr>
            <w:tcW w:w="2268" w:type="dxa"/>
          </w:tcPr>
          <w:p w14:paraId="48FEB2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套餐推荐、营销活动</w:t>
            </w:r>
          </w:p>
        </w:tc>
      </w:tr>
      <w:tr w14:paraId="4948B571">
        <w:trPr>
          <w:jc w:val="center"/>
        </w:trPr>
        <w:tc>
          <w:tcPr>
            <w:tcW w:w="2268" w:type="dxa"/>
          </w:tcPr>
          <w:p w14:paraId="1AD7FCE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 ID / 关键词</w:t>
            </w:r>
          </w:p>
        </w:tc>
        <w:tc>
          <w:tcPr>
            <w:tcW w:w="2268" w:type="dxa"/>
          </w:tcPr>
          <w:p w14:paraId="2DDFE5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2268" w:type="dxa"/>
          </w:tcPr>
          <w:p w14:paraId="42EF50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用于精准或模糊匹配产品。详见下方"匹配策略"</w:t>
            </w:r>
          </w:p>
        </w:tc>
        <w:tc>
          <w:tcPr>
            <w:tcW w:w="2268" w:type="dxa"/>
          </w:tcPr>
          <w:p w14:paraId="5D4600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prod001、流量包</w:t>
            </w:r>
          </w:p>
        </w:tc>
      </w:tr>
      <w:tr w14:paraId="195CC699">
        <w:trPr>
          <w:jc w:val="center"/>
        </w:trPr>
        <w:tc>
          <w:tcPr>
            <w:tcW w:w="2268" w:type="dxa"/>
          </w:tcPr>
          <w:p w14:paraId="596E2D4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应用环节</w:t>
            </w:r>
          </w:p>
        </w:tc>
        <w:tc>
          <w:tcPr>
            <w:tcW w:w="2268" w:type="dxa"/>
          </w:tcPr>
          <w:p w14:paraId="1B9736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2268" w:type="dxa"/>
          </w:tcPr>
          <w:p w14:paraId="33D3DECB">
            <w:pPr>
              <w:jc w:val="left"/>
            </w:pPr>
            <w:r>
              <w:t>自由文本，建议值：</w:t>
            </w:r>
            <w:r>
              <w:rPr>
                <w:highlight w:val="yellow"/>
              </w:rPr>
              <w:t>切入环节 / 推荐环节 / 异议处理 / 促成成交</w:t>
            </w:r>
            <w:r>
              <w:t>（部分省份使用自定义环节值，如广东营销活动的「个人市场 / 家庭市场」）</w:t>
            </w:r>
          </w:p>
        </w:tc>
        <w:tc>
          <w:tcPr>
            <w:tcW w:w="2268" w:type="dxa"/>
          </w:tcPr>
          <w:p w14:paraId="4413F3AE">
            <w:pPr>
              <w:jc w:val="left"/>
            </w:pPr>
            <w:r>
              <w:rPr>
                <w:highlight w:val="yellow"/>
              </w:rPr>
              <w:t>切入环节</w:t>
            </w:r>
          </w:p>
        </w:tc>
      </w:tr>
      <w:tr w14:paraId="4F5785E1">
        <w:trPr>
          <w:jc w:val="center"/>
        </w:trPr>
        <w:tc>
          <w:tcPr>
            <w:tcW w:w="2268" w:type="dxa"/>
          </w:tcPr>
          <w:p w14:paraId="14F1827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应用场景 / 意图</w:t>
            </w:r>
          </w:p>
        </w:tc>
        <w:tc>
          <w:tcPr>
            <w:tcW w:w="2268" w:type="dxa"/>
          </w:tcPr>
          <w:p w14:paraId="46D7C6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2268" w:type="dxa"/>
          </w:tcPr>
          <w:p w14:paraId="0762B915">
            <w:pPr>
              <w:jc w:val="left"/>
            </w:pPr>
            <w:r>
              <w:t>按业务话术类型区分（自由文本，建议值：</w:t>
            </w:r>
            <w:r>
              <w:rPr>
                <w:highlight w:val="yellow"/>
              </w:rPr>
              <w:t>流量超套 / 套餐升级 / 套餐降档 / 新业务推荐</w:t>
            </w:r>
            <w:r>
              <w:t>）</w:t>
            </w:r>
          </w:p>
        </w:tc>
        <w:tc>
          <w:tcPr>
            <w:tcW w:w="2268" w:type="dxa"/>
          </w:tcPr>
          <w:p w14:paraId="151AA5F2">
            <w:pPr>
              <w:jc w:val="left"/>
            </w:pPr>
            <w:r>
              <w:t>开口话术、</w:t>
            </w:r>
            <w:r>
              <w:rPr>
                <w:highlight w:val="yellow"/>
              </w:rPr>
              <w:t>套餐升级</w:t>
            </w:r>
          </w:p>
        </w:tc>
      </w:tr>
      <w:tr w14:paraId="4C524368">
        <w:trPr>
          <w:jc w:val="center"/>
        </w:trPr>
        <w:tc>
          <w:tcPr>
            <w:tcW w:w="2268" w:type="dxa"/>
          </w:tcPr>
          <w:p w14:paraId="5C1B69B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槽位字段</w:t>
            </w:r>
          </w:p>
        </w:tc>
        <w:tc>
          <w:tcPr>
            <w:tcW w:w="2268" w:type="dxa"/>
          </w:tcPr>
          <w:p w14:paraId="61A6E1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</w:t>
            </w:r>
          </w:p>
        </w:tc>
        <w:tc>
          <w:tcPr>
            <w:tcW w:w="2268" w:type="dxa"/>
          </w:tcPr>
          <w:p w14:paraId="182745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话术中需要动态替换的字段（由接口传入参数填充）</w:t>
            </w:r>
          </w:p>
        </w:tc>
        <w:tc>
          <w:tcPr>
            <w:tcW w:w="2268" w:type="dxa"/>
          </w:tcPr>
          <w:p w14:paraId="1BB094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{actualPrice}、{packageName}</w:t>
            </w:r>
          </w:p>
        </w:tc>
      </w:tr>
    </w:tbl>
    <w:p w14:paraId="61EAB85E"/>
    <w:p w14:paraId="605BD52D">
      <w:pPr>
        <w:pStyle w:val="5"/>
      </w:pPr>
      <w:r>
        <w:t>产品匹配策略说明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170CD49">
        <w:trPr>
          <w:jc w:val="center"/>
        </w:trPr>
        <w:tc>
          <w:tcPr>
            <w:tcW w:w="2268" w:type="dxa"/>
            <w:shd w:val="clear" w:color="auto" w:fill="D5E8F0"/>
          </w:tcPr>
          <w:p w14:paraId="37828F0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匹配方式</w:t>
            </w:r>
          </w:p>
        </w:tc>
        <w:tc>
          <w:tcPr>
            <w:tcW w:w="2268" w:type="dxa"/>
            <w:shd w:val="clear" w:color="auto" w:fill="D5E8F0"/>
          </w:tcPr>
          <w:p w14:paraId="1E1B944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操作方法</w:t>
            </w:r>
          </w:p>
        </w:tc>
        <w:tc>
          <w:tcPr>
            <w:tcW w:w="2268" w:type="dxa"/>
            <w:shd w:val="clear" w:color="auto" w:fill="D5E8F0"/>
          </w:tcPr>
          <w:p w14:paraId="5866981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效果</w:t>
            </w:r>
          </w:p>
        </w:tc>
        <w:tc>
          <w:tcPr>
            <w:tcW w:w="2268" w:type="dxa"/>
            <w:shd w:val="clear" w:color="auto" w:fill="D5E8F0"/>
          </w:tcPr>
          <w:p w14:paraId="3D02EA4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注意事项</w:t>
            </w:r>
          </w:p>
        </w:tc>
      </w:tr>
      <w:tr w14:paraId="52F9E790">
        <w:trPr>
          <w:jc w:val="center"/>
        </w:trPr>
        <w:tc>
          <w:tcPr>
            <w:tcW w:w="2268" w:type="dxa"/>
          </w:tcPr>
          <w:p w14:paraId="4BC565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精准匹配</w:t>
            </w:r>
          </w:p>
        </w:tc>
        <w:tc>
          <w:tcPr>
            <w:tcW w:w="2268" w:type="dxa"/>
          </w:tcPr>
          <w:p w14:paraId="57D1D1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填写具体的产品 ID</w:t>
            </w:r>
          </w:p>
        </w:tc>
        <w:tc>
          <w:tcPr>
            <w:tcW w:w="2268" w:type="dxa"/>
          </w:tcPr>
          <w:p w14:paraId="1AB499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匹配效果最佳，精确命中</w:t>
            </w:r>
          </w:p>
        </w:tc>
        <w:tc>
          <w:tcPr>
            <w:tcW w:w="2268" w:type="dxa"/>
          </w:tcPr>
          <w:p w14:paraId="4C6414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推荐优先使用此方式</w:t>
            </w:r>
          </w:p>
        </w:tc>
      </w:tr>
      <w:tr w14:paraId="376F65C9">
        <w:trPr>
          <w:jc w:val="center"/>
        </w:trPr>
        <w:tc>
          <w:tcPr>
            <w:tcW w:w="2268" w:type="dxa"/>
          </w:tcPr>
          <w:p w14:paraId="5BE2FA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模糊匹配</w:t>
            </w:r>
          </w:p>
        </w:tc>
        <w:tc>
          <w:tcPr>
            <w:tcW w:w="2268" w:type="dxa"/>
          </w:tcPr>
          <w:p w14:paraId="23E3B1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输入关键词进行模糊搜索</w:t>
            </w:r>
          </w:p>
        </w:tc>
        <w:tc>
          <w:tcPr>
            <w:tcW w:w="2268" w:type="dxa"/>
          </w:tcPr>
          <w:p w14:paraId="41D4DF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可覆盖多个相似产品</w:t>
            </w:r>
          </w:p>
        </w:tc>
        <w:tc>
          <w:tcPr>
            <w:tcW w:w="2268" w:type="dxa"/>
          </w:tcPr>
          <w:p w14:paraId="1D6061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需人工排查关键词是否重叠，重叠将导致匹配失败，返回兜底话术</w:t>
            </w:r>
          </w:p>
        </w:tc>
      </w:tr>
      <w:tr w14:paraId="7508881F">
        <w:trPr>
          <w:jc w:val="center"/>
        </w:trPr>
        <w:tc>
          <w:tcPr>
            <w:tcW w:w="2268" w:type="dxa"/>
          </w:tcPr>
          <w:p w14:paraId="1188B5A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不匹配</w:t>
            </w:r>
          </w:p>
        </w:tc>
        <w:tc>
          <w:tcPr>
            <w:tcW w:w="2268" w:type="dxa"/>
          </w:tcPr>
          <w:p w14:paraId="290B29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不填写产品 ID 或关键词</w:t>
            </w:r>
          </w:p>
        </w:tc>
        <w:tc>
          <w:tcPr>
            <w:tcW w:w="2268" w:type="dxa"/>
          </w:tcPr>
          <w:p w14:paraId="1DEA88B0">
            <w:pPr>
              <w:jc w:val="left"/>
            </w:pPr>
            <w:r>
              <w:rPr>
                <w:highlight w:val="yellow"/>
              </w:rPr>
              <w:t>命中产品 ID 为空的通用模板，按环节/场景逐档降级返回兜底话术</w:t>
            </w:r>
          </w:p>
        </w:tc>
        <w:tc>
          <w:tcPr>
            <w:tcW w:w="2268" w:type="dxa"/>
          </w:tcPr>
          <w:p w14:paraId="602459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适用于通用场景</w:t>
            </w:r>
          </w:p>
        </w:tc>
      </w:tr>
    </w:tbl>
    <w:p w14:paraId="1F57FF70"/>
    <w:p w14:paraId="38D96BEF">
      <w:pPr>
        <w:pStyle w:val="4"/>
      </w:pPr>
      <w:r>
        <w:t>2.2 匹配原理</w:t>
      </w:r>
    </w:p>
    <w:p w14:paraId="5C4CFF69">
      <w:pPr>
        <w:spacing w:after="120"/>
      </w:pPr>
      <w:r>
        <w:rPr>
          <w:rFonts w:ascii="微软雅黑" w:hAnsi="微软雅黑" w:eastAsia="微软雅黑"/>
        </w:rPr>
        <w:t>当坐席在新一代系统中的对应场景中点选某个产品时，后台系统会根据所点击的产品信息，自动检测其所在的应用环节和应用场景，进而匹配对应的话术模板，并将结果展示在坐席前端的相应位置。</w:t>
      </w:r>
    </w:p>
    <w:p w14:paraId="2427BE0D">
      <w:pPr>
        <w:spacing w:after="120"/>
      </w:pPr>
      <w:r>
        <w:rPr>
          <w:rFonts w:ascii="微软雅黑" w:hAnsi="微软雅黑" w:eastAsia="微软雅黑"/>
          <w:highlight w:val="yellow"/>
        </w:rPr>
        <w:t>匹配优先级：产品 ID 精准匹配 → 关键词模糊匹配 → 通用模板兜底（命中产品 ID 为空的模板）。每个阶段内部再按「环节+场景 → 仅环节 → 仅场景 → 不限」逐档降级，共 12 档匹配层级。</w:t>
      </w:r>
    </w:p>
    <w:p w14:paraId="2BD9BD14">
      <w:pPr>
        <w:jc w:val="center"/>
      </w:pPr>
      <w:r>
        <w:drawing>
          <wp:inline distT="0" distB="0" distL="114300" distR="114300">
            <wp:extent cx="5399405" cy="3037205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5109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2-1：前端页面与配置页面的字段对应关系示意（以广东为例）</w:t>
      </w:r>
    </w:p>
    <w:p w14:paraId="3AF32D2A">
      <w:r>
        <w:br w:type="page"/>
      </w:r>
    </w:p>
    <w:p w14:paraId="1E204B55">
      <w:pPr>
        <w:pStyle w:val="3"/>
      </w:pPr>
      <w:r>
        <w:t>三、配置前准备</w:t>
      </w:r>
    </w:p>
    <w:p w14:paraId="4A6D70D6">
      <w:pPr>
        <w:pStyle w:val="4"/>
      </w:pPr>
      <w:r>
        <w:t>3.1 需要整理的材料清单</w:t>
      </w:r>
    </w:p>
    <w:p w14:paraId="7902FE94">
      <w:pPr>
        <w:pStyle w:val="5"/>
      </w:pPr>
      <w:r>
        <w:t>3.1.1 话术模板整理</w:t>
      </w:r>
    </w:p>
    <w:p w14:paraId="02EC6597">
      <w:pPr>
        <w:spacing w:after="120"/>
      </w:pPr>
      <w:r>
        <w:rPr>
          <w:rFonts w:ascii="微软雅黑" w:hAnsi="微软雅黑" w:eastAsia="微软雅黑"/>
        </w:rPr>
        <w:t>按照营销助手前端页面的字段区域划分，整理不同场景下的产品对应输出的话术模板。模板中需要明确标注槽位字段（即需要接口动态传参替换的字段）。</w:t>
      </w:r>
    </w:p>
    <w:p w14:paraId="198FF133">
      <w:pPr>
        <w:spacing w:after="120"/>
      </w:pPr>
      <w:r>
        <w:rPr>
          <w:rFonts w:ascii="微软雅黑" w:hAnsi="微软雅黑" w:eastAsia="微软雅黑"/>
        </w:rPr>
        <w:t>整理要素包括：</w:t>
      </w:r>
    </w:p>
    <w:p w14:paraId="00AFB403">
      <w:pPr>
        <w:pStyle w:val="16"/>
      </w:pPr>
      <w:r>
        <w:t>场景意图：该话术适用的业务场景</w:t>
      </w:r>
    </w:p>
    <w:p w14:paraId="1F3294E0">
      <w:pPr>
        <w:pStyle w:val="16"/>
      </w:pPr>
      <w:r>
        <w:t>产品 ID：关联的具体产品（支持多产品 / 多关键词 / 行分隔）</w:t>
      </w:r>
    </w:p>
    <w:p w14:paraId="038CB947">
      <w:pPr>
        <w:pStyle w:val="16"/>
      </w:pPr>
      <w:r>
        <w:t>应用环节：</w:t>
      </w:r>
      <w:r>
        <w:rPr>
          <w:highlight w:val="yellow"/>
        </w:rPr>
        <w:t>切入环节 / 推荐环节 / 异议处理 / 促成成交 等（自由文本，可按本省业务自定义，如广东营销活动使用「个人市场 / 家庭市场」）</w:t>
      </w:r>
    </w:p>
    <w:p w14:paraId="1F1A663A">
      <w:pPr>
        <w:pStyle w:val="16"/>
      </w:pPr>
      <w:r>
        <w:t>应用场景：</w:t>
      </w:r>
      <w:r>
        <w:rPr>
          <w:highlight w:val="yellow"/>
        </w:rPr>
        <w:t>流量超套 / 套餐升级 / 套餐降档 / 新业务推荐 等（自由文本，「开口话术」等自定义值亦可）</w:t>
      </w:r>
    </w:p>
    <w:p w14:paraId="4987836A">
      <w:pPr>
        <w:pStyle w:val="16"/>
      </w:pPr>
      <w:r>
        <w:t>话术内容：完整的话术文本，槽位用 {变量名} 标注</w:t>
      </w:r>
    </w:p>
    <w:p w14:paraId="6AE3DFF5">
      <w:pPr>
        <w:jc w:val="center"/>
      </w:pPr>
      <w:r>
        <w:drawing>
          <wp:inline distT="0" distB="0" distL="114300" distR="114300">
            <wp:extent cx="5399405" cy="3089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CE63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3-1：话术模板整理表格样例（含字段划分与槽位标注）</w:t>
      </w:r>
    </w:p>
    <w:p w14:paraId="4B9D69E1">
      <w:pPr>
        <w:pStyle w:val="5"/>
      </w:pPr>
      <w:r>
        <w:t>3.1.2 接口文件准备</w:t>
      </w:r>
    </w:p>
    <w:p w14:paraId="64649AE0">
      <w:pPr>
        <w:spacing w:after="120"/>
      </w:pPr>
      <w:r>
        <w:rPr>
          <w:rFonts w:ascii="微软雅黑" w:hAnsi="微软雅黑" w:eastAsia="微软雅黑"/>
        </w:rPr>
        <w:t>将话术中涉及的所有需要传参的槽位信息字段，统一整理到接口模板文件中。接口文件定义了系统向话术引擎传递的数据结构。</w:t>
      </w:r>
    </w:p>
    <w:p w14:paraId="74EBFFC0">
      <w:pPr>
        <w:spacing w:after="120"/>
      </w:pPr>
      <w:r>
        <w:rPr>
          <w:rFonts w:ascii="微软雅黑" w:hAnsi="微软雅黑" w:eastAsia="微软雅黑"/>
        </w:rPr>
        <w:t>接口文件关键结构说明：</w:t>
      </w:r>
    </w:p>
    <w:p w14:paraId="702FFDDE">
      <w:pPr>
        <w:pStyle w:val="16"/>
      </w:pPr>
      <w:r>
        <w:t>"intent"：固定值，标识场景意图（如"营销活动"）</w:t>
      </w:r>
    </w:p>
    <w:p w14:paraId="7B727085">
      <w:pPr>
        <w:pStyle w:val="16"/>
      </w:pPr>
      <w:r>
        <w:t>"extra_info.current_package"：当前套餐信息（套餐名、价格、流量等）</w:t>
      </w:r>
    </w:p>
    <w:p w14:paraId="7B9C8D87">
      <w:pPr>
        <w:pStyle w:val="16"/>
      </w:pPr>
      <w:r>
        <w:t>"extra_info.final_recommendations"：推荐套餐列表（名称、原价、优惠价、流量等）</w:t>
      </w:r>
    </w:p>
    <w:p w14:paraId="6725F495">
      <w:pPr>
        <w:pStyle w:val="16"/>
      </w:pPr>
      <w:r>
        <w:t>"extra_info.diff"：差异对比数据（价格差、流量差等）</w:t>
      </w:r>
    </w:p>
    <w:p w14:paraId="11B6C2F4">
      <w:pPr>
        <w:pStyle w:val="16"/>
      </w:pPr>
      <w:r>
        <w:t>"batch_contexts"：批量上下文（产品ID、环节、场景）</w:t>
      </w:r>
    </w:p>
    <w:p w14:paraId="268120C2">
      <w:pPr>
        <w:jc w:val="center"/>
      </w:pPr>
      <w:r>
        <w:drawing>
          <wp:inline distT="0" distB="0" distL="114300" distR="114300">
            <wp:extent cx="5399405" cy="7915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22B6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3-2：接口文件 JSON 模板样例（以广东营销活动 0617 为例）</w:t>
      </w:r>
    </w:p>
    <w:p w14:paraId="51CC7143">
      <w:pPr>
        <w:pStyle w:val="4"/>
      </w:pPr>
      <w:r>
        <w:t>3.2 权限与环境检查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FFD751F">
        <w:trPr>
          <w:jc w:val="center"/>
        </w:trPr>
        <w:tc>
          <w:tcPr>
            <w:tcW w:w="3024" w:type="dxa"/>
            <w:shd w:val="clear" w:color="auto" w:fill="D5E8F0"/>
          </w:tcPr>
          <w:p w14:paraId="59A4BC8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w="3024" w:type="dxa"/>
            <w:shd w:val="clear" w:color="auto" w:fill="D5E8F0"/>
          </w:tcPr>
          <w:p w14:paraId="0AEB7D5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确认标准</w:t>
            </w:r>
          </w:p>
        </w:tc>
        <w:tc>
          <w:tcPr>
            <w:tcW w:w="3024" w:type="dxa"/>
            <w:shd w:val="clear" w:color="auto" w:fill="D5E8F0"/>
          </w:tcPr>
          <w:p w14:paraId="1AE6516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处理方式</w:t>
            </w:r>
          </w:p>
        </w:tc>
      </w:tr>
      <w:tr w14:paraId="2FBFADE8">
        <w:trPr>
          <w:jc w:val="center"/>
        </w:trPr>
        <w:tc>
          <w:tcPr>
            <w:tcW w:w="3024" w:type="dxa"/>
          </w:tcPr>
          <w:p w14:paraId="5F3D143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灵运平台账号</w:t>
            </w:r>
          </w:p>
        </w:tc>
        <w:tc>
          <w:tcPr>
            <w:tcW w:w="3024" w:type="dxa"/>
          </w:tcPr>
          <w:p w14:paraId="6AF8CB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已开通且可登录灵运平台</w:t>
            </w:r>
          </w:p>
        </w:tc>
        <w:tc>
          <w:tcPr>
            <w:tcW w:w="3024" w:type="dxa"/>
          </w:tcPr>
          <w:p w14:paraId="536202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联系管理员开通</w:t>
            </w:r>
          </w:p>
        </w:tc>
      </w:tr>
      <w:tr w14:paraId="0739C812">
        <w:trPr>
          <w:jc w:val="center"/>
        </w:trPr>
        <w:tc>
          <w:tcPr>
            <w:tcW w:w="3024" w:type="dxa"/>
          </w:tcPr>
          <w:p w14:paraId="0409E76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AI 能力工厂权限</w:t>
            </w:r>
          </w:p>
        </w:tc>
        <w:tc>
          <w:tcPr>
            <w:tcW w:w="3024" w:type="dxa"/>
          </w:tcPr>
          <w:p w14:paraId="4D1D23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可进入「工具管理 → AI 话术 → 智能话术配置管理」</w:t>
            </w:r>
          </w:p>
        </w:tc>
        <w:tc>
          <w:tcPr>
            <w:tcW w:w="3024" w:type="dxa"/>
          </w:tcPr>
          <w:p w14:paraId="736EAF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申请相应角色权限</w:t>
            </w:r>
          </w:p>
        </w:tc>
      </w:tr>
      <w:tr w14:paraId="09B54DE0">
        <w:trPr>
          <w:jc w:val="center"/>
        </w:trPr>
        <w:tc>
          <w:tcPr>
            <w:tcW w:w="3024" w:type="dxa"/>
          </w:tcPr>
          <w:p w14:paraId="6CB9A5F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省份数据权限</w:t>
            </w:r>
          </w:p>
        </w:tc>
        <w:tc>
          <w:tcPr>
            <w:tcW w:w="3024" w:type="dxa"/>
          </w:tcPr>
          <w:p w14:paraId="69B711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登录后可看到本省数据隔离视图</w:t>
            </w:r>
          </w:p>
        </w:tc>
        <w:tc>
          <w:tcPr>
            <w:tcW w:w="3024" w:type="dxa"/>
          </w:tcPr>
          <w:p w14:paraId="25A702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确认账号归属省份正确</w:t>
            </w:r>
          </w:p>
        </w:tc>
      </w:tr>
      <w:tr w14:paraId="6688F998">
        <w:trPr>
          <w:jc w:val="center"/>
        </w:trPr>
        <w:tc>
          <w:tcPr>
            <w:tcW w:w="3024" w:type="dxa"/>
          </w:tcPr>
          <w:p w14:paraId="353118E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浏览器环境</w:t>
            </w:r>
          </w:p>
        </w:tc>
        <w:tc>
          <w:tcPr>
            <w:tcW w:w="3024" w:type="dxa"/>
          </w:tcPr>
          <w:p w14:paraId="035CDF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推荐使用 Chrome 或 Edge 最新版</w:t>
            </w:r>
          </w:p>
        </w:tc>
        <w:tc>
          <w:tcPr>
            <w:tcW w:w="3024" w:type="dxa"/>
          </w:tcPr>
          <w:p w14:paraId="6AE6F1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升级浏览器</w:t>
            </w:r>
          </w:p>
        </w:tc>
      </w:tr>
    </w:tbl>
    <w:p w14:paraId="4BB96407"/>
    <w:p w14:paraId="7587CF01">
      <w:r>
        <w:br w:type="page"/>
      </w:r>
    </w:p>
    <w:p w14:paraId="04D3B561">
      <w:pPr>
        <w:pStyle w:val="3"/>
      </w:pPr>
      <w:r>
        <w:t>四、操作步骤详解</w:t>
      </w:r>
    </w:p>
    <w:p w14:paraId="4FEBF4B1">
      <w:pPr>
        <w:pStyle w:val="4"/>
      </w:pPr>
      <w:r>
        <w:t>4.1 进入配置管理页面</w:t>
      </w:r>
    </w:p>
    <w:p w14:paraId="05E02035">
      <w:pPr>
        <w:spacing w:after="120"/>
      </w:pPr>
      <w:r>
        <w:rPr>
          <w:rFonts w:ascii="微软雅黑" w:hAnsi="微软雅黑" w:eastAsia="微软雅黑"/>
        </w:rPr>
        <w:t>在浏览器中访问灵运平台，按以下路径导航：</w:t>
      </w:r>
    </w:p>
    <w:p w14:paraId="1ADF3DD4">
      <w:r>
        <w:rPr>
          <w:rFonts w:ascii="Consolas" w:hAnsi="Consolas"/>
          <w:b/>
          <w:sz w:val="22"/>
        </w:rPr>
        <w:t>路径：灵运平台 → AI 能力工厂 → 工具管理 → AI 话术 → 智能话术配置管理</w:t>
      </w:r>
    </w:p>
    <w:p w14:paraId="5D148083">
      <w:pPr>
        <w:jc w:val="center"/>
      </w:pPr>
      <w:r>
        <w:drawing>
          <wp:inline distT="0" distB="0" distL="114300" distR="114300">
            <wp:extent cx="5399405" cy="2704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0939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4-1：智能话术配置管理主页面（点击右上角「+ 创建新配置」开始）</w:t>
      </w:r>
    </w:p>
    <w:p w14:paraId="278D2106">
      <w:pPr>
        <w:pStyle w:val="4"/>
      </w:pPr>
      <w:r>
        <w:t>4.2 Step 1：创建新配置 — 基本信息</w:t>
      </w:r>
    </w:p>
    <w:p w14:paraId="1AB0A081">
      <w:pPr>
        <w:spacing w:after="120"/>
      </w:pPr>
      <w:r>
        <w:rPr>
          <w:rFonts w:ascii="微软雅黑" w:hAnsi="微软雅黑" w:eastAsia="微软雅黑"/>
        </w:rPr>
        <w:t>点击「+ 创建新配置」按钮后，进入基本信息填写页面。</w:t>
      </w:r>
    </w:p>
    <w:p w14:paraId="57DE9B25">
      <w:pPr>
        <w:spacing w:after="120"/>
      </w:pPr>
      <w:r>
        <w:rPr>
          <w:rFonts w:ascii="微软雅黑" w:hAnsi="微软雅黑" w:eastAsia="微软雅黑"/>
        </w:rPr>
        <w:t>填写内容：</w:t>
      </w:r>
    </w:p>
    <w:p w14:paraId="04B2E49F">
      <w:pPr>
        <w:pStyle w:val="16"/>
      </w:pPr>
      <w:r>
        <w:t>目标省份：选择您所在的省份（下拉选择）</w:t>
      </w:r>
    </w:p>
    <w:p w14:paraId="268FD3C1">
      <w:pPr>
        <w:pStyle w:val="16"/>
      </w:pPr>
      <w:r>
        <w:rPr>
          <w:highlight w:val="yellow"/>
        </w:rPr>
        <w:t>场景分类</w:t>
      </w:r>
      <w:r>
        <w:t>：填写场景分类名称，如「套餐推荐」「营销活动」（仅用于分类管理）</w:t>
      </w:r>
    </w:p>
    <w:p w14:paraId="0BC94694">
      <w:pPr>
        <w:pStyle w:val="16"/>
      </w:pPr>
      <w:r>
        <w:t>描述：（可选）简要描述本次配置的目的</w:t>
      </w:r>
    </w:p>
    <w:p w14:paraId="23FEA4A9">
      <w:pPr>
        <w:pStyle w:val="16"/>
      </w:pPr>
      <w:r>
        <w:t>版本号：默认 1.0.0，后续迭代时可递增</w:t>
      </w:r>
    </w:p>
    <w:p w14:paraId="13C497EB">
      <w:pPr>
        <w:pStyle w:val="16"/>
      </w:pPr>
      <w:r>
        <w:t>负责人：自动填入当前用户工号</w:t>
      </w:r>
    </w:p>
    <w:p w14:paraId="468E0C41">
      <w:pPr>
        <w:jc w:val="center"/>
      </w:pPr>
      <w:r>
        <w:drawing>
          <wp:inline distT="0" distB="0" distL="114300" distR="114300">
            <wp:extent cx="5399405" cy="2712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4462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4-2：Step 1 — 基本信息填写界面</w:t>
      </w:r>
    </w:p>
    <w:p w14:paraId="165160DF">
      <w:pPr>
        <w:spacing w:after="120"/>
      </w:pPr>
      <w:r>
        <w:rPr>
          <w:rFonts w:ascii="微软雅黑" w:hAnsi="微软雅黑" w:eastAsia="微软雅黑"/>
        </w:rPr>
        <w:t>💡 提示：填写完成后点击「下一步」，进入接口配置环节。</w:t>
      </w:r>
    </w:p>
    <w:p w14:paraId="31367FD0">
      <w:pPr>
        <w:pStyle w:val="4"/>
      </w:pPr>
      <w:r>
        <w:t>4.3 Step 2：接口配置</w:t>
      </w:r>
    </w:p>
    <w:p w14:paraId="491C390C">
      <w:pPr>
        <w:spacing w:after="120"/>
      </w:pPr>
      <w:r>
        <w:rPr>
          <w:rFonts w:ascii="微软雅黑" w:hAnsi="微软雅黑" w:eastAsia="微软雅黑"/>
        </w:rPr>
        <w:t>在此步骤中，配置话术中需要的动态参数来源。</w:t>
      </w:r>
      <w:r>
        <w:rPr>
          <w:rFonts w:ascii="微软雅黑" w:hAnsi="微软雅黑" w:eastAsia="微软雅黑"/>
          <w:highlight w:val="yellow"/>
        </w:rPr>
        <w:t>系统支持三种数据来源：① 接口查询模式（调用外部接口并提取、映射字段）；② 直传模式（含「智能映射到标准域」与「直接透传字段」两种子模式）；③ Mock 模式（返回模拟数据，用于联调）。推荐使用直传模式下的「直接透传字段」，将外部接口的数据直接传递给话术模板。</w:t>
      </w:r>
    </w:p>
    <w:p w14:paraId="223BBFFC">
      <w:pPr>
        <w:pStyle w:val="5"/>
      </w:pPr>
      <w:r>
        <w:t>4.3.1 新建接口</w:t>
      </w:r>
    </w:p>
    <w:p w14:paraId="0E8FC18F">
      <w:pPr>
        <w:spacing w:after="120"/>
      </w:pPr>
      <w:r>
        <w:rPr>
          <w:rFonts w:ascii="微软雅黑" w:hAnsi="微软雅黑" w:eastAsia="微软雅黑"/>
        </w:rPr>
        <w:t>操作步骤：</w:t>
      </w:r>
    </w:p>
    <w:p w14:paraId="01078E57">
      <w:pPr>
        <w:pStyle w:val="16"/>
      </w:pPr>
      <w:r>
        <w:t>点击「新建接口」按钮</w:t>
      </w:r>
    </w:p>
    <w:p w14:paraId="5CEF13EE">
      <w:pPr>
        <w:pStyle w:val="16"/>
      </w:pPr>
      <w:r>
        <w:t>数据来源选择「透传模式（extra_info）」</w:t>
      </w:r>
    </w:p>
    <w:p w14:paraId="0F2DCEF1">
      <w:pPr>
        <w:pStyle w:val="16"/>
      </w:pPr>
      <w:r>
        <w:t>映射方式选择「直接透传字段」（推荐）</w:t>
      </w:r>
    </w:p>
    <w:p w14:paraId="5068B430">
      <w:pPr>
        <w:pStyle w:val="16"/>
      </w:pPr>
      <w:r>
        <w:t>填写节点名称（如 direct_extra_info），节点描述可选</w:t>
      </w:r>
    </w:p>
    <w:p w14:paraId="16355C8C">
      <w:pPr>
        <w:pStyle w:val="16"/>
      </w:pPr>
      <w:r>
        <w:t>节点状态选择「启用」</w:t>
      </w:r>
    </w:p>
    <w:p w14:paraId="41ADF332">
      <w:pPr>
        <w:pStyle w:val="16"/>
      </w:pPr>
      <w:r>
        <w:t>点击「保存」</w:t>
      </w:r>
    </w:p>
    <w:p w14:paraId="0B6DB1FB">
      <w:pPr>
        <w:jc w:val="center"/>
      </w:pPr>
      <w:r>
        <w:drawing>
          <wp:inline distT="0" distB="0" distL="114300" distR="114300">
            <wp:extent cx="5399405" cy="2704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758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4-3：新建接口对话框（透传模式配置）</w:t>
      </w:r>
    </w:p>
    <w:p w14:paraId="4EEF2E5A">
      <w:pPr>
        <w:spacing w:after="120"/>
      </w:pPr>
      <w:r>
        <w:rPr>
          <w:rFonts w:ascii="微软雅黑" w:hAnsi="微软雅黑" w:eastAsia="微软雅黑"/>
        </w:rPr>
        <w:t>保存后，接口将出现在接口节点列表中：</w:t>
      </w:r>
    </w:p>
    <w:p w14:paraId="69BB9727">
      <w:pPr>
        <w:jc w:val="center"/>
      </w:pPr>
      <w:r>
        <w:drawing>
          <wp:inline distT="0" distB="0" distL="114300" distR="114300">
            <wp:extent cx="5399405" cy="2714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9E5F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4-4：接口节点列表（显示已配置的接口及其状态）</w:t>
      </w:r>
    </w:p>
    <w:p w14:paraId="0A0C3B91">
      <w:pPr>
        <w:spacing w:after="120"/>
      </w:pPr>
      <w:r>
        <w:rPr>
          <w:rFonts w:ascii="微软雅黑" w:hAnsi="微软雅黑" w:eastAsia="微软雅黑"/>
        </w:rPr>
        <w:t>⚠️ 注意：如果未勾选任何接口，系统会提示警告但仍可继续。但缺少接口会导致槽位变量无法被填充。</w:t>
      </w:r>
    </w:p>
    <w:p w14:paraId="37E959F0">
      <w:r>
        <w:br w:type="page"/>
      </w:r>
    </w:p>
    <w:p w14:paraId="427577D8">
      <w:pPr>
        <w:pStyle w:val="4"/>
      </w:pPr>
      <w:r>
        <w:t>4.4 Step 3：话术模板配置</w:t>
      </w:r>
    </w:p>
    <w:p w14:paraId="31F537B1">
      <w:pPr>
        <w:spacing w:after="120"/>
      </w:pPr>
      <w:r>
        <w:rPr>
          <w:rFonts w:ascii="微软雅黑" w:hAnsi="微软雅黑" w:eastAsia="微软雅黑"/>
        </w:rPr>
        <w:t>这是最核心的步骤。系统提供两种配置方式：单条配置（逐条添加）和批量导入（CSV 表格一次性导入）。</w:t>
      </w:r>
    </w:p>
    <w:p w14:paraId="0B7401D7">
      <w:pPr>
        <w:pStyle w:val="5"/>
      </w:pPr>
      <w:r>
        <w:t>4.4.1 方式一：单条配置</w:t>
      </w:r>
    </w:p>
    <w:p w14:paraId="2CFDBA2B">
      <w:pPr>
        <w:spacing w:after="120"/>
      </w:pPr>
      <w:r>
        <w:rPr>
          <w:rFonts w:ascii="微软雅黑" w:hAnsi="微软雅黑" w:eastAsia="微软雅黑"/>
        </w:rPr>
        <w:t>适用于模板数量较少（&lt; 5 条）的场景。操作步骤：</w:t>
      </w:r>
    </w:p>
    <w:p w14:paraId="40ACE736">
      <w:pPr>
        <w:pStyle w:val="16"/>
      </w:pPr>
      <w:r>
        <w:t>点击「+ 添加模板」按钮</w:t>
      </w:r>
    </w:p>
    <w:p w14:paraId="33538790">
      <w:pPr>
        <w:pStyle w:val="16"/>
      </w:pPr>
      <w:r>
        <w:t>在弹出的「新建话术模板」对话框中填写：</w:t>
      </w:r>
    </w:p>
    <w:p w14:paraId="4CA3DDA0">
      <w:pPr>
        <w:spacing w:after="120"/>
      </w:pPr>
      <w:r>
        <w:rPr>
          <w:rFonts w:ascii="微软雅黑" w:hAnsi="微软雅黑" w:eastAsia="微软雅黑"/>
          <w:b/>
        </w:rPr>
        <w:t>① 基础信息：</w:t>
      </w:r>
    </w:p>
    <w:p w14:paraId="2B8127D9">
      <w:pPr>
        <w:pStyle w:val="16"/>
      </w:pPr>
      <w:r>
        <w:t>模板意图名称：如「套餐推荐话术_5G升档」</w:t>
      </w:r>
    </w:p>
    <w:p w14:paraId="39780846">
      <w:pPr>
        <w:pStyle w:val="16"/>
      </w:pPr>
      <w:r>
        <w:t>产品 ID：填写具体产品编码，多个用逗号或换行分隔（留空则匹配全部产品）</w:t>
      </w:r>
    </w:p>
    <w:p w14:paraId="783611AD">
      <w:pPr>
        <w:pStyle w:val="16"/>
      </w:pPr>
      <w:r>
        <w:t>应用环节：选择 切入 / 推荐 / 挽留 等</w:t>
      </w:r>
    </w:p>
    <w:p w14:paraId="165C6767">
      <w:pPr>
        <w:pStyle w:val="16"/>
      </w:pPr>
      <w:r>
        <w:t>意图：选择具体业务意图（如「套餐升级」）</w:t>
      </w:r>
    </w:p>
    <w:p w14:paraId="22B33666">
      <w:pPr>
        <w:pStyle w:val="16"/>
      </w:pPr>
      <w:r>
        <w:t xml:space="preserve">关联接口：勾选前面步骤配置的接口（如 </w:t>
      </w:r>
      <w:r>
        <w:rPr>
          <w:highlight w:val="yellow"/>
        </w:rPr>
        <w:t>direct_extra_info</w:t>
      </w:r>
      <w:r>
        <w:t>）</w:t>
      </w:r>
    </w:p>
    <w:p w14:paraId="33F28621">
      <w:pPr>
        <w:jc w:val="center"/>
      </w:pPr>
      <w:r>
        <w:drawing>
          <wp:inline distT="0" distB="0" distL="114300" distR="114300">
            <wp:extent cx="5399405" cy="2715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21AB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4-5：新建话术模板 — 基础信息填写</w:t>
      </w:r>
    </w:p>
    <w:p w14:paraId="1DE85775">
      <w:pPr>
        <w:spacing w:after="120"/>
      </w:pPr>
      <w:r>
        <w:rPr>
          <w:rFonts w:ascii="微软雅黑" w:hAnsi="微软雅黑" w:eastAsia="微软雅黑"/>
          <w:b/>
        </w:rPr>
        <w:t>② 模板内容：</w:t>
      </w:r>
    </w:p>
    <w:p w14:paraId="237A1356">
      <w:pPr>
        <w:pStyle w:val="16"/>
      </w:pPr>
      <w:r>
        <w:t>在「模板内容」文本框中输入话术正文</w:t>
      </w:r>
    </w:p>
    <w:p w14:paraId="65F13332">
      <w:pPr>
        <w:pStyle w:val="16"/>
      </w:pPr>
      <w:r>
        <w:t>槽位变量用 {变量名} 格式标注（如 {actualPrice}、{packageName}）</w:t>
      </w:r>
    </w:p>
    <w:p w14:paraId="5C05C9C3">
      <w:pPr>
        <w:pStyle w:val="16"/>
      </w:pPr>
      <w:r>
        <w:t>系统会自动识别可用变量并在上方提示</w:t>
      </w:r>
    </w:p>
    <w:p w14:paraId="7400212A">
      <w:pPr>
        <w:pStyle w:val="16"/>
      </w:pPr>
      <w:r>
        <w:t>可在「可映射的占位域」中选择变量快速插入</w:t>
      </w:r>
    </w:p>
    <w:p w14:paraId="64DECCA4">
      <w:pPr>
        <w:jc w:val="center"/>
      </w:pPr>
      <w:r>
        <w:drawing>
          <wp:inline distT="0" distB="0" distL="114300" distR="114300">
            <wp:extent cx="5399405" cy="2711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A8C4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4-6：模板内容编辑器（含变量提示与占位域快捷插入）</w:t>
      </w:r>
    </w:p>
    <w:p w14:paraId="72E8FB78">
      <w:pPr>
        <w:spacing w:after="120"/>
      </w:pPr>
      <w:r>
        <w:rPr>
          <w:rFonts w:ascii="微软雅黑" w:hAnsi="微软雅黑" w:eastAsia="微软雅黑"/>
          <w:b/>
        </w:rPr>
        <w:t>③ 话术要求：</w:t>
      </w:r>
    </w:p>
    <w:p w14:paraId="014BD89C">
      <w:pPr>
        <w:pStyle w:val="16"/>
      </w:pPr>
      <w:r>
        <w:t>选择话术要求预设：</w:t>
      </w:r>
      <w:r>
        <w:rPr>
          <w:highlight w:val="yellow"/>
        </w:rPr>
        <w:t>标准 / 精简 / 痛点驱动 / 严谨合规（也可直接编辑自由文本）</w:t>
      </w:r>
    </w:p>
    <w:p w14:paraId="30780CA7">
      <w:pPr>
        <w:pStyle w:val="16"/>
      </w:pPr>
      <w:r>
        <w:t>系统将根据选择自动调整 Prompt 生成策略</w:t>
      </w:r>
    </w:p>
    <w:p w14:paraId="34CD66C2">
      <w:pPr>
        <w:pStyle w:val="16"/>
      </w:pPr>
      <w:r>
        <w:t>右侧可实时预览生成的 Prompt 效果</w:t>
      </w:r>
    </w:p>
    <w:p w14:paraId="4DFB0559">
      <w:pPr>
        <w:jc w:val="center"/>
      </w:pPr>
      <w:r>
        <w:drawing>
          <wp:inline distT="0" distB="0" distL="114300" distR="114300">
            <wp:extent cx="5399405" cy="2719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2827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4-7：话术要求设置与 Prompt 实时预览</w:t>
      </w:r>
    </w:p>
    <w:p w14:paraId="066AF095">
      <w:pPr>
        <w:pStyle w:val="5"/>
      </w:pPr>
      <w:r>
        <w:t>4.4.2 方式二：批量导入（推荐）</w:t>
      </w:r>
    </w:p>
    <w:p w14:paraId="20315E89">
      <w:pPr>
        <w:spacing w:after="120"/>
      </w:pPr>
      <w:r>
        <w:rPr>
          <w:rFonts w:ascii="微软雅黑" w:hAnsi="微软雅黑" w:eastAsia="微软雅黑"/>
        </w:rPr>
        <w:t>适用于模板数量较多（≥ 5 条）的场景，效率更高。操作步骤：</w:t>
      </w:r>
    </w:p>
    <w:p w14:paraId="24D9D199">
      <w:pPr>
        <w:pStyle w:val="16"/>
      </w:pPr>
      <w:r>
        <w:t>在「话术模板」标签页中，点击「导入 CSV」按钮</w:t>
      </w:r>
    </w:p>
    <w:p w14:paraId="454882E6">
      <w:pPr>
        <w:pStyle w:val="16"/>
      </w:pPr>
      <w:r>
        <w:t>先下载 CSV 模板文件（点击「下载 CSV 模板」）</w:t>
      </w:r>
    </w:p>
    <w:p w14:paraId="3E82864F">
      <w:pPr>
        <w:pStyle w:val="16"/>
      </w:pPr>
      <w:r>
        <w:t>按模板格式在 Excel 中编辑话术数据（注意编码 UTF-8）</w:t>
      </w:r>
    </w:p>
    <w:p w14:paraId="0A05A95D">
      <w:pPr>
        <w:pStyle w:val="16"/>
      </w:pPr>
      <w:r>
        <w:t>保存为 .csv 或 .txt 文件</w:t>
      </w:r>
    </w:p>
    <w:p w14:paraId="2587776C">
      <w:pPr>
        <w:pStyle w:val="16"/>
      </w:pPr>
      <w:r>
        <w:t>上传文件并点击「确认导入」</w:t>
      </w:r>
    </w:p>
    <w:p w14:paraId="2D36B36B">
      <w:pPr>
        <w:jc w:val="center"/>
      </w:pPr>
      <w:r>
        <w:drawing>
          <wp:inline distT="0" distB="0" distL="114300" distR="114300">
            <wp:extent cx="5399405" cy="2729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C097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4-8：批量导入入口（点击「导入 CSV」）</w:t>
      </w:r>
    </w:p>
    <w:p w14:paraId="1CA90C40">
      <w:pPr>
        <w:jc w:val="center"/>
      </w:pPr>
      <w:r>
        <w:drawing>
          <wp:inline distT="0" distB="0" distL="114300" distR="114300">
            <wp:extent cx="5399405" cy="2719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82F8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4-9：导入对话框（下载模板 + 上传文件）</w:t>
      </w:r>
    </w:p>
    <w:p w14:paraId="53006EF3">
      <w:pPr>
        <w:spacing w:after="120"/>
      </w:pPr>
      <w:r>
        <w:rPr>
          <w:rFonts w:ascii="微软雅黑" w:hAnsi="微软雅黑" w:eastAsia="微软雅黑"/>
        </w:rPr>
        <w:t>CSV 模板格式说明：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4D12B16">
        <w:trPr>
          <w:jc w:val="center"/>
        </w:trPr>
        <w:tc>
          <w:tcPr>
            <w:tcW w:w="2268" w:type="dxa"/>
            <w:shd w:val="clear" w:color="auto" w:fill="D5E8F0"/>
          </w:tcPr>
          <w:p w14:paraId="4125EAE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列名</w:t>
            </w:r>
          </w:p>
        </w:tc>
        <w:tc>
          <w:tcPr>
            <w:tcW w:w="2268" w:type="dxa"/>
            <w:shd w:val="clear" w:color="auto" w:fill="D5E8F0"/>
          </w:tcPr>
          <w:p w14:paraId="78467B5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是否必填</w:t>
            </w:r>
          </w:p>
        </w:tc>
        <w:tc>
          <w:tcPr>
            <w:tcW w:w="2268" w:type="dxa"/>
            <w:shd w:val="clear" w:color="auto" w:fill="D5E8F0"/>
          </w:tcPr>
          <w:p w14:paraId="273CD6D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268" w:type="dxa"/>
            <w:shd w:val="clear" w:color="auto" w:fill="D5E8F0"/>
          </w:tcPr>
          <w:p w14:paraId="3CF07CC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 w14:paraId="2B35909C">
        <w:trPr>
          <w:jc w:val="center"/>
        </w:trPr>
        <w:tc>
          <w:tcPr>
            <w:tcW w:w="2268" w:type="dxa"/>
          </w:tcPr>
          <w:p w14:paraId="3AA69D93">
            <w:pPr>
              <w:jc w:val="center"/>
            </w:pPr>
            <w:r>
              <w:rPr>
                <w:highlight w:val="yellow"/>
              </w:rPr>
              <w:t>场景分类名称</w:t>
            </w:r>
          </w:p>
        </w:tc>
        <w:tc>
          <w:tcPr>
            <w:tcW w:w="2268" w:type="dxa"/>
          </w:tcPr>
          <w:p w14:paraId="173D1A78">
            <w:pPr>
              <w:jc w:val="left"/>
            </w:pPr>
            <w:r>
              <w:rPr>
                <w:highlight w:val="yellow"/>
              </w:rPr>
              <w:t>选填</w:t>
            </w:r>
          </w:p>
        </w:tc>
        <w:tc>
          <w:tcPr>
            <w:tcW w:w="2268" w:type="dxa"/>
          </w:tcPr>
          <w:p w14:paraId="5A6E0D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模板的分类名称</w:t>
            </w:r>
          </w:p>
        </w:tc>
        <w:tc>
          <w:tcPr>
            <w:tcW w:w="2268" w:type="dxa"/>
          </w:tcPr>
          <w:p w14:paraId="3C3C79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套餐推荐话术_5G升档</w:t>
            </w:r>
          </w:p>
        </w:tc>
      </w:tr>
      <w:tr w14:paraId="3908293E">
        <w:trPr>
          <w:jc w:val="center"/>
        </w:trPr>
        <w:tc>
          <w:tcPr>
            <w:tcW w:w="2268" w:type="dxa"/>
          </w:tcPr>
          <w:p w14:paraId="3F076DA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环节</w:t>
            </w:r>
          </w:p>
        </w:tc>
        <w:tc>
          <w:tcPr>
            <w:tcW w:w="2268" w:type="dxa"/>
          </w:tcPr>
          <w:p w14:paraId="1436478E">
            <w:pPr>
              <w:jc w:val="left"/>
            </w:pPr>
            <w:r>
              <w:rPr>
                <w:highlight w:val="yellow"/>
              </w:rPr>
              <w:t>选填</w:t>
            </w:r>
          </w:p>
        </w:tc>
        <w:tc>
          <w:tcPr>
            <w:tcW w:w="2268" w:type="dxa"/>
          </w:tcPr>
          <w:p w14:paraId="177B19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应用环节</w:t>
            </w:r>
          </w:p>
        </w:tc>
        <w:tc>
          <w:tcPr>
            <w:tcW w:w="2268" w:type="dxa"/>
          </w:tcPr>
          <w:p w14:paraId="3A1855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推荐环节</w:t>
            </w:r>
          </w:p>
        </w:tc>
      </w:tr>
      <w:tr w14:paraId="09FCD6A9">
        <w:trPr>
          <w:jc w:val="center"/>
        </w:trPr>
        <w:tc>
          <w:tcPr>
            <w:tcW w:w="2268" w:type="dxa"/>
          </w:tcPr>
          <w:p w14:paraId="66A3919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意图</w:t>
            </w:r>
          </w:p>
        </w:tc>
        <w:tc>
          <w:tcPr>
            <w:tcW w:w="2268" w:type="dxa"/>
          </w:tcPr>
          <w:p w14:paraId="524FAA20">
            <w:pPr>
              <w:jc w:val="left"/>
            </w:pPr>
            <w:r>
              <w:rPr>
                <w:highlight w:val="yellow"/>
              </w:rPr>
              <w:t>选填</w:t>
            </w:r>
          </w:p>
        </w:tc>
        <w:tc>
          <w:tcPr>
            <w:tcW w:w="2268" w:type="dxa"/>
          </w:tcPr>
          <w:p w14:paraId="49FCBF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业务意图</w:t>
            </w:r>
          </w:p>
        </w:tc>
        <w:tc>
          <w:tcPr>
            <w:tcW w:w="2268" w:type="dxa"/>
          </w:tcPr>
          <w:p w14:paraId="603717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套餐升级</w:t>
            </w:r>
          </w:p>
        </w:tc>
      </w:tr>
      <w:tr w14:paraId="39127B0C">
        <w:trPr>
          <w:jc w:val="center"/>
        </w:trPr>
        <w:tc>
          <w:tcPr>
            <w:tcW w:w="2268" w:type="dxa"/>
          </w:tcPr>
          <w:p w14:paraId="72D48B2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产品ID</w:t>
            </w:r>
          </w:p>
        </w:tc>
        <w:tc>
          <w:tcPr>
            <w:tcW w:w="2268" w:type="dxa"/>
          </w:tcPr>
          <w:p w14:paraId="37CF90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2268" w:type="dxa"/>
          </w:tcPr>
          <w:p w14:paraId="3486BF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产品编码（留空=全产品）</w:t>
            </w:r>
          </w:p>
        </w:tc>
        <w:tc>
          <w:tcPr>
            <w:tcW w:w="2268" w:type="dxa"/>
          </w:tcPr>
          <w:p w14:paraId="1D72FE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prod001</w:t>
            </w:r>
          </w:p>
        </w:tc>
      </w:tr>
      <w:tr w14:paraId="18D32875">
        <w:trPr>
          <w:jc w:val="center"/>
        </w:trPr>
        <w:tc>
          <w:tcPr>
            <w:tcW w:w="2268" w:type="dxa"/>
          </w:tcPr>
          <w:p w14:paraId="74B7E34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话术内容</w:t>
            </w:r>
          </w:p>
        </w:tc>
        <w:tc>
          <w:tcPr>
            <w:tcW w:w="2268" w:type="dxa"/>
          </w:tcPr>
          <w:p w14:paraId="7CAB96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  <w:tc>
          <w:tcPr>
            <w:tcW w:w="2268" w:type="dxa"/>
          </w:tcPr>
          <w:p w14:paraId="3E16F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含{变量}的完整话术</w:t>
            </w:r>
          </w:p>
        </w:tc>
        <w:tc>
          <w:tcPr>
            <w:tcW w:w="2268" w:type="dxa"/>
          </w:tcPr>
          <w:p w14:paraId="5E9A05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您好...{actualPrice}元...</w:t>
            </w:r>
          </w:p>
        </w:tc>
      </w:tr>
      <w:tr w14:paraId="364BC97C">
        <w:trPr>
          <w:jc w:val="center"/>
        </w:trPr>
        <w:tc>
          <w:tcPr>
            <w:tcW w:w="2268" w:type="dxa"/>
          </w:tcPr>
          <w:p w14:paraId="6206DB9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关联变量</w:t>
            </w:r>
          </w:p>
        </w:tc>
        <w:tc>
          <w:tcPr>
            <w:tcW w:w="2268" w:type="dxa"/>
          </w:tcPr>
          <w:p w14:paraId="358D14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w="2268" w:type="dxa"/>
          </w:tcPr>
          <w:p w14:paraId="29CB70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使用的槽位变量（可留空）</w:t>
            </w:r>
          </w:p>
        </w:tc>
        <w:tc>
          <w:tcPr>
            <w:tcW w:w="2268" w:type="dxa"/>
          </w:tcPr>
          <w:p w14:paraId="05812C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</w:t>
            </w:r>
          </w:p>
        </w:tc>
      </w:tr>
      <w:tr w14:paraId="008D4453">
        <w:trPr>
          <w:jc w:val="center"/>
        </w:trPr>
        <w:tc>
          <w:tcPr>
            <w:tcW w:w="2268" w:type="dxa"/>
          </w:tcPr>
          <w:p w14:paraId="3665B98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</w:p>
        </w:tc>
        <w:tc>
          <w:tcPr>
            <w:tcW w:w="2268" w:type="dxa"/>
          </w:tcPr>
          <w:p w14:paraId="1812B8EB">
            <w:pPr>
              <w:jc w:val="left"/>
            </w:pPr>
            <w:r>
              <w:rPr>
                <w:highlight w:val="yellow"/>
              </w:rPr>
              <w:t>选填</w:t>
            </w:r>
          </w:p>
        </w:tc>
        <w:tc>
          <w:tcPr>
            <w:tcW w:w="2268" w:type="dxa"/>
          </w:tcPr>
          <w:p w14:paraId="110FD4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online=生效 offline=不生效</w:t>
            </w:r>
          </w:p>
        </w:tc>
        <w:tc>
          <w:tcPr>
            <w:tcW w:w="2268" w:type="dxa"/>
          </w:tcPr>
          <w:p w14:paraId="6EF6ED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</w:t>
            </w:r>
          </w:p>
        </w:tc>
      </w:tr>
    </w:tbl>
    <w:p w14:paraId="7ED8ACCA"/>
    <w:p w14:paraId="70DD626B">
      <w:pPr>
        <w:jc w:val="center"/>
      </w:pPr>
      <w:r>
        <w:drawing>
          <wp:inline distT="0" distB="0" distL="114300" distR="114300">
            <wp:extent cx="5399405" cy="22371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1B87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4-10：CSV 导入模板 Excel 示例（注意列头必须严格一致）</w:t>
      </w:r>
    </w:p>
    <w:p w14:paraId="4D3EA2C8">
      <w:pPr>
        <w:spacing w:after="120"/>
      </w:pPr>
      <w:r>
        <w:rPr>
          <w:rFonts w:ascii="微软雅黑" w:hAnsi="微软雅黑" w:eastAsia="微软雅黑"/>
        </w:rPr>
        <w:t>⚠️ 编码要求：文件必须使用 UTF-8 编码（Excel 另存为时选择「UTF-8 带签名」）。</w:t>
      </w:r>
    </w:p>
    <w:p w14:paraId="79081C3A">
      <w:pPr>
        <w:spacing w:after="120"/>
      </w:pPr>
      <w:r>
        <w:rPr>
          <w:rFonts w:ascii="微软雅黑" w:hAnsi="微软雅黑" w:eastAsia="微软雅黑"/>
        </w:rPr>
        <w:t>导入或逐条添加后，可在配置详情页看到所有模板的汇总：</w:t>
      </w:r>
    </w:p>
    <w:p w14:paraId="0CBC25F7">
      <w:pPr>
        <w:jc w:val="center"/>
      </w:pPr>
      <w:r>
        <w:drawing>
          <wp:inline distT="0" distB="0" distL="114300" distR="114300">
            <wp:extent cx="5399405" cy="2709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D433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4-11：配置详情页 — 话术模板汇总列表（以广东/营销活动为例）</w:t>
      </w:r>
    </w:p>
    <w:p w14:paraId="3BDE3291">
      <w:pPr>
        <w:spacing w:after="120"/>
      </w:pPr>
      <w:r>
        <w:rPr>
          <w:rFonts w:ascii="微软雅黑" w:hAnsi="微软雅黑" w:eastAsia="微软雅黑"/>
        </w:rPr>
        <w:t>点击某条模板的「编辑」按钮，可查看完整的编辑界面（含基础信息、模板内容、话术要求三个区域）：</w:t>
      </w:r>
    </w:p>
    <w:p w14:paraId="06E989D3">
      <w:pPr>
        <w:jc w:val="center"/>
      </w:pPr>
      <w:r>
        <w:drawing>
          <wp:inline distT="0" distB="0" distL="114300" distR="114300">
            <wp:extent cx="5399405" cy="27362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3D46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4-12：编辑话术模板 — ①基础信息区域</w:t>
      </w:r>
    </w:p>
    <w:p w14:paraId="6E369CDB">
      <w:r>
        <w:br w:type="page"/>
      </w:r>
    </w:p>
    <w:p w14:paraId="33482F43">
      <w:pPr>
        <w:pStyle w:val="4"/>
      </w:pPr>
      <w:r>
        <w:t>4.5 Step 4：发布上线</w:t>
      </w:r>
    </w:p>
    <w:p w14:paraId="0F4F8082">
      <w:pPr>
        <w:spacing w:after="120"/>
      </w:pPr>
      <w:r>
        <w:rPr>
          <w:rFonts w:ascii="微软雅黑" w:hAnsi="微软雅黑" w:eastAsia="微软雅黑"/>
        </w:rPr>
        <w:t>所有模板配置完成后，执行发布操作使配置生效：</w:t>
      </w:r>
    </w:p>
    <w:p w14:paraId="0DADF53B">
      <w:pPr>
        <w:pStyle w:val="16"/>
      </w:pPr>
      <w:r>
        <w:t>确认所有模板均已填写完整且状态正确</w:t>
      </w:r>
    </w:p>
    <w:p w14:paraId="0EAF2AB3">
      <w:pPr>
        <w:pStyle w:val="16"/>
      </w:pPr>
      <w:r>
        <w:t>点击「发布上线」按钮</w:t>
      </w:r>
    </w:p>
    <w:p w14:paraId="79688408">
      <w:pPr>
        <w:pStyle w:val="16"/>
      </w:pPr>
      <w:r>
        <w:t>在发布确认弹窗中：</w:t>
      </w:r>
    </w:p>
    <w:p w14:paraId="67C10F79">
      <w:r>
        <w:t xml:space="preserve">   - </w:t>
      </w:r>
      <w:r>
        <w:rPr>
          <w:highlight w:val="yellow"/>
        </w:rPr>
        <w:t>发布确认：点击「确认发布」后系统自动完成热重载，即时生效、无需重启服务（无额外开关）</w:t>
      </w:r>
    </w:p>
    <w:p w14:paraId="7D0B49C4">
      <w:r>
        <w:t xml:space="preserve">   - </w:t>
      </w:r>
      <w:r>
        <w:rPr>
          <w:highlight w:val="yellow"/>
        </w:rPr>
        <w:t>注意：不支持覆盖已有配置；若提示「已存在同名配置」，请返回修改场景分类名称，或将原配置先「下线」后再操作</w:t>
      </w:r>
    </w:p>
    <w:p w14:paraId="6714486D">
      <w:pPr>
        <w:pStyle w:val="16"/>
      </w:pPr>
      <w:r>
        <w:t>点击「确认发布」</w:t>
      </w:r>
    </w:p>
    <w:p w14:paraId="6BE48921">
      <w:pPr>
        <w:jc w:val="center"/>
      </w:pPr>
      <w:r>
        <w:drawing>
          <wp:inline distT="0" distB="0" distL="114300" distR="114300">
            <wp:extent cx="5399405" cy="2709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345D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4-13：发布确认页面（Step 3：发布上线）</w:t>
      </w:r>
    </w:p>
    <w:p w14:paraId="48C996FB">
      <w:pPr>
        <w:spacing w:after="120"/>
      </w:pPr>
      <w:r>
        <w:rPr>
          <w:rFonts w:ascii="微软雅黑" w:hAnsi="微软雅黑" w:eastAsia="微软雅黑"/>
        </w:rPr>
        <w:t>✅ 发布成功后，配置状态将变为「已发布」，话术即可在前端系统中被正常调用。</w:t>
      </w:r>
    </w:p>
    <w:p w14:paraId="13392A10">
      <w:pPr>
        <w:pStyle w:val="4"/>
      </w:pPr>
      <w:r>
        <w:t>4.6 配置管理（查看 / 编辑 / 下线 / 测试）</w:t>
      </w:r>
    </w:p>
    <w:p w14:paraId="076CE05D">
      <w:pPr>
        <w:spacing w:after="120"/>
      </w:pPr>
      <w:r>
        <w:rPr>
          <w:rFonts w:ascii="微软雅黑" w:hAnsi="微软雅黑" w:eastAsia="微软雅黑"/>
        </w:rPr>
        <w:t>发布后的配置将在列表页展示，支持以下管理操作：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8F8639A">
        <w:trPr>
          <w:jc w:val="center"/>
        </w:trPr>
        <w:tc>
          <w:tcPr>
            <w:tcW w:w="3024" w:type="dxa"/>
            <w:shd w:val="clear" w:color="auto" w:fill="D5E8F0"/>
          </w:tcPr>
          <w:p w14:paraId="2F7EFF5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3024" w:type="dxa"/>
            <w:shd w:val="clear" w:color="auto" w:fill="D5E8F0"/>
          </w:tcPr>
          <w:p w14:paraId="4B0105E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  <w:tc>
          <w:tcPr>
            <w:tcW w:w="3024" w:type="dxa"/>
            <w:shd w:val="clear" w:color="auto" w:fill="D5E8F0"/>
          </w:tcPr>
          <w:p w14:paraId="10AB437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注意事项</w:t>
            </w:r>
          </w:p>
        </w:tc>
      </w:tr>
      <w:tr w14:paraId="438992B9">
        <w:trPr>
          <w:jc w:val="center"/>
        </w:trPr>
        <w:tc>
          <w:tcPr>
            <w:tcW w:w="3024" w:type="dxa"/>
          </w:tcPr>
          <w:p w14:paraId="36D599C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w="3024" w:type="dxa"/>
          </w:tcPr>
          <w:p w14:paraId="5BEE55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模拟调用验证话术输出效果</w:t>
            </w:r>
          </w:p>
        </w:tc>
        <w:tc>
          <w:tcPr>
            <w:tcW w:w="3024" w:type="dxa"/>
          </w:tcPr>
          <w:p w14:paraId="677D18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测试不影响线上环境</w:t>
            </w:r>
          </w:p>
        </w:tc>
      </w:tr>
      <w:tr w14:paraId="3AB596EF">
        <w:trPr>
          <w:jc w:val="center"/>
        </w:trPr>
        <w:tc>
          <w:tcPr>
            <w:tcW w:w="3024" w:type="dxa"/>
          </w:tcPr>
          <w:p w14:paraId="58F12C9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编辑</w:t>
            </w:r>
          </w:p>
        </w:tc>
        <w:tc>
          <w:tcPr>
            <w:tcW w:w="3024" w:type="dxa"/>
          </w:tcPr>
          <w:p w14:paraId="7019D8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修改已发布的配置内容</w:t>
            </w:r>
          </w:p>
        </w:tc>
        <w:tc>
          <w:tcPr>
            <w:tcW w:w="3024" w:type="dxa"/>
          </w:tcPr>
          <w:p w14:paraId="00FE03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修改后需重新发布才生效</w:t>
            </w:r>
          </w:p>
        </w:tc>
      </w:tr>
      <w:tr w14:paraId="1F729A3F">
        <w:trPr>
          <w:jc w:val="center"/>
        </w:trPr>
        <w:tc>
          <w:tcPr>
            <w:tcW w:w="3024" w:type="dxa"/>
          </w:tcPr>
          <w:p w14:paraId="24B367E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下线</w:t>
            </w:r>
          </w:p>
        </w:tc>
        <w:tc>
          <w:tcPr>
            <w:tcW w:w="3024" w:type="dxa"/>
          </w:tcPr>
          <w:p w14:paraId="055912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停止该配置的线上服务</w:t>
            </w:r>
          </w:p>
        </w:tc>
        <w:tc>
          <w:tcPr>
            <w:tcW w:w="3024" w:type="dxa"/>
          </w:tcPr>
          <w:p w14:paraId="690ED6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下线后前端将不再返回该话术</w:t>
            </w:r>
          </w:p>
        </w:tc>
      </w:tr>
      <w:tr w14:paraId="5E5A9251">
        <w:trPr>
          <w:jc w:val="center"/>
        </w:trPr>
        <w:tc>
          <w:tcPr>
            <w:tcW w:w="3024" w:type="dxa"/>
          </w:tcPr>
          <w:p w14:paraId="2056583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</w:t>
            </w:r>
          </w:p>
        </w:tc>
        <w:tc>
          <w:tcPr>
            <w:tcW w:w="3024" w:type="dxa"/>
          </w:tcPr>
          <w:p w14:paraId="38DC29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彻底删除配置记录</w:t>
            </w:r>
          </w:p>
        </w:tc>
        <w:tc>
          <w:tcPr>
            <w:tcW w:w="3024" w:type="dxa"/>
          </w:tcPr>
          <w:p w14:paraId="61906A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仅未发布或已下线的配置可删除</w:t>
            </w:r>
          </w:p>
        </w:tc>
      </w:tr>
      <w:tr w14:paraId="66F0F704">
        <w:trPr>
          <w:jc w:val="center"/>
        </w:trPr>
        <w:tc>
          <w:tcPr>
            <w:tcW w:w="3024" w:type="dxa"/>
          </w:tcPr>
          <w:p w14:paraId="041AB8B1">
            <w:r>
              <w:rPr>
                <w:highlight w:val="yellow"/>
              </w:rPr>
              <w:t>发布</w:t>
            </w:r>
          </w:p>
        </w:tc>
        <w:tc>
          <w:tcPr>
            <w:tcW w:w="3024" w:type="dxa"/>
          </w:tcPr>
          <w:p w14:paraId="2D886C6D">
            <w:r>
              <w:rPr>
                <w:highlight w:val="yellow"/>
              </w:rPr>
              <w:t>将配置发布上线并自动热重载</w:t>
            </w:r>
          </w:p>
        </w:tc>
        <w:tc>
          <w:tcPr>
            <w:tcW w:w="3024" w:type="dxa"/>
          </w:tcPr>
          <w:p w14:paraId="151E2A00">
            <w:r>
              <w:rPr>
                <w:highlight w:val="yellow"/>
              </w:rPr>
              <w:t>发布后配置进入「已发布」状态，可被话术调度引擎调用</w:t>
            </w:r>
          </w:p>
        </w:tc>
      </w:tr>
      <w:tr w14:paraId="15C0C1A1">
        <w:trPr>
          <w:jc w:val="center"/>
        </w:trPr>
        <w:tc>
          <w:tcPr>
            <w:tcW w:w="3024" w:type="dxa"/>
          </w:tcPr>
          <w:p w14:paraId="72DA2F79">
            <w:r>
              <w:rPr>
                <w:highlight w:val="yellow"/>
              </w:rPr>
              <w:t>修复</w:t>
            </w:r>
          </w:p>
        </w:tc>
        <w:tc>
          <w:tcPr>
            <w:tcW w:w="3024" w:type="dxa"/>
          </w:tcPr>
          <w:p w14:paraId="062FF041">
            <w:r>
              <w:rPr>
                <w:highlight w:val="yellow"/>
              </w:rPr>
              <w:t>配置异常时自动校验并修复（补回丢失映射并重新发布）</w:t>
            </w:r>
          </w:p>
        </w:tc>
        <w:tc>
          <w:tcPr>
            <w:tcW w:w="3024" w:type="dxa"/>
          </w:tcPr>
          <w:p w14:paraId="05968577">
            <w:r>
              <w:rPr>
                <w:highlight w:val="yellow"/>
              </w:rPr>
              <w:t>用于配置数据异常后的自愈处理</w:t>
            </w:r>
          </w:p>
        </w:tc>
      </w:tr>
    </w:tbl>
    <w:p w14:paraId="2E3C7D01"/>
    <w:p w14:paraId="1D8B4C56">
      <w:pPr>
        <w:jc w:val="center"/>
      </w:pPr>
      <w:r>
        <w:drawing>
          <wp:inline distT="0" distB="0" distL="114300" distR="114300">
            <wp:extent cx="5399405" cy="2726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A38">
      <w:pPr>
        <w:spacing w:after="24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图 4-14：配置列表页 — 展示各省已发布的配置及操作入口</w:t>
      </w:r>
    </w:p>
    <w:p w14:paraId="59BFB596">
      <w:pPr>
        <w:spacing w:after="120"/>
      </w:pPr>
      <w:r>
        <w:rPr>
          <w:rFonts w:ascii="微软雅黑" w:hAnsi="微软雅黑" w:eastAsia="微软雅黑"/>
        </w:rPr>
        <w:t>📌 数据隔离说明：每个分中心只能看到和管理本省的配置数据，无法跨省查看或操作。</w:t>
      </w:r>
    </w:p>
    <w:p w14:paraId="2540254C">
      <w:r>
        <w:br w:type="page"/>
      </w:r>
    </w:p>
    <w:p w14:paraId="594E73DD">
      <w:r>
        <w:rPr>
          <w:highlight w:val="yellow"/>
        </w:rPr>
        <w:t>📌 新增能力（2026 年 7 月更新）：① 版本历史与回滚——每次发布自动留存版本，可在版本历史中一键回滚；② 修复——配置数据异常时可一键自愈修复（自动补回丢失映射并重新发布）；③ 智能辅助——支持智能填充占位符、自动推断关联变量、智能填充测试参数；④ 快速创建——仅填省份与场景分类即可先建骨架发布，接口与话术后补。</w:t>
      </w:r>
    </w:p>
    <w:p w14:paraId="0D453CB9">
      <w:pPr>
        <w:pStyle w:val="3"/>
      </w:pPr>
      <w:r>
        <w:t>五、常见问题与排错</w:t>
      </w:r>
    </w:p>
    <w:p w14:paraId="57579C0D">
      <w:r>
        <w:rPr>
          <w:rFonts w:ascii="微软雅黑" w:hAnsi="微软雅黑" w:eastAsia="微软雅黑"/>
          <w:b/>
        </w:rPr>
        <w:t>Q1：配置发布后前端没有显示话术？</w:t>
      </w:r>
    </w:p>
    <w:p w14:paraId="7527F339">
      <w:pPr>
        <w:ind w:left="720"/>
      </w:pPr>
      <w:r>
        <w:rPr>
          <w:rFonts w:ascii="微软雅黑" w:hAnsi="微软雅黑" w:eastAsia="微软雅黑"/>
        </w:rPr>
        <w:t>A：请依次排查：① 确认配置状态为「已发布」；② 确认产品 ID 与前端点选的产品一致；③ 确认应用环节和场景意图匹配；④ 检查是否有更精确的匹配规则覆盖了您的配置。</w:t>
      </w:r>
    </w:p>
    <w:p w14:paraId="21D207CA">
      <w:r>
        <w:rPr>
          <w:rFonts w:ascii="微软雅黑" w:hAnsi="微软雅黑" w:eastAsia="微软雅黑"/>
          <w:b/>
        </w:rPr>
        <w:t>Q2：模糊匹配关键词重叠怎么办？</w:t>
      </w:r>
    </w:p>
    <w:p w14:paraId="7C360E23">
      <w:pPr>
        <w:ind w:left="720"/>
      </w:pPr>
      <w:r>
        <w:rPr>
          <w:rFonts w:ascii="微软雅黑" w:hAnsi="微软雅黑" w:eastAsia="微软雅黑"/>
        </w:rPr>
        <w:t>A：当多个配置的关键词存在重叠时，系统无法确定唯一匹配，将返回兜底话术。解决方案：① 使用更精确的关键词避免重叠；② 改用产品 ID 进行精准匹配；③ 合并重叠的配置为一条。</w:t>
      </w:r>
    </w:p>
    <w:p w14:paraId="61F7048F">
      <w:r>
        <w:rPr>
          <w:rFonts w:ascii="微软雅黑" w:hAnsi="微软雅黑" w:eastAsia="微软雅黑"/>
          <w:b/>
        </w:rPr>
        <w:t>Q3：槽位变量没有被替换，原文输出了 {xxx}？</w:t>
      </w:r>
    </w:p>
    <w:p w14:paraId="394840EC">
      <w:pPr>
        <w:ind w:left="720"/>
      </w:pPr>
      <w:r>
        <w:rPr>
          <w:rFonts w:ascii="微软雅黑" w:hAnsi="微软雅黑" w:eastAsia="微软雅黑"/>
        </w:rPr>
        <w:t>A：可能原因：① 未配置接口或接口未启用；② 接口返回数据中缺少该字段；③ 变量名拼写错误（区分大小写）。请检查接口配置和数据源。</w:t>
      </w:r>
    </w:p>
    <w:p w14:paraId="1ED63982">
      <w:r>
        <w:rPr>
          <w:rFonts w:ascii="微软雅黑" w:hAnsi="微软雅黑" w:eastAsia="微软雅黑"/>
          <w:b/>
        </w:rPr>
        <w:t>Q4：批量导入 CSV 报错？</w:t>
      </w:r>
    </w:p>
    <w:p w14:paraId="6283FE8A">
      <w:pPr>
        <w:ind w:left="720"/>
      </w:pPr>
      <w:r>
        <w:rPr>
          <w:rFonts w:ascii="微软雅黑" w:hAnsi="微软雅黑" w:eastAsia="微软雅黑"/>
        </w:rPr>
        <w:t>A：常见原因：① 文件编码不是 UTF-8；② 列头名称与模板不一致；③ 必填列为空；④ 产品 ID 格式错误。请下载最新模板对照检查。</w:t>
      </w:r>
    </w:p>
    <w:p w14:paraId="0B2C4E12">
      <w:r>
        <w:rPr>
          <w:rFonts w:ascii="微软雅黑" w:hAnsi="微软雅黑" w:eastAsia="微软雅黑"/>
          <w:b/>
        </w:rPr>
        <w:t>Q5：如何修改已发布的话术？</w:t>
      </w:r>
    </w:p>
    <w:p w14:paraId="18A23D18">
      <w:pPr>
        <w:ind w:left="720"/>
      </w:pPr>
      <w:r>
        <w:rPr>
          <w:rFonts w:ascii="微软雅黑" w:hAnsi="微软雅黑" w:eastAsia="微软雅黑"/>
        </w:rPr>
        <w:t>A：在列表页找到目标配置 → 点击「编辑」→ 修改内容 → 点击「发布上线」。修改不会立即生效，必须重新发布。建议先在测试环境验证后再发布。</w:t>
      </w:r>
    </w:p>
    <w:p w14:paraId="53F32223">
      <w:r>
        <w:rPr>
          <w:rFonts w:ascii="微软雅黑" w:hAnsi="微软雅黑" w:eastAsia="微软雅黑"/>
          <w:b/>
        </w:rPr>
        <w:t>Q6：一个省份可以配置多少个意图？</w:t>
      </w:r>
    </w:p>
    <w:p w14:paraId="2C493C50">
      <w:pPr>
        <w:ind w:left="720"/>
      </w:pPr>
      <w:r>
        <w:rPr>
          <w:rFonts w:ascii="微软雅黑" w:hAnsi="微软雅黑" w:eastAsia="微软雅黑"/>
        </w:rPr>
        <w:t>A：无硬性数量限制。但建议按业务场景合理规划，每个意图下的模板数量建议控制在 50 条以内以保证维护效率。</w:t>
      </w:r>
    </w:p>
    <w:p w14:paraId="0628B41B">
      <w:pPr>
        <w:pStyle w:val="3"/>
      </w:pPr>
      <w:r>
        <w:t>六、最佳实践建议</w:t>
      </w:r>
    </w:p>
    <w:p w14:paraId="0CB33933">
      <w:r>
        <w:rPr>
          <w:rFonts w:ascii="微软雅黑" w:hAnsi="微软雅黑" w:eastAsia="微软雅黑"/>
          <w:b/>
        </w:rPr>
        <w:t>✅ 先梳理再动手</w:t>
      </w:r>
    </w:p>
    <w:p w14:paraId="384608DA">
      <w:pPr>
        <w:ind w:left="720"/>
      </w:pPr>
      <w:r>
        <w:rPr>
          <w:rFonts w:ascii="微软雅黑" w:hAnsi="微软雅黑" w:eastAsia="微软雅黑"/>
        </w:rPr>
        <w:t>在登录平台前，先用 Excel 完成话术模板和接口字段的梳理工作，明确每个场景需要哪些模板、哪些槽位变量。</w:t>
      </w:r>
    </w:p>
    <w:p w14:paraId="31FD5C15">
      <w:r>
        <w:rPr>
          <w:rFonts w:ascii="微软雅黑" w:hAnsi="微软雅黑" w:eastAsia="微软雅黑"/>
          <w:b/>
        </w:rPr>
        <w:t>✅ 优先使用产品 ID 精准匹配</w:t>
      </w:r>
    </w:p>
    <w:p w14:paraId="0DD19DB3">
      <w:pPr>
        <w:ind w:left="720"/>
      </w:pPr>
      <w:r>
        <w:rPr>
          <w:rFonts w:ascii="微软雅黑" w:hAnsi="微软雅黑" w:eastAsia="微软雅黑"/>
        </w:rPr>
        <w:t>尽量获取准确的产品 ID 进行精准匹配，避免使用模糊关键词带来的不确定性。</w:t>
      </w:r>
    </w:p>
    <w:p w14:paraId="2A0BE8D1">
      <w:r>
        <w:rPr>
          <w:rFonts w:ascii="微软雅黑" w:hAnsi="微软雅黑" w:eastAsia="微软雅黑"/>
          <w:b/>
        </w:rPr>
        <w:t>✅ 小步快跑，分批上线</w:t>
      </w:r>
    </w:p>
    <w:p w14:paraId="6350015F">
      <w:pPr>
        <w:ind w:left="720"/>
      </w:pPr>
      <w:r>
        <w:rPr>
          <w:rFonts w:ascii="微软雅黑" w:hAnsi="微软雅黑" w:eastAsia="微软雅黑"/>
        </w:rPr>
        <w:t>建议先配置 1-2 个典型场景验证全流程通畅后，再批量扩展其他场景。</w:t>
      </w:r>
    </w:p>
    <w:p w14:paraId="66999720">
      <w:r>
        <w:rPr>
          <w:rFonts w:ascii="微软雅黑" w:hAnsi="微软雅黑" w:eastAsia="微软雅黑"/>
          <w:b/>
        </w:rPr>
        <w:t>✅ 做好版本管理</w:t>
      </w:r>
    </w:p>
    <w:p w14:paraId="77B912BF">
      <w:pPr>
        <w:ind w:left="720"/>
      </w:pPr>
      <w:r>
        <w:rPr>
          <w:rFonts w:ascii="微软雅黑" w:hAnsi="微软雅黑" w:eastAsia="微软雅黑"/>
        </w:rPr>
        <w:t>每次重大修改递增版本号，保留历史版本的备份记录，便于回滚。</w:t>
      </w:r>
    </w:p>
    <w:p w14:paraId="669C6CB0">
      <w:r>
        <w:rPr>
          <w:rFonts w:ascii="微软雅黑" w:hAnsi="微软雅黑" w:eastAsia="微软雅黑"/>
          <w:b/>
        </w:rPr>
        <w:t>✅ 测试环境先行</w:t>
      </w:r>
    </w:p>
    <w:p w14:paraId="56E839F9">
      <w:pPr>
        <w:ind w:left="720"/>
      </w:pPr>
      <w:r>
        <w:rPr>
          <w:rFonts w:ascii="微软雅黑" w:hAnsi="微软雅黑" w:eastAsia="微软雅黑"/>
        </w:rPr>
        <w:t>生产环境发布前，务必在测试环境完成充分的功能验证和效果验收。</w:t>
      </w:r>
    </w:p>
    <w:p w14:paraId="4886D4A0">
      <w:r>
        <w:rPr>
          <w:rFonts w:ascii="微软雅黑" w:hAnsi="微软雅黑" w:eastAsia="微软雅黑"/>
          <w:b/>
        </w:rPr>
        <w:t>✅ 统一命名规范</w:t>
      </w:r>
    </w:p>
    <w:p w14:paraId="37D0C071">
      <w:pPr>
        <w:ind w:left="720"/>
      </w:pPr>
      <w:r>
        <w:rPr>
          <w:rFonts w:ascii="微软雅黑" w:hAnsi="微软雅黑" w:eastAsia="微软雅黑"/>
        </w:rPr>
        <w:t>建议采用「省份_场景_环节_序号」的命名规范（如 guangdong_营销活动_开口_01），便于检索和维护。</w:t>
      </w:r>
    </w:p>
    <w:p w14:paraId="0A11089A">
      <w:r>
        <w:rPr>
          <w:rFonts w:ascii="微软雅黑" w:hAnsi="微软雅黑" w:eastAsia="微软雅黑"/>
          <w:b/>
        </w:rPr>
        <w:t>❌ 避免关键词重叠</w:t>
      </w:r>
    </w:p>
    <w:p w14:paraId="2BFF991C">
      <w:pPr>
        <w:ind w:left="720"/>
      </w:pPr>
      <w:r>
        <w:rPr>
          <w:rFonts w:ascii="微软雅黑" w:hAnsi="微软雅黑" w:eastAsia="微软雅黑"/>
        </w:rPr>
        <w:t>使用模糊匹配时，务必全局排查所有配置的关键词，确保无重叠。</w:t>
      </w:r>
    </w:p>
    <w:p w14:paraId="636F2206">
      <w:r>
        <w:rPr>
          <w:rFonts w:ascii="微软雅黑" w:hAnsi="微软雅黑" w:eastAsia="微软雅黑"/>
          <w:b/>
        </w:rPr>
        <w:t>❌ 不要跳过接口配置</w:t>
      </w:r>
    </w:p>
    <w:p w14:paraId="4BF50580">
      <w:pPr>
        <w:ind w:left="720"/>
      </w:pPr>
      <w:r>
        <w:rPr>
          <w:rFonts w:ascii="微软雅黑" w:hAnsi="微软雅黑" w:eastAsia="微软雅黑"/>
        </w:rPr>
        <w:t>即使当前不需要动态参数，也建议配置好接口结构，为后续扩展预留空间。</w:t>
      </w:r>
    </w:p>
    <w:p w14:paraId="4CF982BA">
      <w:r>
        <w:br w:type="page"/>
      </w:r>
    </w:p>
    <w:p w14:paraId="011AA600">
      <w:pPr>
        <w:pStyle w:val="3"/>
      </w:pPr>
      <w:r>
        <w:t>附录 A：字段速查表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AE2C375">
        <w:trPr>
          <w:jc w:val="center"/>
        </w:trPr>
        <w:tc>
          <w:tcPr>
            <w:tcW w:w="2268" w:type="dxa"/>
            <w:shd w:val="clear" w:color="auto" w:fill="D5E8F0"/>
          </w:tcPr>
          <w:p w14:paraId="185A10BF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2268" w:type="dxa"/>
            <w:shd w:val="clear" w:color="auto" w:fill="D5E8F0"/>
          </w:tcPr>
          <w:p w14:paraId="6D9F83A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268" w:type="dxa"/>
            <w:shd w:val="clear" w:color="auto" w:fill="D5E8F0"/>
          </w:tcPr>
          <w:p w14:paraId="7A4BB31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2268" w:type="dxa"/>
            <w:shd w:val="clear" w:color="auto" w:fill="D5E8F0"/>
          </w:tcPr>
          <w:p w14:paraId="36909A6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取值说明</w:t>
            </w:r>
          </w:p>
        </w:tc>
      </w:tr>
      <w:tr w14:paraId="34B0F4B6">
        <w:trPr>
          <w:jc w:val="center"/>
        </w:trPr>
        <w:tc>
          <w:tcPr>
            <w:tcW w:w="2268" w:type="dxa"/>
          </w:tcPr>
          <w:p w14:paraId="54D11B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省份</w:t>
            </w:r>
          </w:p>
        </w:tc>
        <w:tc>
          <w:tcPr>
            <w:tcW w:w="2268" w:type="dxa"/>
          </w:tcPr>
          <w:p w14:paraId="5CD611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基本信息</w:t>
            </w:r>
          </w:p>
        </w:tc>
        <w:tc>
          <w:tcPr>
            <w:tcW w:w="2268" w:type="dxa"/>
          </w:tcPr>
          <w:p w14:paraId="275996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2268" w:type="dxa"/>
          </w:tcPr>
          <w:p w14:paraId="605B57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下拉选择本省</w:t>
            </w:r>
          </w:p>
        </w:tc>
      </w:tr>
      <w:tr w14:paraId="7E729944">
        <w:trPr>
          <w:jc w:val="center"/>
        </w:trPr>
        <w:tc>
          <w:tcPr>
            <w:tcW w:w="2268" w:type="dxa"/>
          </w:tcPr>
          <w:p w14:paraId="1279AED1">
            <w:pPr>
              <w:jc w:val="center"/>
            </w:pPr>
            <w:r>
              <w:rPr>
                <w:highlight w:val="yellow"/>
              </w:rPr>
              <w:t>场景分类</w:t>
            </w:r>
          </w:p>
        </w:tc>
        <w:tc>
          <w:tcPr>
            <w:tcW w:w="2268" w:type="dxa"/>
          </w:tcPr>
          <w:p w14:paraId="3B1740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基本信息</w:t>
            </w:r>
          </w:p>
        </w:tc>
        <w:tc>
          <w:tcPr>
            <w:tcW w:w="2268" w:type="dxa"/>
          </w:tcPr>
          <w:p w14:paraId="75D68B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2268" w:type="dxa"/>
          </w:tcPr>
          <w:p w14:paraId="5507EB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套餐升级、流量包推荐</w:t>
            </w:r>
          </w:p>
        </w:tc>
      </w:tr>
      <w:tr w14:paraId="07D6FF0F">
        <w:trPr>
          <w:jc w:val="center"/>
        </w:trPr>
        <w:tc>
          <w:tcPr>
            <w:tcW w:w="2268" w:type="dxa"/>
          </w:tcPr>
          <w:p w14:paraId="0F04469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 ID</w:t>
            </w:r>
          </w:p>
        </w:tc>
        <w:tc>
          <w:tcPr>
            <w:tcW w:w="2268" w:type="dxa"/>
          </w:tcPr>
          <w:p w14:paraId="1EF50A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</w:t>
            </w:r>
          </w:p>
        </w:tc>
        <w:tc>
          <w:tcPr>
            <w:tcW w:w="2268" w:type="dxa"/>
          </w:tcPr>
          <w:p w14:paraId="0FDB9F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⭕</w:t>
            </w:r>
          </w:p>
        </w:tc>
        <w:tc>
          <w:tcPr>
            <w:tcW w:w="2268" w:type="dxa"/>
          </w:tcPr>
          <w:p w14:paraId="11ECA1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精准匹配用，多值逗号/换行分隔</w:t>
            </w:r>
          </w:p>
        </w:tc>
      </w:tr>
      <w:tr w14:paraId="36273075">
        <w:trPr>
          <w:jc w:val="center"/>
        </w:trPr>
        <w:tc>
          <w:tcPr>
            <w:tcW w:w="2268" w:type="dxa"/>
          </w:tcPr>
          <w:p w14:paraId="15961DA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应用环节</w:t>
            </w:r>
          </w:p>
        </w:tc>
        <w:tc>
          <w:tcPr>
            <w:tcW w:w="2268" w:type="dxa"/>
          </w:tcPr>
          <w:p w14:paraId="3CC129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</w:t>
            </w:r>
          </w:p>
        </w:tc>
        <w:tc>
          <w:tcPr>
            <w:tcW w:w="2268" w:type="dxa"/>
          </w:tcPr>
          <w:p w14:paraId="76ABAB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⭕</w:t>
            </w:r>
          </w:p>
        </w:tc>
        <w:tc>
          <w:tcPr>
            <w:tcW w:w="2268" w:type="dxa"/>
          </w:tcPr>
          <w:p w14:paraId="73415BD3">
            <w:pPr>
              <w:jc w:val="left"/>
            </w:pPr>
            <w:r>
              <w:rPr>
                <w:highlight w:val="yellow"/>
              </w:rPr>
              <w:t>切入环节 / 推荐环节 / 异议处理 / 促成成交（自由文本）</w:t>
            </w:r>
          </w:p>
        </w:tc>
      </w:tr>
      <w:tr w14:paraId="357024AF">
        <w:trPr>
          <w:jc w:val="center"/>
        </w:trPr>
        <w:tc>
          <w:tcPr>
            <w:tcW w:w="2268" w:type="dxa"/>
          </w:tcPr>
          <w:p w14:paraId="3EE7329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意图</w:t>
            </w:r>
          </w:p>
        </w:tc>
        <w:tc>
          <w:tcPr>
            <w:tcW w:w="2268" w:type="dxa"/>
          </w:tcPr>
          <w:p w14:paraId="08D053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</w:t>
            </w:r>
          </w:p>
        </w:tc>
        <w:tc>
          <w:tcPr>
            <w:tcW w:w="2268" w:type="dxa"/>
          </w:tcPr>
          <w:p w14:paraId="30EB55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⭕</w:t>
            </w:r>
          </w:p>
        </w:tc>
        <w:tc>
          <w:tcPr>
            <w:tcW w:w="2268" w:type="dxa"/>
          </w:tcPr>
          <w:p w14:paraId="2B3BEF45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如：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不同意等等</w:t>
            </w:r>
            <w:bookmarkStart w:id="0" w:name="_GoBack"/>
            <w:bookmarkEnd w:id="0"/>
          </w:p>
        </w:tc>
      </w:tr>
      <w:tr w14:paraId="4A205109">
        <w:trPr>
          <w:jc w:val="center"/>
        </w:trPr>
        <w:tc>
          <w:tcPr>
            <w:tcW w:w="2268" w:type="dxa"/>
          </w:tcPr>
          <w:p w14:paraId="34067AE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模板内容</w:t>
            </w:r>
          </w:p>
        </w:tc>
        <w:tc>
          <w:tcPr>
            <w:tcW w:w="2268" w:type="dxa"/>
          </w:tcPr>
          <w:p w14:paraId="1BBBA0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</w:t>
            </w:r>
          </w:p>
        </w:tc>
        <w:tc>
          <w:tcPr>
            <w:tcW w:w="2268" w:type="dxa"/>
          </w:tcPr>
          <w:p w14:paraId="75E280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2268" w:type="dxa"/>
          </w:tcPr>
          <w:p w14:paraId="310156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含{变量}的话术文本</w:t>
            </w:r>
          </w:p>
        </w:tc>
      </w:tr>
      <w:tr w14:paraId="055662EF">
        <w:trPr>
          <w:jc w:val="center"/>
        </w:trPr>
        <w:tc>
          <w:tcPr>
            <w:tcW w:w="2268" w:type="dxa"/>
          </w:tcPr>
          <w:p w14:paraId="468CDD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关联接口</w:t>
            </w:r>
          </w:p>
        </w:tc>
        <w:tc>
          <w:tcPr>
            <w:tcW w:w="2268" w:type="dxa"/>
          </w:tcPr>
          <w:p w14:paraId="15F151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</w:t>
            </w:r>
          </w:p>
        </w:tc>
        <w:tc>
          <w:tcPr>
            <w:tcW w:w="2268" w:type="dxa"/>
          </w:tcPr>
          <w:p w14:paraId="6E322A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⭕</w:t>
            </w:r>
          </w:p>
        </w:tc>
        <w:tc>
          <w:tcPr>
            <w:tcW w:w="2268" w:type="dxa"/>
          </w:tcPr>
          <w:p w14:paraId="21BA8C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勾选已配置的接口节点</w:t>
            </w:r>
          </w:p>
        </w:tc>
      </w:tr>
      <w:tr w14:paraId="23919148">
        <w:trPr>
          <w:jc w:val="center"/>
        </w:trPr>
        <w:tc>
          <w:tcPr>
            <w:tcW w:w="2268" w:type="dxa"/>
          </w:tcPr>
          <w:p w14:paraId="49FFF30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</w:p>
        </w:tc>
        <w:tc>
          <w:tcPr>
            <w:tcW w:w="2268" w:type="dxa"/>
          </w:tcPr>
          <w:p w14:paraId="12177CA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</w:t>
            </w:r>
          </w:p>
        </w:tc>
        <w:tc>
          <w:tcPr>
            <w:tcW w:w="2268" w:type="dxa"/>
          </w:tcPr>
          <w:p w14:paraId="17AEE3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2268" w:type="dxa"/>
          </w:tcPr>
          <w:p w14:paraId="3A8910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 / offline</w:t>
            </w:r>
          </w:p>
        </w:tc>
      </w:tr>
    </w:tbl>
    <w:p w14:paraId="790A9E08"/>
    <w:p w14:paraId="04F9B4D0">
      <w:pPr>
        <w:pStyle w:val="3"/>
      </w:pPr>
      <w:r>
        <w:t>附录 B：联系方式与技术支持</w:t>
      </w:r>
    </w:p>
    <w:p w14:paraId="654FA2BB">
      <w:pPr>
        <w:spacing w:after="120"/>
      </w:pPr>
      <w:r>
        <w:rPr>
          <w:rFonts w:ascii="微软雅黑" w:hAnsi="微软雅黑" w:eastAsia="微软雅黑"/>
        </w:rPr>
        <w:t>如在配置过程中遇到技术问题，可通过以下渠道获取支持：</w:t>
      </w:r>
    </w:p>
    <w:p w14:paraId="23125E9E">
      <w:pPr>
        <w:pStyle w:val="16"/>
      </w:pPr>
      <w:r>
        <w:t>技术支撑团队：请联系灵运平台 AI 能力工厂运维组</w:t>
      </w:r>
    </w:p>
    <w:p w14:paraId="4E8B55C1">
      <w:pPr>
        <w:pStyle w:val="16"/>
      </w:pPr>
      <w:r>
        <w:t>问题反馈渠道：通过灵运平台内「意见反馈」功能提交</w:t>
      </w:r>
    </w:p>
    <w:p w14:paraId="21FEC2ED">
      <w:pPr>
        <w:pStyle w:val="16"/>
      </w:pPr>
      <w:r>
        <w:t>培训交流群：各分中心运营对接人拉群沟通</w:t>
      </w:r>
    </w:p>
    <w:p w14:paraId="6216E166">
      <w:pPr>
        <w:pStyle w:val="16"/>
      </w:pPr>
      <w:r>
        <w:t>文档更新：本手册将随平台功能迭代持续更新，请关注最新版本</w:t>
      </w:r>
    </w:p>
    <w:p w14:paraId="51C87C41"/>
    <w:p w14:paraId="51FA4AC1">
      <w:pPr>
        <w:jc w:val="center"/>
      </w:pPr>
      <w:r>
        <w:rPr>
          <w:rFonts w:ascii="微软雅黑" w:hAnsi="微软雅黑" w:eastAsia="微软雅黑"/>
          <w:i/>
          <w:color w:val="999999"/>
          <w:sz w:val="20"/>
        </w:rPr>
        <w:t>— 全文完 —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F507D"/>
    <w:rsid w:val="6C7F1F2E"/>
    <w:rsid w:val="BFF7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2E75B6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2E75B6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0404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Reeves</cp:lastModifiedBy>
  <dcterms:modified xsi:type="dcterms:W3CDTF">2026-07-24T09:17:08Z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DAF2345FE45226F8AABC626A57B6B597_42</vt:lpwstr>
  </property>
</Properties>
</file>