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2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pStyle w:val="Heading2"/>
        <w:spacing w:before="60" w:after="60" w:line="330" w:lineRule="auto"/>
      </w:pPr>
      <w:r>
        <w:rPr>
          <w:b/>
          <w:sz w:val="28"/>
          <w:rFonts w:ascii="Times New Roman" w:hAnsi="Times New Roman" w:eastAsia="宋体"/>
        </w:rPr>
        <w:t xml:space="preserve">第3周（2026-01-12 至 2026-01-18）：搭建转换环境并核对输出结构</w:t>
      </w:r>
    </w:p>
    <w:p>
      <w:pPr>
        <w:spacing w:before="60" w:after="60" w:line="330" w:lineRule="auto"/>
      </w:pPr>
      <w:r>
        <w:rPr>
          <w:sz w:val="24"/>
          <w:rFonts w:ascii="Times New Roman" w:hAnsi="Times New Roman" w:eastAsia="宋体"/>
        </w:rPr>
        <w:t xml:space="preserve">本周在 PC/WSL 环境中搭建模型转换和初步测试环境，重点核对 ONNX 输出结构与后处理代码之间的对应关系。调试时发现，模型转换为 RKNN 并不代表一定能在板端稳定运行，输出张量结构必须和 C++ 后处理保持一致。因此我开始把单类别输出、置信度阈值和坐标还原逻辑作为后续排查重点。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