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60" w:after="60" w:line="330" w:lineRule="auto"/>
      </w:pPr>
      <w:r>
        <w:rPr>
          <w:b/>
          <w:sz w:val="32"/>
          <w:rFonts w:ascii="Times New Roman" w:hAnsi="Times New Roman" w:eastAsia="宋体"/>
        </w:rPr>
        <w:t xml:space="preserve">毕业设计周记</w:t>
      </w:r>
    </w:p>
    <w:p>
      <w:pPr>
        <w:jc w:val="center"/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题目：基于嵌入式平台的目标检测系统研究</w:t>
      </w:r>
    </w:p>
    <w:p>
      <w:pPr>
        <w:pStyle w:val="Heading2"/>
        <w:spacing w:before="60" w:after="60" w:line="330" w:lineRule="auto"/>
      </w:pPr>
      <w:r>
        <w:rPr>
          <w:b/>
          <w:sz w:val="28"/>
          <w:rFonts w:ascii="Times New Roman" w:hAnsi="Times New Roman" w:eastAsia="宋体"/>
        </w:rPr>
        <w:t xml:space="preserve">第5周（2026-03-02 至 2026-03-08）：完成 RKNN 固定视频验证</w:t>
      </w:r>
    </w:p>
    <w:p>
      <w:pPr>
        <w:spacing w:before="60" w:after="60" w:line="330" w:lineRule="auto"/>
      </w:pPr>
      <w:r>
        <w:rPr>
          <w:sz w:val="24"/>
          <w:rFonts w:ascii="Times New Roman" w:hAnsi="Times New Roman" w:eastAsia="宋体"/>
        </w:rPr>
        <w:t xml:space="preserve">本周对无人机 RKNN 模型进行板端验证。早期模型在 rknn_run 阶段曾出现异常，后来通过调整 ONNX 导出方式为 end2end=False，并让输出保持为 1 x 5 x 8400 后，C++ 后处理能够正确解析候选框。固定公开视频测试中已经能够生成带框视频和逐帧 CSV 记录，这说明模型迁移链路基本建立起来了。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360" w:lineRule="auto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qFormat/>
    <w:pPr>
      <w:jc w:val="center"/>
      <w:spacing w:before="240" w:after="240"/>
    </w:pPr>
    <w:rPr>
      <w:b/>
      <w:rFonts w:ascii="Times New Roman" w:hAnsi="Times New Roman" w:eastAsia="黑体"/>
      <w:sz w:val="32"/>
    </w:rPr>
  </w:style>
  <w:style w:type="paragraph" w:styleId="Heading2">
    <w:name w:val="heading 2"/>
    <w:basedOn w:val="Normal"/>
    <w:qFormat/>
    <w:pPr>
      <w:spacing w:before="180" w:after="80"/>
    </w:pPr>
    <w:rPr>
      <w:b/>
      <w:rFonts w:ascii="Times New Roman" w:hAnsi="Times New Roman" w:eastAsia="黑体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