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524"/>
            <w:shd w:fill="1F4E7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项目开发计划书配套文档</w:t>
            </w:r>
          </w:p>
        </w:tc>
      </w:tr>
    </w:tbl>
    <w:p/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学校 ERP 系统（微服务版）</w:t>
      </w:r>
    </w:p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/>
          <w:color w:val="2F75B5"/>
          <w:sz w:val="36"/>
        </w:rPr>
        <w:t>正式版目录结构与 26 周甘特图排期</w:t>
      </w:r>
    </w:p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color w:val="637381"/>
          <w:sz w:val="24"/>
        </w:rPr>
        <w:t>（一期上线版）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项目名称</w:t>
            </w:r>
          </w:p>
        </w:tc>
        <w:tc>
          <w:tcPr>
            <w:tcW w:type="dxa" w:w="6520"/>
            <w:shd w:fill="F7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学校 ERP 系统（微服务版）一期建设项目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文档内容</w:t>
            </w:r>
          </w:p>
        </w:tc>
        <w:tc>
          <w:tcPr>
            <w:tcW w:type="dxa" w:w="65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正式版目录结构、26 周甘特图排期、里程碑节点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适用场景</w:t>
            </w:r>
          </w:p>
        </w:tc>
        <w:tc>
          <w:tcPr>
            <w:tcW w:type="dxa" w:w="6520"/>
            <w:shd w:fill="F7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立项汇报、项目评审、内部排期基线、周会跟踪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项目周期</w:t>
            </w:r>
          </w:p>
        </w:tc>
        <w:tc>
          <w:tcPr>
            <w:tcW w:type="dxa" w:w="6520"/>
            <w:shd w:fill="FFFFFF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6 个月 / 26 周</w:t>
            </w:r>
          </w:p>
        </w:tc>
      </w:tr>
      <w:tr>
        <w:tc>
          <w:tcPr>
            <w:tcW w:type="dxa" w:w="2268"/>
            <w:shd w:fill="D9EAF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备注</w:t>
            </w:r>
          </w:p>
        </w:tc>
        <w:tc>
          <w:tcPr>
            <w:tcW w:type="dxa" w:w="6520"/>
            <w:shd w:fill="F7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21"/>
              </w:rPr>
              <w:t>本版不含人员投入表，可直接并入正式计划书作为目录与排期章节</w:t>
            </w:r>
          </w:p>
        </w:tc>
      </w:tr>
    </w:tbl>
    <w:p/>
    <w:p>
      <w:pPr>
        <w:spacing w:before="0" w:after="40" w:line="300" w:lineRule="auto"/>
        <w:jc w:val="center"/>
      </w:pPr>
      <w:r>
        <w:rPr>
          <w:rFonts w:ascii="Noto Sans CJK SC" w:hAnsi="Noto Sans CJK SC" w:eastAsia="Noto Sans CJK SC"/>
          <w:b w:val="0"/>
          <w:color w:val="637381"/>
          <w:sz w:val="20"/>
        </w:rPr>
        <w:t>编制日期：2026 年 4 月 16 日</w:t>
      </w:r>
    </w:p>
    <w:p>
      <w:r>
        <w:br w:type="page"/>
      </w:r>
    </w:p>
    <w:p>
      <w:pPr>
        <w:pStyle w:val="Heading1"/>
      </w:pPr>
      <w:r>
        <w:t>1. 文档说明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本文档用于将前期确认的《学校 ERP 系统（微服务版）6 个月开发计划》整理为适合立项、评审和项目管理使用的 Word 正式版结构，重点输出“正式版目录结构”和“26 周甘特图排期”两部分内容，便于项目组直接纳入正式计划书正文并作为后续执行基线。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24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4151"/>
                <w:sz w:val="20"/>
              </w:rPr>
              <w:t>使用方式：</w:t>
            </w:r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1）目录结构可直接作为正式版计划书的正文目录；2）甘特图可直接用于周会、月度汇报和里程碑跟踪；3）若后续要扩展为完整计划书，只需在对应章节下补充正文内容即可。</w:t>
            </w:r>
          </w:p>
        </w:tc>
      </w:tr>
    </w:tbl>
    <w:p>
      <w:pPr>
        <w:pStyle w:val="Heading1"/>
      </w:pPr>
      <w:r>
        <w:t>2. 正式版目录结构总览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以下目录结构可直接作为《学校 ERP 系统（微服务版）项目开发计划书》正式版正文目录使用，已按项目实施逻辑完成章节拆分，适合评审、汇报和后续扩写。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778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章节名称</w:t>
            </w:r>
          </w:p>
        </w:tc>
        <w:tc>
          <w:tcPr>
            <w:tcW w:type="dxa" w:w="4989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主要内容说明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项目概述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说明项目背景、建设目标、适用范围和边界条件。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编制目的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明确本计划书的用途、使用对象和控制基线。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项目背景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说明学校信息化现状、建设动因和问题痛点。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项目目标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定义一期上线目标、业务目标和技术目标。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实施范围与边界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说明纳入范围、排除范围和阶段边界。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术语定义与缩略语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统一 ERP、MVP、UAT、RC 等术语口径。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建设范围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界定一期功能、延期功能和外部接口范围。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2.1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一期功能范围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列明登录权限、基础档案、教务、审批、收费、消息等模块。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2.2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一期不纳入范围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明确宿舍、图书、薪酬、BI、大型低代码等内容延期。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2.3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外部系统接口范围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说明短信、企业微信/钉钉、支付或银校接口等对接边界。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总体建设方案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给出总体架构、服务划分和部署思路。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总体架构设计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说明网关、服务层、数据层和公共能力层结构。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微服务拆分方案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界定认证权限、基础数据、教务、审批、收费、消息等核心服务。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环境规划与部署架构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说明开发、测试、预发、生产环境及部署方式。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数据库与中间件规划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 PostgreSQL、Redis、消息队列、对象存储等选型。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3.5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安全、审计与权限控制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说明鉴权、数据权限、操作审计和敏感数据处理策略。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项目实施计划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给出阶段划分、排期、里程碑和交付物安排。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阶段划分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按 26 周划分为蓝图、建设、联调、试点和上线阶段。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26 周甘特图排期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展示关键工作包在 26 周内的时间分布和重叠关系。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里程碑计划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定义第 4、8、12、16、22、26 周的关键节点。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4.4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交付物计划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说明各阶段要形成的文档、版本和演示成果。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需求与产品设计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覆盖业务调研、流程设计、原型和数据模型。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业务调研与现状分析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梳理现有线下流程、旧系统和 Excel 数据来源。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流程梳理与差距分析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形成 As-Is / To-Be 流程并识别差距。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页面原型设计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输出管理端与教师端的核心页面原型。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数据模型设计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定义教师、学生、课程、账单、审批单等主实体。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5.5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编码与字段规则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约束主键、状态、字典、导入模板和唯一性规则。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6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平台底座建设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建设统一入口、认证权限和公共能力。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网关与统一入口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实现统一路由、鉴权、限流和服务暴露。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认证与权限中心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实现账号、角色、菜单和数据权限管理。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日志、监控、告警与链路追踪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建设运维可观测性与异常定位能力。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前端脚手架与公共组件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建设后台框架、菜单、表单、表格等公共层。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6.5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配置中心、文件与导入导出能力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沉淀系统级配置、文件管理和模板化导入导出能力。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7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基础数据建设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建设学校主数据与人员档案体系。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组织结构与学期管理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维护校区、年级、班级、学期等主数据。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课程、教室与节次管理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维护课程、教室容量、上课节次和时间段。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教师档案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维护教师信息、账号关联和任课关系。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学生档案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维护学生学籍、班级、状态与导入校验。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家长/监护人档案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维护监护关系、联系方式和关联规则。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7.6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数据导入导出规则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定义模板、校验项、失败明细和回写方式。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8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教务管理建设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建设排课、课表、考勤和成绩主流程。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排课规则与冲突校验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定义教师、教室、班级冲突校验逻辑。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班级/教师/教室课表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实现课表生成、展示、查询和调课入口。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学生考勤管理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实现点名、请假联动、缺勤统计和教师端录入。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成绩录入、审核与发布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实现成绩闭环处理和基础统计。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8.5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教务统计报表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提供固定查询、导出和管理报表。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9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审批与消息建设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建设流程类业务和提醒体系。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请假流程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实现学生请假申请、审批、撤回和留痕。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调课流程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实现教师调课申请和课表联动。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报修流程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实现报修申请、审批和处理跟踪。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待办中心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集中展示待办、已办、抄送和消息提醒。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9.5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消息通知与模板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建设站内信和第三方通道模板机制。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10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收费管理建设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建设费用项目、账单、收退费和对账能力。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费用项目配置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维护收费项目、规则、周期和适用范围。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账单生成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支持应收账单生成、查询和状态管理。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收款登记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登记实收并同步更新账单状态。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退费处理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完成退费申请、审核、处理和留痕。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10.5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对账与报表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输出财务统计与异常核对报表。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测试与质量保障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规定测试策略、质量门禁和缺陷管理方式。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测试策略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明确单元、功能、接口、性能和安全测试分层。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功能与回归测试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覆盖核心流程串测、回归和权限矩阵校验。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权限、安全与性能测试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验证越权、敏感信息、接口性能和稳定性。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11.4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缺陷管理机制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定义缺陷等级、修复时限和回归规则。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数据迁移与上线准备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落实历史数据处理和生产切换准备。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数据源盘点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盘点历史 Excel、台账和旧系统数据来源。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字段映射与清洗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完成字段映射、去重、纠错和补齐。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迁移演练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组织至少两轮迁移演练并形成报告。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上线切换方案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明确停机窗口、切换步骤和职责分工。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12.5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回滚与应急预案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形成问题回滚、数据恢复和应急通讯机制。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试点、培训与验收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安排培训、试点运行和最终验收。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13.1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用户培训计划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按角色组织管理员、教务、财务和教师培训。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13.2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试点运行计划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选择试点范围并形成现场支持机制。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13.3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保运支持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安排上线后日报、值守和问题闭环。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13.4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验收标准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明确通过标准、验收清单和签收方式。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14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18"/>
              </w:rPr>
              <w:t>风险管理与二期规划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沉淀风险、变更控制和后续扩展方向。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14.1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主要风险与应对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聚焦需求膨胀、数据质量、接口延期和权限复杂度。</w:t>
            </w:r>
          </w:p>
        </w:tc>
      </w:tr>
      <w:tr>
        <w:trPr>
          <w:cantSplit/>
        </w:trPr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14.2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变更控制机制</w:t>
            </w:r>
          </w:p>
        </w:tc>
        <w:tc>
          <w:tcPr>
            <w:tcW w:type="dxa" w:w="3175"/>
            <w:shd w:fill="FFFFFF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明确新增需求、范围调整和排期变更的审批规则。</w:t>
            </w:r>
          </w:p>
        </w:tc>
      </w:tr>
      <w:tr>
        <w:trPr>
          <w:cantSplit/>
        </w:trPr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8"/>
              </w:rPr>
              <w:t>14.3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2D3748"/>
                <w:sz w:val="18"/>
              </w:rPr>
              <w:t>二期需求池</w:t>
            </w:r>
          </w:p>
        </w:tc>
        <w:tc>
          <w:tcPr>
            <w:tcW w:type="dxa" w:w="3175"/>
            <w:shd w:fill="F7FAFC"/>
            <w:tcMar>
              <w:top w:w="60" w:type="dxa"/>
              <w:start w:w="95" w:type="dxa"/>
              <w:bottom w:w="60" w:type="dxa"/>
              <w:end w:w="95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18"/>
              </w:rPr>
              <w:t>沉淀延期模块与后续扩展建议。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524"/>
            <w:shd w:fill="EAF2F8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4151"/>
                <w:sz w:val="20"/>
              </w:rPr>
              <w:t>目录使用提示：</w:t>
            </w:r>
            <w:r>
              <w:rPr>
                <w:rFonts w:ascii="Noto Sans CJK SC" w:hAnsi="Noto Sans CJK SC" w:eastAsia="Noto Sans CJK SC"/>
                <w:b w:val="0"/>
                <w:color w:val="374151"/>
                <w:sz w:val="20"/>
              </w:rPr>
              <w:t>目录结构总览至此结束；下一页为 26 周甘特图排期，可直接用于项目周会、月度汇报和里程碑跟踪。</w:t>
            </w:r>
          </w:p>
        </w:tc>
      </w:tr>
    </w:tbl>
    <w:p>
      <w:pPr>
        <w:sectPr>
          <w:footerReference w:type="default" r:id="rId10"/>
          <w:pgSz w:w="11906" w:h="16838"/>
          <w:pgMar w:top="1134" w:right="1191" w:bottom="1020" w:left="1191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3. 26 周甘特图排期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0"/>
        </w:rPr>
        <w:t>以下排期以“6 个月 / 26 周 / 一期上线”作为控制基线，适合项目经理、产品、研发、测试和实施共同对齐执行节奏。若中途新增模块、增加第三方接口或扩大试点范围，应以本图为基线发起变更评审。</w:t>
      </w:r>
    </w:p>
    <w:p>
      <w:r>
        <w:drawing>
          <wp:inline xmlns:a="http://schemas.openxmlformats.org/drawingml/2006/main" xmlns:pic="http://schemas.openxmlformats.org/drawingml/2006/picture">
            <wp:extent cx="9324000" cy="5421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学校ERP系统_26周甘特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4000" cy="542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794" w:right="709" w:bottom="680" w:left="709" w:header="720" w:footer="720" w:gutter="0"/>
          <w:cols w:space="720"/>
          <w:docGrid w:linePitch="360"/>
        </w:sectPr>
      </w:pPr>
    </w:p>
    <w:p>
      <w:pPr>
        <w:pStyle w:val="Heading1"/>
      </w:pPr>
      <w:r>
        <w:t>4. 关键里程碑节点</w:t>
      </w:r>
    </w:p>
    <w:p>
      <w:pPr>
        <w:spacing w:before="0" w:after="40" w:line="300" w:lineRule="auto"/>
      </w:pPr>
      <w:r>
        <w:rPr>
          <w:rFonts w:ascii="Noto Sans CJK SC" w:hAnsi="Noto Sans CJK SC" w:eastAsia="Noto Sans CJK SC"/>
          <w:b w:val="0"/>
          <w:color w:val="2D3748"/>
          <w:sz w:val="21"/>
        </w:rPr>
        <w:t>里程碑用于判断阶段完成度和是否允许进入下一阶段，建议作为项目周会和月度评审的统一口径。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1134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247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948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节点说明</w:t>
            </w:r>
          </w:p>
        </w:tc>
        <w:tc>
          <w:tcPr>
            <w:tcW w:type="dxa" w:w="3572"/>
            <w:shd w:fill="1F4E79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退出标准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M1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W4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需求与蓝图冻结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一期范围、原型、数据模型和总体架构通过评审。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M2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W8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平台底座与主数据可用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登录权限、组织结构、学期课程和人员档案可维护。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M3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W12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教务核心完成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课表、考勤、成绩形成可演示的业务闭环。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M4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W16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审批与收费主流程完成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请假、调课、报修、账单、收退费和消息提醒可用。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M5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W22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RC 版本形成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UAT 收敛完成，第二轮迁移演练通过，可进入试点。</w:t>
            </w:r>
          </w:p>
        </w:tc>
      </w:tr>
      <w:tr>
        <w:trPr>
          <w:cantSplit/>
        </w:trPr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M6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W26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2D3748"/>
                <w:sz w:val="20"/>
              </w:rPr>
              <w:t>正式上线完成</w:t>
            </w:r>
          </w:p>
        </w:tc>
        <w:tc>
          <w:tcPr>
            <w:tcW w:type="dxa" w:w="2381"/>
            <w:shd w:fill="F7FAFC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37381"/>
                <w:sz w:val="20"/>
              </w:rPr>
              <w:t>生产切换、冒烟验证、保运机制和验收条件全部满足。</w:t>
            </w:r>
          </w:p>
        </w:tc>
      </w:tr>
    </w:tbl>
    <w:p>
      <w:pPr>
        <w:pStyle w:val="Heading1"/>
      </w:pPr>
      <w:r>
        <w:t>5. 使用建议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本版本适合直接并入正式计划书作为“目录”与“排期”章节，也可单独用于立项汇报和项目评审。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若后续需要扩写为完整计划书，可按本目录逐章补充正文，不建议在第 2 个月后再新增一级章节。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甘特图建议在每周例会上按“实际完成 / 延期原因 / 风险动作 / 下周计划”四项口径进行更新。</w:t>
      </w:r>
    </w:p>
    <w:p>
      <w:pPr>
        <w:spacing w:before="0" w:after="40" w:line="300" w:lineRule="auto"/>
        <w:ind w:left="170" w:hanging="170"/>
      </w:pPr>
      <w:r>
        <w:rPr>
          <w:rFonts w:ascii="Noto Sans CJK SC" w:hAnsi="Noto Sans CJK SC" w:eastAsia="Noto Sans CJK SC"/>
          <w:b w:val="0"/>
          <w:color w:val="2D3748"/>
          <w:sz w:val="20"/>
        </w:rPr>
        <w:t>• 任何影响里程碑的新增事项，应优先走范围变更评审，避免在第 5 个月后继续扩张功能范围。</w:t>
      </w:r>
    </w:p>
    <w:sectPr w:rsidR="00FC693F" w:rsidRPr="0006063C" w:rsidSect="00034616"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88291"/>
        <w:sz w:val="17"/>
      </w:rPr>
      <w:t>学校 ERP 系统（微服务版）项目开发计划书｜正式版目录结构与甘特图排期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373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