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524"/>
            <w:shd w:fill="1F4E7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3"/>
              </w:rPr>
              <w:t>项目开发计划书配套文档</w:t>
            </w:r>
          </w:p>
        </w:tc>
      </w:tr>
    </w:tbl>
    <w:p/>
    <w:p>
      <w:pPr>
        <w:spacing w:before="0" w:after="40" w:line="300" w:lineRule="auto"/>
        <w:jc w:val="center"/>
      </w:pPr>
      <w:r>
        <w:rPr>
          <w:rFonts w:ascii="Noto Sans CJK SC" w:hAnsi="Noto Sans CJK SC" w:eastAsia="Noto Sans CJK SC"/>
          <w:b/>
          <w:color w:val="1F4E79"/>
          <w:sz w:val="48"/>
        </w:rPr>
        <w:t>学校 ERP 系统（微服务版）</w:t>
      </w:r>
    </w:p>
    <w:p>
      <w:pPr>
        <w:spacing w:before="0" w:after="40" w:line="300" w:lineRule="auto"/>
        <w:jc w:val="center"/>
      </w:pPr>
      <w:r>
        <w:rPr>
          <w:rFonts w:ascii="Noto Sans CJK SC" w:hAnsi="Noto Sans CJK SC" w:eastAsia="Noto Sans CJK SC"/>
          <w:b/>
          <w:color w:val="2F75B5"/>
          <w:sz w:val="36"/>
        </w:rPr>
        <w:t>正式版目录结构与 26 周甘特图排期</w:t>
      </w:r>
    </w:p>
    <w:p>
      <w:pPr>
        <w:spacing w:before="0" w:after="40" w:line="300" w:lineRule="auto"/>
        <w:jc w:val="center"/>
      </w:pPr>
      <w:r>
        <w:rPr>
          <w:rFonts w:ascii="Noto Sans CJK SC" w:hAnsi="Noto Sans CJK SC" w:eastAsia="Noto Sans CJK SC"/>
          <w:b w:val="0"/>
          <w:color w:val="637381"/>
          <w:sz w:val="24"/>
        </w:rPr>
        <w:t>（一期上线版）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2268"/>
            <w:shd w:fill="D9EAF7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项目名称</w:t>
            </w:r>
          </w:p>
        </w:tc>
        <w:tc>
          <w:tcPr>
            <w:tcW w:type="dxa" w:w="6520"/>
            <w:shd w:fill="F7FAFC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21"/>
              </w:rPr>
              <w:t>学校 ERP 系统（微服务版）一期建设项目</w:t>
            </w:r>
          </w:p>
        </w:tc>
      </w:tr>
      <w:tr>
        <w:tc>
          <w:tcPr>
            <w:tcW w:type="dxa" w:w="2268"/>
            <w:shd w:fill="D9EAF7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文档内容</w:t>
            </w:r>
          </w:p>
        </w:tc>
        <w:tc>
          <w:tcPr>
            <w:tcW w:type="dxa" w:w="6520"/>
            <w:shd w:fill="FFFFFF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21"/>
              </w:rPr>
              <w:t>正式版目录结构、26 周甘特图排期、里程碑节点</w:t>
            </w:r>
          </w:p>
        </w:tc>
      </w:tr>
      <w:tr>
        <w:tc>
          <w:tcPr>
            <w:tcW w:type="dxa" w:w="2268"/>
            <w:shd w:fill="D9EAF7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适用场景</w:t>
            </w:r>
          </w:p>
        </w:tc>
        <w:tc>
          <w:tcPr>
            <w:tcW w:type="dxa" w:w="6520"/>
            <w:shd w:fill="F7FAFC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21"/>
              </w:rPr>
              <w:t>立项汇报、项目评审、内部排期基线、周会跟踪</w:t>
            </w:r>
          </w:p>
        </w:tc>
      </w:tr>
      <w:tr>
        <w:tc>
          <w:tcPr>
            <w:tcW w:type="dxa" w:w="2268"/>
            <w:shd w:fill="D9EAF7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项目周期</w:t>
            </w:r>
          </w:p>
        </w:tc>
        <w:tc>
          <w:tcPr>
            <w:tcW w:type="dxa" w:w="6520"/>
            <w:shd w:fill="FFFFFF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21"/>
              </w:rPr>
              <w:t>6 个月 / 26 周</w:t>
            </w:r>
          </w:p>
        </w:tc>
      </w:tr>
      <w:tr>
        <w:tc>
          <w:tcPr>
            <w:tcW w:type="dxa" w:w="2268"/>
            <w:shd w:fill="D9EAF7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备注</w:t>
            </w:r>
          </w:p>
        </w:tc>
        <w:tc>
          <w:tcPr>
            <w:tcW w:type="dxa" w:w="6520"/>
            <w:shd w:fill="F7FAFC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21"/>
              </w:rPr>
              <w:t>本版不含人员投入表，可直接并入正式计划书作为目录与排期章节</w:t>
            </w:r>
          </w:p>
        </w:tc>
      </w:tr>
    </w:tbl>
    <w:p/>
    <w:p>
      <w:pPr>
        <w:spacing w:before="0" w:after="40" w:line="300" w:lineRule="auto"/>
        <w:jc w:val="center"/>
      </w:pPr>
      <w:r>
        <w:rPr>
          <w:rFonts w:ascii="Noto Sans CJK SC" w:hAnsi="Noto Sans CJK SC" w:eastAsia="Noto Sans CJK SC"/>
          <w:b w:val="0"/>
          <w:color w:val="637381"/>
          <w:sz w:val="20"/>
        </w:rPr>
        <w:t>编制日期：2026 年 4 月 16 日</w:t>
      </w:r>
    </w:p>
    <w:p>
      <w:r>
        <w:br w:type="page"/>
      </w:r>
    </w:p>
    <w:p>
      <w:pPr>
        <w:pStyle w:val="Heading1"/>
      </w:pPr>
      <w:r>
        <w:t>1. 文档说明</w:t>
      </w:r>
    </w:p>
    <w:p>
      <w:pPr>
        <w:spacing w:before="0" w:after="40" w:line="300" w:lineRule="auto"/>
      </w:pPr>
      <w:r>
        <w:rPr>
          <w:rFonts w:ascii="Noto Sans CJK SC" w:hAnsi="Noto Sans CJK SC" w:eastAsia="Noto Sans CJK SC"/>
          <w:b w:val="0"/>
          <w:color w:val="2D3748"/>
          <w:sz w:val="21"/>
        </w:rPr>
        <w:t>本文档用于将前期确认的《学校 ERP 系统（微服务版）6 个月开发计划》整理为适合立项、评审和项目管理使用的 Word 正式版结构，重点输出“正式版目录结构”和“26 周甘特图排期”两部分内容，便于项目组直接纳入正式计划书正文并作为后续执行基线。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524"/>
            <w:shd w:fill="EAF2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/>
                <w:color w:val="374151"/>
                <w:sz w:val="20"/>
              </w:rPr>
              <w:t>使用方式：</w:t>
            </w:r>
            <w:r>
              <w:rPr>
                <w:rFonts w:ascii="Noto Sans CJK SC" w:hAnsi="Noto Sans CJK SC" w:eastAsia="Noto Sans CJK SC"/>
                <w:b w:val="0"/>
                <w:color w:val="374151"/>
                <w:sz w:val="20"/>
              </w:rPr>
              <w:t>1）目录结构可直接作为正式版计划书的正文目录；2）甘特图可直接用于周会、月度汇报和里程碑跟踪；3）若后续要扩展为完整计划书，只需在对应章节下补充正文内容即可。</w:t>
            </w:r>
          </w:p>
        </w:tc>
      </w:tr>
    </w:tbl>
    <w:p>
      <w:pPr>
        <w:pStyle w:val="Heading1"/>
      </w:pPr>
      <w:r>
        <w:t>2. 正式版目录结构总览</w:t>
      </w:r>
    </w:p>
    <w:p>
      <w:pPr>
        <w:spacing w:before="0" w:after="40" w:line="300" w:lineRule="auto"/>
      </w:pPr>
      <w:r>
        <w:rPr>
          <w:rFonts w:ascii="Noto Sans CJK SC" w:hAnsi="Noto Sans CJK SC" w:eastAsia="Noto Sans CJK SC"/>
          <w:b w:val="0"/>
          <w:color w:val="2D3748"/>
          <w:sz w:val="21"/>
        </w:rPr>
        <w:t>以下目录结构可直接作为《学校 ERP 系统（微服务版）项目开发计划书》正式版正文目录使用，已按项目实施逻辑完成章节拆分，适合评审、汇报和后续扩写。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  <w:cantSplit/>
        </w:trPr>
        <w:tc>
          <w:tcPr>
            <w:tcW w:type="dxa" w:w="1134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1"/>
              </w:rPr>
              <w:t>编号</w:t>
            </w:r>
          </w:p>
        </w:tc>
        <w:tc>
          <w:tcPr>
            <w:tcW w:type="dxa" w:w="2778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1"/>
              </w:rPr>
              <w:t>章节名称</w:t>
            </w:r>
          </w:p>
        </w:tc>
        <w:tc>
          <w:tcPr>
            <w:tcW w:type="dxa" w:w="4989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1"/>
              </w:rPr>
              <w:t>主要内容说明</w:t>
            </w:r>
          </w:p>
        </w:tc>
      </w:tr>
      <w:tr>
        <w:trPr>
          <w:cantSplit/>
        </w:trPr>
        <w:tc>
          <w:tcPr>
            <w:tcW w:type="dxa" w:w="3175"/>
            <w:shd w:fill="FFFFFF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1</w:t>
            </w:r>
          </w:p>
        </w:tc>
        <w:tc>
          <w:tcPr>
            <w:tcW w:type="dxa" w:w="3175"/>
            <w:shd w:fill="FFFFFF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/>
                <w:color w:val="2D3748"/>
                <w:sz w:val="18"/>
              </w:rPr>
              <w:t>项目概述</w:t>
            </w:r>
          </w:p>
        </w:tc>
        <w:tc>
          <w:tcPr>
            <w:tcW w:type="dxa" w:w="3175"/>
            <w:shd w:fill="FFFFFF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637381"/>
                <w:sz w:val="18"/>
              </w:rPr>
              <w:t>说明项目背景、建设目标、适用范围和边界条件。</w:t>
            </w:r>
          </w:p>
        </w:tc>
      </w:tr>
      <w:tr>
        <w:trPr>
          <w:cantSplit/>
        </w:trPr>
        <w:tc>
          <w:tcPr>
            <w:tcW w:type="dxa" w:w="3175"/>
            <w:shd w:fill="F7FAFC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4E79"/>
                <w:sz w:val="18"/>
              </w:rPr>
              <w:t>1.1</w:t>
            </w:r>
          </w:p>
        </w:tc>
        <w:tc>
          <w:tcPr>
            <w:tcW w:type="dxa" w:w="3175"/>
            <w:shd w:fill="F7FAFC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编制目的</w:t>
            </w:r>
          </w:p>
        </w:tc>
        <w:tc>
          <w:tcPr>
            <w:tcW w:type="dxa" w:w="3175"/>
            <w:shd w:fill="F7FAFC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637381"/>
                <w:sz w:val="18"/>
              </w:rPr>
              <w:t>明确本计划书的用途、使用对象和控制基线。</w:t>
            </w:r>
          </w:p>
        </w:tc>
      </w:tr>
      <w:tr>
        <w:trPr>
          <w:cantSplit/>
        </w:trPr>
        <w:tc>
          <w:tcPr>
            <w:tcW w:type="dxa" w:w="3175"/>
            <w:shd w:fill="FFFFFF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4E79"/>
                <w:sz w:val="18"/>
              </w:rPr>
              <w:t>1.2</w:t>
            </w:r>
          </w:p>
        </w:tc>
        <w:tc>
          <w:tcPr>
            <w:tcW w:type="dxa" w:w="3175"/>
            <w:shd w:fill="FFFFFF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项目背景</w:t>
            </w:r>
          </w:p>
        </w:tc>
        <w:tc>
          <w:tcPr>
            <w:tcW w:type="dxa" w:w="3175"/>
            <w:shd w:fill="FFFFFF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637381"/>
                <w:sz w:val="18"/>
              </w:rPr>
              <w:t>说明学校信息化现状、建设动因和问题痛点。</w:t>
            </w:r>
          </w:p>
        </w:tc>
      </w:tr>
      <w:tr>
        <w:trPr>
          <w:cantSplit/>
        </w:trPr>
        <w:tc>
          <w:tcPr>
            <w:tcW w:type="dxa" w:w="3175"/>
            <w:shd w:fill="F7FAFC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4E79"/>
                <w:sz w:val="18"/>
              </w:rPr>
              <w:t>1.3</w:t>
            </w:r>
          </w:p>
        </w:tc>
        <w:tc>
          <w:tcPr>
            <w:tcW w:type="dxa" w:w="3175"/>
            <w:shd w:fill="F7FAFC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项目目标</w:t>
            </w:r>
          </w:p>
        </w:tc>
        <w:tc>
          <w:tcPr>
            <w:tcW w:type="dxa" w:w="3175"/>
            <w:shd w:fill="F7FAFC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637381"/>
                <w:sz w:val="18"/>
              </w:rPr>
              <w:t>定义一期上线目标、业务目标和技术目标。</w:t>
            </w:r>
          </w:p>
        </w:tc>
      </w:tr>
      <w:tr>
        <w:trPr>
          <w:cantSplit/>
        </w:trPr>
        <w:tc>
          <w:tcPr>
            <w:tcW w:type="dxa" w:w="3175"/>
            <w:shd w:fill="FFFFFF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4E79"/>
                <w:sz w:val="18"/>
              </w:rPr>
              <w:t>1.4</w:t>
            </w:r>
          </w:p>
        </w:tc>
        <w:tc>
          <w:tcPr>
            <w:tcW w:type="dxa" w:w="3175"/>
            <w:shd w:fill="FFFFFF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实施范围与边界</w:t>
            </w:r>
          </w:p>
        </w:tc>
        <w:tc>
          <w:tcPr>
            <w:tcW w:type="dxa" w:w="3175"/>
            <w:shd w:fill="FFFFFF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637381"/>
                <w:sz w:val="18"/>
              </w:rPr>
              <w:t>说明纳入范围、排除范围和阶段边界。</w:t>
            </w:r>
          </w:p>
        </w:tc>
      </w:tr>
      <w:tr>
        <w:trPr>
          <w:cantSplit/>
        </w:trPr>
        <w:tc>
          <w:tcPr>
            <w:tcW w:type="dxa" w:w="3175"/>
            <w:shd w:fill="F7FAFC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4E79"/>
                <w:sz w:val="18"/>
              </w:rPr>
              <w:t>1.5</w:t>
            </w:r>
          </w:p>
        </w:tc>
        <w:tc>
          <w:tcPr>
            <w:tcW w:type="dxa" w:w="3175"/>
            <w:shd w:fill="F7FAFC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术语定义与缩略语</w:t>
            </w:r>
          </w:p>
        </w:tc>
        <w:tc>
          <w:tcPr>
            <w:tcW w:type="dxa" w:w="3175"/>
            <w:shd w:fill="F7FAFC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637381"/>
                <w:sz w:val="18"/>
              </w:rPr>
              <w:t>统一 ERP、MVP、UAT、RC 等术语口径。</w:t>
            </w:r>
          </w:p>
        </w:tc>
      </w:tr>
      <w:tr>
        <w:trPr>
          <w:cantSplit/>
        </w:trPr>
        <w:tc>
          <w:tcPr>
            <w:tcW w:type="dxa" w:w="3175"/>
            <w:shd w:fill="FFFFFF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2</w:t>
            </w:r>
          </w:p>
        </w:tc>
        <w:tc>
          <w:tcPr>
            <w:tcW w:type="dxa" w:w="3175"/>
            <w:shd w:fill="FFFFFF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/>
                <w:color w:val="2D3748"/>
                <w:sz w:val="18"/>
              </w:rPr>
              <w:t>建设范围</w:t>
            </w:r>
          </w:p>
        </w:tc>
        <w:tc>
          <w:tcPr>
            <w:tcW w:type="dxa" w:w="3175"/>
            <w:shd w:fill="FFFFFF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637381"/>
                <w:sz w:val="18"/>
              </w:rPr>
              <w:t>界定一期功能、延期功能和外部接口范围。</w:t>
            </w:r>
          </w:p>
        </w:tc>
      </w:tr>
      <w:tr>
        <w:trPr>
          <w:cantSplit/>
        </w:trPr>
        <w:tc>
          <w:tcPr>
            <w:tcW w:type="dxa" w:w="3175"/>
            <w:shd w:fill="F7FAFC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4E79"/>
                <w:sz w:val="18"/>
              </w:rPr>
              <w:t>2.1</w:t>
            </w:r>
          </w:p>
        </w:tc>
        <w:tc>
          <w:tcPr>
            <w:tcW w:type="dxa" w:w="3175"/>
            <w:shd w:fill="F7FAFC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一期功能范围</w:t>
            </w:r>
          </w:p>
        </w:tc>
        <w:tc>
          <w:tcPr>
            <w:tcW w:type="dxa" w:w="3175"/>
            <w:shd w:fill="F7FAFC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637381"/>
                <w:sz w:val="18"/>
              </w:rPr>
              <w:t>列明登录权限、基础档案、教务、审批、收费、消息等模块。</w:t>
            </w:r>
          </w:p>
        </w:tc>
      </w:tr>
      <w:tr>
        <w:trPr>
          <w:cantSplit/>
        </w:trPr>
        <w:tc>
          <w:tcPr>
            <w:tcW w:type="dxa" w:w="3175"/>
            <w:shd w:fill="FFFFFF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4E79"/>
                <w:sz w:val="18"/>
              </w:rPr>
              <w:t>2.2</w:t>
            </w:r>
          </w:p>
        </w:tc>
        <w:tc>
          <w:tcPr>
            <w:tcW w:type="dxa" w:w="3175"/>
            <w:shd w:fill="FFFFFF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一期不纳入范围</w:t>
            </w:r>
          </w:p>
        </w:tc>
        <w:tc>
          <w:tcPr>
            <w:tcW w:type="dxa" w:w="3175"/>
            <w:shd w:fill="FFFFFF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637381"/>
                <w:sz w:val="18"/>
              </w:rPr>
              <w:t>明确宿舍、图书、薪酬、BI、大型低代码等内容延期。</w:t>
            </w:r>
          </w:p>
        </w:tc>
      </w:tr>
      <w:tr>
        <w:trPr>
          <w:cantSplit/>
        </w:trPr>
        <w:tc>
          <w:tcPr>
            <w:tcW w:type="dxa" w:w="3175"/>
            <w:shd w:fill="F7FAFC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4E79"/>
                <w:sz w:val="18"/>
              </w:rPr>
              <w:t>2.3</w:t>
            </w:r>
          </w:p>
        </w:tc>
        <w:tc>
          <w:tcPr>
            <w:tcW w:type="dxa" w:w="3175"/>
            <w:shd w:fill="F7FAFC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外部系统接口范围</w:t>
            </w:r>
          </w:p>
        </w:tc>
        <w:tc>
          <w:tcPr>
            <w:tcW w:type="dxa" w:w="3175"/>
            <w:shd w:fill="F7FAFC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637381"/>
                <w:sz w:val="18"/>
              </w:rPr>
              <w:t>说明短信、企业微信/钉钉、支付或银校接口等对接边界。</w:t>
            </w:r>
          </w:p>
        </w:tc>
      </w:tr>
      <w:tr>
        <w:trPr>
          <w:cantSplit/>
        </w:trPr>
        <w:tc>
          <w:tcPr>
            <w:tcW w:type="dxa" w:w="3175"/>
            <w:shd w:fill="FFFFFF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3</w:t>
            </w:r>
          </w:p>
        </w:tc>
        <w:tc>
          <w:tcPr>
            <w:tcW w:type="dxa" w:w="3175"/>
            <w:shd w:fill="FFFFFF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/>
                <w:color w:val="2D3748"/>
                <w:sz w:val="18"/>
              </w:rPr>
              <w:t>总体建设方案</w:t>
            </w:r>
          </w:p>
        </w:tc>
        <w:tc>
          <w:tcPr>
            <w:tcW w:type="dxa" w:w="3175"/>
            <w:shd w:fill="FFFFFF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637381"/>
                <w:sz w:val="18"/>
              </w:rPr>
              <w:t>给出总体架构、服务划分和部署思路。</w:t>
            </w:r>
          </w:p>
        </w:tc>
      </w:tr>
      <w:tr>
        <w:trPr>
          <w:cantSplit/>
        </w:trPr>
        <w:tc>
          <w:tcPr>
            <w:tcW w:type="dxa" w:w="3175"/>
            <w:shd w:fill="F7FAFC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4E79"/>
                <w:sz w:val="18"/>
              </w:rPr>
              <w:t>3.1</w:t>
            </w:r>
          </w:p>
        </w:tc>
        <w:tc>
          <w:tcPr>
            <w:tcW w:type="dxa" w:w="3175"/>
            <w:shd w:fill="F7FAFC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总体架构设计</w:t>
            </w:r>
          </w:p>
        </w:tc>
        <w:tc>
          <w:tcPr>
            <w:tcW w:type="dxa" w:w="3175"/>
            <w:shd w:fill="F7FAFC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637381"/>
                <w:sz w:val="18"/>
              </w:rPr>
              <w:t>说明网关、服务层、数据层和公共能力层结构。</w:t>
            </w:r>
          </w:p>
        </w:tc>
      </w:tr>
      <w:tr>
        <w:trPr>
          <w:cantSplit/>
        </w:trPr>
        <w:tc>
          <w:tcPr>
            <w:tcW w:type="dxa" w:w="3175"/>
            <w:shd w:fill="FFFFFF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4E79"/>
                <w:sz w:val="18"/>
              </w:rPr>
              <w:t>3.2</w:t>
            </w:r>
          </w:p>
        </w:tc>
        <w:tc>
          <w:tcPr>
            <w:tcW w:type="dxa" w:w="3175"/>
            <w:shd w:fill="FFFFFF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微服务拆分方案</w:t>
            </w:r>
          </w:p>
        </w:tc>
        <w:tc>
          <w:tcPr>
            <w:tcW w:type="dxa" w:w="3175"/>
            <w:shd w:fill="FFFFFF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637381"/>
                <w:sz w:val="18"/>
              </w:rPr>
              <w:t>界定认证权限、基础数据、教务、审批、收费、消息等核心服务。</w:t>
            </w:r>
          </w:p>
        </w:tc>
      </w:tr>
      <w:tr>
        <w:trPr>
          <w:cantSplit/>
        </w:trPr>
        <w:tc>
          <w:tcPr>
            <w:tcW w:type="dxa" w:w="3175"/>
            <w:shd w:fill="F7FAFC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4E79"/>
                <w:sz w:val="18"/>
              </w:rPr>
              <w:t>3.3</w:t>
            </w:r>
          </w:p>
        </w:tc>
        <w:tc>
          <w:tcPr>
            <w:tcW w:type="dxa" w:w="3175"/>
            <w:shd w:fill="F7FAFC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环境规划与部署架构</w:t>
            </w:r>
          </w:p>
        </w:tc>
        <w:tc>
          <w:tcPr>
            <w:tcW w:type="dxa" w:w="3175"/>
            <w:shd w:fill="F7FAFC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637381"/>
                <w:sz w:val="18"/>
              </w:rPr>
              <w:t>说明开发、测试、预发、生产环境及部署方式。</w:t>
            </w:r>
          </w:p>
        </w:tc>
      </w:tr>
      <w:tr>
        <w:tc>
          <w:tcPr>
            <w:tcW w:type="dxa" w:w="3175"/>
          </w:tcPr>
          <w:p>
            <w:r>
              <w:t>3.6</w:t>
            </w:r>
          </w:p>
        </w:tc>
        <w:tc>
          <w:tcPr>
            <w:tcW w:type="dxa" w:w="3175"/>
          </w:tcPr>
          <w:p>
            <w:r>
              <w:t>技术架构与技术栈选型</w:t>
            </w:r>
          </w:p>
        </w:tc>
        <w:tc>
          <w:tcPr>
            <w:tcW w:type="dxa" w:w="3175"/>
          </w:tcPr>
          <w:p>
            <w:r>
              <w:t>明确前端、后端、数据库、中间件、对象存储、部署与测试工具链的建议选型。</w:t>
            </w:r>
          </w:p>
        </w:tc>
      </w:tr>
      <w:tr>
        <w:trPr>
          <w:cantSplit/>
        </w:trPr>
        <w:tc>
          <w:tcPr>
            <w:tcW w:type="dxa" w:w="3175"/>
            <w:shd w:fill="FFFFFF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4E79"/>
                <w:sz w:val="18"/>
              </w:rPr>
              <w:t>3.4</w:t>
            </w:r>
          </w:p>
        </w:tc>
        <w:tc>
          <w:tcPr>
            <w:tcW w:type="dxa" w:w="3175"/>
            <w:shd w:fill="FFFFFF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数据库与中间件规划</w:t>
            </w:r>
          </w:p>
        </w:tc>
        <w:tc>
          <w:tcPr>
            <w:tcW w:type="dxa" w:w="3175"/>
            <w:shd w:fill="FFFFFF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r>
              <w:t>说明 PostgreSQL、Redis、RabbitMQ、MinIO 等数据库与中间件选型。</w:t>
            </w:r>
          </w:p>
        </w:tc>
      </w:tr>
      <w:tr>
        <w:trPr>
          <w:cantSplit/>
        </w:trPr>
        <w:tc>
          <w:tcPr>
            <w:tcW w:type="dxa" w:w="3175"/>
            <w:shd w:fill="F7FAFC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4E79"/>
                <w:sz w:val="18"/>
              </w:rPr>
              <w:t>3.5</w:t>
            </w:r>
          </w:p>
        </w:tc>
        <w:tc>
          <w:tcPr>
            <w:tcW w:type="dxa" w:w="3175"/>
            <w:shd w:fill="F7FAFC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安全、审计与权限控制</w:t>
            </w:r>
          </w:p>
        </w:tc>
        <w:tc>
          <w:tcPr>
            <w:tcW w:type="dxa" w:w="3175"/>
            <w:shd w:fill="F7FAFC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637381"/>
                <w:sz w:val="18"/>
              </w:rPr>
              <w:t>说明鉴权、数据权限、操作审计和敏感数据处理策略。</w:t>
            </w:r>
          </w:p>
        </w:tc>
      </w:tr>
      <w:tr>
        <w:trPr>
          <w:cantSplit/>
        </w:trPr>
        <w:tc>
          <w:tcPr>
            <w:tcW w:type="dxa" w:w="3175"/>
            <w:shd w:fill="FFFFFF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4</w:t>
            </w:r>
          </w:p>
        </w:tc>
        <w:tc>
          <w:tcPr>
            <w:tcW w:type="dxa" w:w="3175"/>
            <w:shd w:fill="FFFFFF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/>
                <w:color w:val="2D3748"/>
                <w:sz w:val="18"/>
              </w:rPr>
              <w:t>项目实施计划</w:t>
            </w:r>
          </w:p>
        </w:tc>
        <w:tc>
          <w:tcPr>
            <w:tcW w:type="dxa" w:w="3175"/>
            <w:shd w:fill="FFFFFF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637381"/>
                <w:sz w:val="18"/>
              </w:rPr>
              <w:t>给出阶段划分、排期、里程碑和交付物安排。</w:t>
            </w:r>
          </w:p>
        </w:tc>
      </w:tr>
      <w:tr>
        <w:trPr>
          <w:cantSplit/>
        </w:trPr>
        <w:tc>
          <w:tcPr>
            <w:tcW w:type="dxa" w:w="3175"/>
            <w:shd w:fill="F7FAFC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4E79"/>
                <w:sz w:val="18"/>
              </w:rPr>
              <w:t>4.1</w:t>
            </w:r>
          </w:p>
        </w:tc>
        <w:tc>
          <w:tcPr>
            <w:tcW w:type="dxa" w:w="3175"/>
            <w:shd w:fill="F7FAFC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阶段划分</w:t>
            </w:r>
          </w:p>
        </w:tc>
        <w:tc>
          <w:tcPr>
            <w:tcW w:type="dxa" w:w="3175"/>
            <w:shd w:fill="F7FAFC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637381"/>
                <w:sz w:val="18"/>
              </w:rPr>
              <w:t>按 26 周划分为蓝图、建设、联调、试点和上线阶段。</w:t>
            </w:r>
          </w:p>
        </w:tc>
      </w:tr>
      <w:tr>
        <w:trPr>
          <w:cantSplit/>
        </w:trPr>
        <w:tc>
          <w:tcPr>
            <w:tcW w:type="dxa" w:w="3175"/>
            <w:shd w:fill="FFFFFF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4E79"/>
                <w:sz w:val="18"/>
              </w:rPr>
              <w:t>4.2</w:t>
            </w:r>
          </w:p>
        </w:tc>
        <w:tc>
          <w:tcPr>
            <w:tcW w:type="dxa" w:w="3175"/>
            <w:shd w:fill="FFFFFF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26 周甘特图排期</w:t>
            </w:r>
          </w:p>
        </w:tc>
        <w:tc>
          <w:tcPr>
            <w:tcW w:type="dxa" w:w="3175"/>
            <w:shd w:fill="FFFFFF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637381"/>
                <w:sz w:val="18"/>
              </w:rPr>
              <w:t>展示关键工作包在 26 周内的时间分布和重叠关系。</w:t>
            </w:r>
          </w:p>
        </w:tc>
      </w:tr>
      <w:tr>
        <w:trPr>
          <w:cantSplit/>
        </w:trPr>
        <w:tc>
          <w:tcPr>
            <w:tcW w:type="dxa" w:w="3175"/>
            <w:shd w:fill="F7FAFC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4E79"/>
                <w:sz w:val="18"/>
              </w:rPr>
              <w:t>4.3</w:t>
            </w:r>
          </w:p>
        </w:tc>
        <w:tc>
          <w:tcPr>
            <w:tcW w:type="dxa" w:w="3175"/>
            <w:shd w:fill="F7FAFC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里程碑计划</w:t>
            </w:r>
          </w:p>
        </w:tc>
        <w:tc>
          <w:tcPr>
            <w:tcW w:type="dxa" w:w="3175"/>
            <w:shd w:fill="F7FAFC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637381"/>
                <w:sz w:val="18"/>
              </w:rPr>
              <w:t>定义第 4、8、12、16、22、26 周的关键节点。</w:t>
            </w:r>
          </w:p>
        </w:tc>
      </w:tr>
      <w:tr>
        <w:trPr>
          <w:cantSplit/>
        </w:trPr>
        <w:tc>
          <w:tcPr>
            <w:tcW w:type="dxa" w:w="3175"/>
            <w:shd w:fill="FFFFFF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4E79"/>
                <w:sz w:val="18"/>
              </w:rPr>
              <w:t>4.4</w:t>
            </w:r>
          </w:p>
        </w:tc>
        <w:tc>
          <w:tcPr>
            <w:tcW w:type="dxa" w:w="3175"/>
            <w:shd w:fill="FFFFFF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交付物计划</w:t>
            </w:r>
          </w:p>
        </w:tc>
        <w:tc>
          <w:tcPr>
            <w:tcW w:type="dxa" w:w="3175"/>
            <w:shd w:fill="FFFFFF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637381"/>
                <w:sz w:val="18"/>
              </w:rPr>
              <w:t>说明各阶段要形成的文档、版本和演示成果。</w:t>
            </w:r>
          </w:p>
        </w:tc>
      </w:tr>
      <w:tr>
        <w:trPr>
          <w:cantSplit/>
        </w:trPr>
        <w:tc>
          <w:tcPr>
            <w:tcW w:type="dxa" w:w="3175"/>
            <w:shd w:fill="F7FAFC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5</w:t>
            </w:r>
          </w:p>
        </w:tc>
        <w:tc>
          <w:tcPr>
            <w:tcW w:type="dxa" w:w="3175"/>
            <w:shd w:fill="F7FAFC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/>
                <w:color w:val="2D3748"/>
                <w:sz w:val="18"/>
              </w:rPr>
              <w:t>需求与产品设计</w:t>
            </w:r>
          </w:p>
        </w:tc>
        <w:tc>
          <w:tcPr>
            <w:tcW w:type="dxa" w:w="3175"/>
            <w:shd w:fill="F7FAFC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637381"/>
                <w:sz w:val="18"/>
              </w:rPr>
              <w:t>覆盖业务调研、流程设计、原型和数据模型。</w:t>
            </w:r>
          </w:p>
        </w:tc>
      </w:tr>
      <w:tr>
        <w:trPr>
          <w:cantSplit/>
        </w:trPr>
        <w:tc>
          <w:tcPr>
            <w:tcW w:type="dxa" w:w="3175"/>
            <w:shd w:fill="FFFFFF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4E79"/>
                <w:sz w:val="18"/>
              </w:rPr>
              <w:t>5.1</w:t>
            </w:r>
          </w:p>
        </w:tc>
        <w:tc>
          <w:tcPr>
            <w:tcW w:type="dxa" w:w="3175"/>
            <w:shd w:fill="FFFFFF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业务调研与现状分析</w:t>
            </w:r>
          </w:p>
        </w:tc>
        <w:tc>
          <w:tcPr>
            <w:tcW w:type="dxa" w:w="3175"/>
            <w:shd w:fill="FFFFFF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637381"/>
                <w:sz w:val="18"/>
              </w:rPr>
              <w:t>梳理现有线下流程、旧系统和 Excel 数据来源。</w:t>
            </w:r>
          </w:p>
        </w:tc>
      </w:tr>
      <w:tr>
        <w:trPr>
          <w:cantSplit/>
        </w:trPr>
        <w:tc>
          <w:tcPr>
            <w:tcW w:type="dxa" w:w="3175"/>
            <w:shd w:fill="F7FAFC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4E79"/>
                <w:sz w:val="18"/>
              </w:rPr>
              <w:t>5.2</w:t>
            </w:r>
          </w:p>
        </w:tc>
        <w:tc>
          <w:tcPr>
            <w:tcW w:type="dxa" w:w="3175"/>
            <w:shd w:fill="F7FAFC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流程梳理与差距分析</w:t>
            </w:r>
          </w:p>
        </w:tc>
        <w:tc>
          <w:tcPr>
            <w:tcW w:type="dxa" w:w="3175"/>
            <w:shd w:fill="F7FAFC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637381"/>
                <w:sz w:val="18"/>
              </w:rPr>
              <w:t>形成 As-Is / To-Be 流程并识别差距。</w:t>
            </w:r>
          </w:p>
        </w:tc>
      </w:tr>
      <w:tr>
        <w:trPr>
          <w:cantSplit/>
        </w:trPr>
        <w:tc>
          <w:tcPr>
            <w:tcW w:type="dxa" w:w="3175"/>
            <w:shd w:fill="FFFFFF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4E79"/>
                <w:sz w:val="18"/>
              </w:rPr>
              <w:t>5.3</w:t>
            </w:r>
          </w:p>
        </w:tc>
        <w:tc>
          <w:tcPr>
            <w:tcW w:type="dxa" w:w="3175"/>
            <w:shd w:fill="FFFFFF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页面原型设计</w:t>
            </w:r>
          </w:p>
        </w:tc>
        <w:tc>
          <w:tcPr>
            <w:tcW w:type="dxa" w:w="3175"/>
            <w:shd w:fill="FFFFFF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637381"/>
                <w:sz w:val="18"/>
              </w:rPr>
              <w:t>输出管理端与教师端的核心页面原型。</w:t>
            </w:r>
          </w:p>
        </w:tc>
      </w:tr>
      <w:tr>
        <w:trPr>
          <w:cantSplit/>
        </w:trPr>
        <w:tc>
          <w:tcPr>
            <w:tcW w:type="dxa" w:w="3175"/>
            <w:shd w:fill="F7FAFC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4E79"/>
                <w:sz w:val="18"/>
              </w:rPr>
              <w:t>5.4</w:t>
            </w:r>
          </w:p>
        </w:tc>
        <w:tc>
          <w:tcPr>
            <w:tcW w:type="dxa" w:w="3175"/>
            <w:shd w:fill="F7FAFC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数据模型设计</w:t>
            </w:r>
          </w:p>
        </w:tc>
        <w:tc>
          <w:tcPr>
            <w:tcW w:type="dxa" w:w="3175"/>
            <w:shd w:fill="F7FAFC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637381"/>
                <w:sz w:val="18"/>
              </w:rPr>
              <w:t>定义教师、学生、课程、账单、审批单等主实体。</w:t>
            </w:r>
          </w:p>
        </w:tc>
      </w:tr>
      <w:tr>
        <w:trPr>
          <w:cantSplit/>
        </w:trPr>
        <w:tc>
          <w:tcPr>
            <w:tcW w:type="dxa" w:w="3175"/>
            <w:shd w:fill="FFFFFF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4E79"/>
                <w:sz w:val="18"/>
              </w:rPr>
              <w:t>5.5</w:t>
            </w:r>
          </w:p>
        </w:tc>
        <w:tc>
          <w:tcPr>
            <w:tcW w:type="dxa" w:w="3175"/>
            <w:shd w:fill="FFFFFF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编码与字段规则</w:t>
            </w:r>
          </w:p>
        </w:tc>
        <w:tc>
          <w:tcPr>
            <w:tcW w:type="dxa" w:w="3175"/>
            <w:shd w:fill="FFFFFF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637381"/>
                <w:sz w:val="18"/>
              </w:rPr>
              <w:t>约束主键、状态、字典、导入模板和唯一性规则。</w:t>
            </w:r>
          </w:p>
        </w:tc>
      </w:tr>
      <w:tr>
        <w:trPr>
          <w:cantSplit/>
        </w:trPr>
        <w:tc>
          <w:tcPr>
            <w:tcW w:type="dxa" w:w="3175"/>
            <w:shd w:fill="F7FAFC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6</w:t>
            </w:r>
          </w:p>
        </w:tc>
        <w:tc>
          <w:tcPr>
            <w:tcW w:type="dxa" w:w="3175"/>
            <w:shd w:fill="F7FAFC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/>
                <w:color w:val="2D3748"/>
                <w:sz w:val="18"/>
              </w:rPr>
              <w:t>平台底座建设</w:t>
            </w:r>
          </w:p>
        </w:tc>
        <w:tc>
          <w:tcPr>
            <w:tcW w:type="dxa" w:w="3175"/>
            <w:shd w:fill="F7FAFC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637381"/>
                <w:sz w:val="18"/>
              </w:rPr>
              <w:t>建设统一入口、认证权限和公共能力。</w:t>
            </w:r>
          </w:p>
        </w:tc>
      </w:tr>
      <w:tr>
        <w:trPr>
          <w:cantSplit/>
        </w:trPr>
        <w:tc>
          <w:tcPr>
            <w:tcW w:type="dxa" w:w="3175"/>
            <w:shd w:fill="FFFFFF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4E79"/>
                <w:sz w:val="18"/>
              </w:rPr>
              <w:t>6.1</w:t>
            </w:r>
          </w:p>
        </w:tc>
        <w:tc>
          <w:tcPr>
            <w:tcW w:type="dxa" w:w="3175"/>
            <w:shd w:fill="FFFFFF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网关与统一入口</w:t>
            </w:r>
          </w:p>
        </w:tc>
        <w:tc>
          <w:tcPr>
            <w:tcW w:type="dxa" w:w="3175"/>
            <w:shd w:fill="FFFFFF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637381"/>
                <w:sz w:val="18"/>
              </w:rPr>
              <w:t>实现统一路由、鉴权、限流和服务暴露。</w:t>
            </w:r>
          </w:p>
        </w:tc>
      </w:tr>
      <w:tr>
        <w:trPr>
          <w:cantSplit/>
        </w:trPr>
        <w:tc>
          <w:tcPr>
            <w:tcW w:type="dxa" w:w="3175"/>
            <w:shd w:fill="F7FAFC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4E79"/>
                <w:sz w:val="18"/>
              </w:rPr>
              <w:t>6.2</w:t>
            </w:r>
          </w:p>
        </w:tc>
        <w:tc>
          <w:tcPr>
            <w:tcW w:type="dxa" w:w="3175"/>
            <w:shd w:fill="F7FAFC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认证与权限中心</w:t>
            </w:r>
          </w:p>
        </w:tc>
        <w:tc>
          <w:tcPr>
            <w:tcW w:type="dxa" w:w="3175"/>
            <w:shd w:fill="F7FAFC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637381"/>
                <w:sz w:val="18"/>
              </w:rPr>
              <w:t>实现账号、角色、菜单和数据权限管理。</w:t>
            </w:r>
          </w:p>
        </w:tc>
      </w:tr>
      <w:tr>
        <w:trPr>
          <w:cantSplit/>
        </w:trPr>
        <w:tc>
          <w:tcPr>
            <w:tcW w:type="dxa" w:w="3175"/>
            <w:shd w:fill="FFFFFF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4E79"/>
                <w:sz w:val="18"/>
              </w:rPr>
              <w:t>6.3</w:t>
            </w:r>
          </w:p>
        </w:tc>
        <w:tc>
          <w:tcPr>
            <w:tcW w:type="dxa" w:w="3175"/>
            <w:shd w:fill="FFFFFF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日志、监控、告警与链路追踪</w:t>
            </w:r>
          </w:p>
        </w:tc>
        <w:tc>
          <w:tcPr>
            <w:tcW w:type="dxa" w:w="3175"/>
            <w:shd w:fill="FFFFFF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637381"/>
                <w:sz w:val="18"/>
              </w:rPr>
              <w:t>建设运维可观测性与异常定位能力。</w:t>
            </w:r>
          </w:p>
        </w:tc>
      </w:tr>
      <w:tr>
        <w:trPr>
          <w:cantSplit/>
        </w:trPr>
        <w:tc>
          <w:tcPr>
            <w:tcW w:type="dxa" w:w="3175"/>
            <w:shd w:fill="F7FAFC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4E79"/>
                <w:sz w:val="18"/>
              </w:rPr>
              <w:t>6.4</w:t>
            </w:r>
          </w:p>
        </w:tc>
        <w:tc>
          <w:tcPr>
            <w:tcW w:type="dxa" w:w="3175"/>
            <w:shd w:fill="F7FAFC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前端脚手架与公共组件</w:t>
            </w:r>
          </w:p>
        </w:tc>
        <w:tc>
          <w:tcPr>
            <w:tcW w:type="dxa" w:w="3175"/>
            <w:shd w:fill="F7FAFC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r>
              <w:t>建设基于 Vue 3 的后台框架、菜单、表单、表格和公共组件能力。</w:t>
            </w:r>
          </w:p>
        </w:tc>
      </w:tr>
      <w:tr>
        <w:trPr>
          <w:cantSplit/>
        </w:trPr>
        <w:tc>
          <w:tcPr>
            <w:tcW w:type="dxa" w:w="3175"/>
            <w:shd w:fill="FFFFFF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4E79"/>
                <w:sz w:val="18"/>
              </w:rPr>
              <w:t>6.5</w:t>
            </w:r>
          </w:p>
        </w:tc>
        <w:tc>
          <w:tcPr>
            <w:tcW w:type="dxa" w:w="3175"/>
            <w:shd w:fill="FFFFFF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配置中心、文件与导入导出能力</w:t>
            </w:r>
          </w:p>
        </w:tc>
        <w:tc>
          <w:tcPr>
            <w:tcW w:type="dxa" w:w="3175"/>
            <w:shd w:fill="FFFFFF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637381"/>
                <w:sz w:val="18"/>
              </w:rPr>
              <w:t>沉淀系统级配置、文件管理和模板化导入导出能力。</w:t>
            </w:r>
          </w:p>
        </w:tc>
      </w:tr>
      <w:tr>
        <w:trPr>
          <w:cantSplit/>
        </w:trPr>
        <w:tc>
          <w:tcPr>
            <w:tcW w:type="dxa" w:w="3175"/>
            <w:shd w:fill="F7FAFC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7</w:t>
            </w:r>
          </w:p>
        </w:tc>
        <w:tc>
          <w:tcPr>
            <w:tcW w:type="dxa" w:w="3175"/>
            <w:shd w:fill="F7FAFC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/>
                <w:color w:val="2D3748"/>
                <w:sz w:val="18"/>
              </w:rPr>
              <w:t>基础数据建设</w:t>
            </w:r>
          </w:p>
        </w:tc>
        <w:tc>
          <w:tcPr>
            <w:tcW w:type="dxa" w:w="3175"/>
            <w:shd w:fill="F7FAFC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637381"/>
                <w:sz w:val="18"/>
              </w:rPr>
              <w:t>建设学校主数据与人员档案体系。</w:t>
            </w:r>
          </w:p>
        </w:tc>
      </w:tr>
      <w:tr>
        <w:trPr>
          <w:cantSplit/>
        </w:trPr>
        <w:tc>
          <w:tcPr>
            <w:tcW w:type="dxa" w:w="3175"/>
            <w:shd w:fill="FFFFFF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4E79"/>
                <w:sz w:val="18"/>
              </w:rPr>
              <w:t>7.1</w:t>
            </w:r>
          </w:p>
        </w:tc>
        <w:tc>
          <w:tcPr>
            <w:tcW w:type="dxa" w:w="3175"/>
            <w:shd w:fill="FFFFFF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组织结构与学期管理</w:t>
            </w:r>
          </w:p>
        </w:tc>
        <w:tc>
          <w:tcPr>
            <w:tcW w:type="dxa" w:w="3175"/>
            <w:shd w:fill="FFFFFF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637381"/>
                <w:sz w:val="18"/>
              </w:rPr>
              <w:t>维护校区、年级、班级、学期等主数据。</w:t>
            </w:r>
          </w:p>
        </w:tc>
      </w:tr>
      <w:tr>
        <w:trPr>
          <w:cantSplit/>
        </w:trPr>
        <w:tc>
          <w:tcPr>
            <w:tcW w:type="dxa" w:w="3175"/>
            <w:shd w:fill="F7FAFC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4E79"/>
                <w:sz w:val="18"/>
              </w:rPr>
              <w:t>7.2</w:t>
            </w:r>
          </w:p>
        </w:tc>
        <w:tc>
          <w:tcPr>
            <w:tcW w:type="dxa" w:w="3175"/>
            <w:shd w:fill="F7FAFC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课程、教室与节次管理</w:t>
            </w:r>
          </w:p>
        </w:tc>
        <w:tc>
          <w:tcPr>
            <w:tcW w:type="dxa" w:w="3175"/>
            <w:shd w:fill="F7FAFC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637381"/>
                <w:sz w:val="18"/>
              </w:rPr>
              <w:t>维护课程、教室容量、上课节次和时间段。</w:t>
            </w:r>
          </w:p>
        </w:tc>
      </w:tr>
      <w:tr>
        <w:trPr>
          <w:cantSplit/>
        </w:trPr>
        <w:tc>
          <w:tcPr>
            <w:tcW w:type="dxa" w:w="3175"/>
            <w:shd w:fill="FFFFFF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4E79"/>
                <w:sz w:val="18"/>
              </w:rPr>
              <w:t>7.3</w:t>
            </w:r>
          </w:p>
        </w:tc>
        <w:tc>
          <w:tcPr>
            <w:tcW w:type="dxa" w:w="3175"/>
            <w:shd w:fill="FFFFFF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教师档案</w:t>
            </w:r>
          </w:p>
        </w:tc>
        <w:tc>
          <w:tcPr>
            <w:tcW w:type="dxa" w:w="3175"/>
            <w:shd w:fill="FFFFFF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637381"/>
                <w:sz w:val="18"/>
              </w:rPr>
              <w:t>维护教师信息、账号关联和任课关系。</w:t>
            </w:r>
          </w:p>
        </w:tc>
      </w:tr>
      <w:tr>
        <w:trPr>
          <w:cantSplit/>
        </w:trPr>
        <w:tc>
          <w:tcPr>
            <w:tcW w:type="dxa" w:w="3175"/>
            <w:shd w:fill="F7FAFC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4E79"/>
                <w:sz w:val="18"/>
              </w:rPr>
              <w:t>7.4</w:t>
            </w:r>
          </w:p>
        </w:tc>
        <w:tc>
          <w:tcPr>
            <w:tcW w:type="dxa" w:w="3175"/>
            <w:shd w:fill="F7FAFC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学生档案</w:t>
            </w:r>
          </w:p>
        </w:tc>
        <w:tc>
          <w:tcPr>
            <w:tcW w:type="dxa" w:w="3175"/>
            <w:shd w:fill="F7FAFC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637381"/>
                <w:sz w:val="18"/>
              </w:rPr>
              <w:t>维护学生学籍、班级、状态与导入校验。</w:t>
            </w:r>
          </w:p>
        </w:tc>
      </w:tr>
      <w:tr>
        <w:trPr>
          <w:cantSplit/>
        </w:trPr>
        <w:tc>
          <w:tcPr>
            <w:tcW w:type="dxa" w:w="3175"/>
            <w:shd w:fill="FFFFFF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4E79"/>
                <w:sz w:val="18"/>
              </w:rPr>
              <w:t>7.5</w:t>
            </w:r>
          </w:p>
        </w:tc>
        <w:tc>
          <w:tcPr>
            <w:tcW w:type="dxa" w:w="3175"/>
            <w:shd w:fill="FFFFFF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家长/监护人档案</w:t>
            </w:r>
          </w:p>
        </w:tc>
        <w:tc>
          <w:tcPr>
            <w:tcW w:type="dxa" w:w="3175"/>
            <w:shd w:fill="FFFFFF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637381"/>
                <w:sz w:val="18"/>
              </w:rPr>
              <w:t>维护监护关系、联系方式和关联规则。</w:t>
            </w:r>
          </w:p>
        </w:tc>
      </w:tr>
      <w:tr>
        <w:trPr>
          <w:cantSplit/>
        </w:trPr>
        <w:tc>
          <w:tcPr>
            <w:tcW w:type="dxa" w:w="3175"/>
            <w:shd w:fill="F7FAFC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4E79"/>
                <w:sz w:val="18"/>
              </w:rPr>
              <w:t>7.6</w:t>
            </w:r>
          </w:p>
        </w:tc>
        <w:tc>
          <w:tcPr>
            <w:tcW w:type="dxa" w:w="3175"/>
            <w:shd w:fill="F7FAFC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数据导入导出规则</w:t>
            </w:r>
          </w:p>
        </w:tc>
        <w:tc>
          <w:tcPr>
            <w:tcW w:type="dxa" w:w="3175"/>
            <w:shd w:fill="F7FAFC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637381"/>
                <w:sz w:val="18"/>
              </w:rPr>
              <w:t>定义模板、校验项、失败明细和回写方式。</w:t>
            </w:r>
          </w:p>
        </w:tc>
      </w:tr>
      <w:tr>
        <w:trPr>
          <w:cantSplit/>
        </w:trPr>
        <w:tc>
          <w:tcPr>
            <w:tcW w:type="dxa" w:w="3175"/>
            <w:shd w:fill="FFFFFF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8</w:t>
            </w:r>
          </w:p>
        </w:tc>
        <w:tc>
          <w:tcPr>
            <w:tcW w:type="dxa" w:w="3175"/>
            <w:shd w:fill="FFFFFF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/>
                <w:color w:val="2D3748"/>
                <w:sz w:val="18"/>
              </w:rPr>
              <w:t>教务管理建设</w:t>
            </w:r>
          </w:p>
        </w:tc>
        <w:tc>
          <w:tcPr>
            <w:tcW w:type="dxa" w:w="3175"/>
            <w:shd w:fill="FFFFFF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637381"/>
                <w:sz w:val="18"/>
              </w:rPr>
              <w:t>建设排课、课表、考勤和成绩主流程。</w:t>
            </w:r>
          </w:p>
        </w:tc>
      </w:tr>
      <w:tr>
        <w:trPr>
          <w:cantSplit/>
        </w:trPr>
        <w:tc>
          <w:tcPr>
            <w:tcW w:type="dxa" w:w="3175"/>
            <w:shd w:fill="F7FAFC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4E79"/>
                <w:sz w:val="18"/>
              </w:rPr>
              <w:t>8.1</w:t>
            </w:r>
          </w:p>
        </w:tc>
        <w:tc>
          <w:tcPr>
            <w:tcW w:type="dxa" w:w="3175"/>
            <w:shd w:fill="F7FAFC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排课规则与冲突校验</w:t>
            </w:r>
          </w:p>
        </w:tc>
        <w:tc>
          <w:tcPr>
            <w:tcW w:type="dxa" w:w="3175"/>
            <w:shd w:fill="F7FAFC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637381"/>
                <w:sz w:val="18"/>
              </w:rPr>
              <w:t>定义教师、教室、班级冲突校验逻辑。</w:t>
            </w:r>
          </w:p>
        </w:tc>
      </w:tr>
      <w:tr>
        <w:trPr>
          <w:cantSplit/>
        </w:trPr>
        <w:tc>
          <w:tcPr>
            <w:tcW w:type="dxa" w:w="3175"/>
            <w:shd w:fill="FFFFFF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4E79"/>
                <w:sz w:val="18"/>
              </w:rPr>
              <w:t>8.2</w:t>
            </w:r>
          </w:p>
        </w:tc>
        <w:tc>
          <w:tcPr>
            <w:tcW w:type="dxa" w:w="3175"/>
            <w:shd w:fill="FFFFFF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班级/教师/教室课表</w:t>
            </w:r>
          </w:p>
        </w:tc>
        <w:tc>
          <w:tcPr>
            <w:tcW w:type="dxa" w:w="3175"/>
            <w:shd w:fill="FFFFFF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637381"/>
                <w:sz w:val="18"/>
              </w:rPr>
              <w:t>实现课表生成、展示、查询和调课入口。</w:t>
            </w:r>
          </w:p>
        </w:tc>
      </w:tr>
      <w:tr>
        <w:trPr>
          <w:cantSplit/>
        </w:trPr>
        <w:tc>
          <w:tcPr>
            <w:tcW w:type="dxa" w:w="3175"/>
            <w:shd w:fill="F7FAFC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4E79"/>
                <w:sz w:val="18"/>
              </w:rPr>
              <w:t>8.3</w:t>
            </w:r>
          </w:p>
        </w:tc>
        <w:tc>
          <w:tcPr>
            <w:tcW w:type="dxa" w:w="3175"/>
            <w:shd w:fill="F7FAFC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学生考勤管理</w:t>
            </w:r>
          </w:p>
        </w:tc>
        <w:tc>
          <w:tcPr>
            <w:tcW w:type="dxa" w:w="3175"/>
            <w:shd w:fill="F7FAFC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637381"/>
                <w:sz w:val="18"/>
              </w:rPr>
              <w:t>实现点名、请假联动、缺勤统计和教师端录入。</w:t>
            </w:r>
          </w:p>
        </w:tc>
      </w:tr>
      <w:tr>
        <w:trPr>
          <w:cantSplit/>
        </w:trPr>
        <w:tc>
          <w:tcPr>
            <w:tcW w:type="dxa" w:w="3175"/>
            <w:shd w:fill="FFFFFF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4E79"/>
                <w:sz w:val="18"/>
              </w:rPr>
              <w:t>8.4</w:t>
            </w:r>
          </w:p>
        </w:tc>
        <w:tc>
          <w:tcPr>
            <w:tcW w:type="dxa" w:w="3175"/>
            <w:shd w:fill="FFFFFF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成绩录入、审核与发布</w:t>
            </w:r>
          </w:p>
        </w:tc>
        <w:tc>
          <w:tcPr>
            <w:tcW w:type="dxa" w:w="3175"/>
            <w:shd w:fill="FFFFFF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637381"/>
                <w:sz w:val="18"/>
              </w:rPr>
              <w:t>实现成绩闭环处理和基础统计。</w:t>
            </w:r>
          </w:p>
        </w:tc>
      </w:tr>
      <w:tr>
        <w:trPr>
          <w:cantSplit/>
        </w:trPr>
        <w:tc>
          <w:tcPr>
            <w:tcW w:type="dxa" w:w="3175"/>
            <w:shd w:fill="F7FAFC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4E79"/>
                <w:sz w:val="18"/>
              </w:rPr>
              <w:t>8.5</w:t>
            </w:r>
          </w:p>
        </w:tc>
        <w:tc>
          <w:tcPr>
            <w:tcW w:type="dxa" w:w="3175"/>
            <w:shd w:fill="F7FAFC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教务统计报表</w:t>
            </w:r>
          </w:p>
        </w:tc>
        <w:tc>
          <w:tcPr>
            <w:tcW w:type="dxa" w:w="3175"/>
            <w:shd w:fill="F7FAFC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637381"/>
                <w:sz w:val="18"/>
              </w:rPr>
              <w:t>提供固定查询、导出和管理报表。</w:t>
            </w:r>
          </w:p>
        </w:tc>
      </w:tr>
      <w:tr>
        <w:trPr>
          <w:cantSplit/>
        </w:trPr>
        <w:tc>
          <w:tcPr>
            <w:tcW w:type="dxa" w:w="3175"/>
            <w:shd w:fill="FFFFFF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9</w:t>
            </w:r>
          </w:p>
        </w:tc>
        <w:tc>
          <w:tcPr>
            <w:tcW w:type="dxa" w:w="3175"/>
            <w:shd w:fill="FFFFFF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/>
                <w:color w:val="2D3748"/>
                <w:sz w:val="18"/>
              </w:rPr>
              <w:t>审批与消息建设</w:t>
            </w:r>
          </w:p>
        </w:tc>
        <w:tc>
          <w:tcPr>
            <w:tcW w:type="dxa" w:w="3175"/>
            <w:shd w:fill="FFFFFF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637381"/>
                <w:sz w:val="18"/>
              </w:rPr>
              <w:t>建设流程类业务和提醒体系。</w:t>
            </w:r>
          </w:p>
        </w:tc>
      </w:tr>
      <w:tr>
        <w:trPr>
          <w:cantSplit/>
        </w:trPr>
        <w:tc>
          <w:tcPr>
            <w:tcW w:type="dxa" w:w="3175"/>
            <w:shd w:fill="F7FAFC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4E79"/>
                <w:sz w:val="18"/>
              </w:rPr>
              <w:t>9.1</w:t>
            </w:r>
          </w:p>
        </w:tc>
        <w:tc>
          <w:tcPr>
            <w:tcW w:type="dxa" w:w="3175"/>
            <w:shd w:fill="F7FAFC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请假流程</w:t>
            </w:r>
          </w:p>
        </w:tc>
        <w:tc>
          <w:tcPr>
            <w:tcW w:type="dxa" w:w="3175"/>
            <w:shd w:fill="F7FAFC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637381"/>
                <w:sz w:val="18"/>
              </w:rPr>
              <w:t>实现学生请假申请、审批、撤回和留痕。</w:t>
            </w:r>
          </w:p>
        </w:tc>
      </w:tr>
      <w:tr>
        <w:trPr>
          <w:cantSplit/>
        </w:trPr>
        <w:tc>
          <w:tcPr>
            <w:tcW w:type="dxa" w:w="3175"/>
            <w:shd w:fill="FFFFFF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4E79"/>
                <w:sz w:val="18"/>
              </w:rPr>
              <w:t>9.2</w:t>
            </w:r>
          </w:p>
        </w:tc>
        <w:tc>
          <w:tcPr>
            <w:tcW w:type="dxa" w:w="3175"/>
            <w:shd w:fill="FFFFFF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调课流程</w:t>
            </w:r>
          </w:p>
        </w:tc>
        <w:tc>
          <w:tcPr>
            <w:tcW w:type="dxa" w:w="3175"/>
            <w:shd w:fill="FFFFFF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637381"/>
                <w:sz w:val="18"/>
              </w:rPr>
              <w:t>实现教师调课申请和课表联动。</w:t>
            </w:r>
          </w:p>
        </w:tc>
      </w:tr>
      <w:tr>
        <w:trPr>
          <w:cantSplit/>
        </w:trPr>
        <w:tc>
          <w:tcPr>
            <w:tcW w:type="dxa" w:w="3175"/>
            <w:shd w:fill="F7FAFC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4E79"/>
                <w:sz w:val="18"/>
              </w:rPr>
              <w:t>9.3</w:t>
            </w:r>
          </w:p>
        </w:tc>
        <w:tc>
          <w:tcPr>
            <w:tcW w:type="dxa" w:w="3175"/>
            <w:shd w:fill="F7FAFC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报修流程</w:t>
            </w:r>
          </w:p>
        </w:tc>
        <w:tc>
          <w:tcPr>
            <w:tcW w:type="dxa" w:w="3175"/>
            <w:shd w:fill="F7FAFC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637381"/>
                <w:sz w:val="18"/>
              </w:rPr>
              <w:t>实现报修申请、审批和处理跟踪。</w:t>
            </w:r>
          </w:p>
        </w:tc>
      </w:tr>
      <w:tr>
        <w:trPr>
          <w:cantSplit/>
        </w:trPr>
        <w:tc>
          <w:tcPr>
            <w:tcW w:type="dxa" w:w="3175"/>
            <w:shd w:fill="FFFFFF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4E79"/>
                <w:sz w:val="18"/>
              </w:rPr>
              <w:t>9.4</w:t>
            </w:r>
          </w:p>
        </w:tc>
        <w:tc>
          <w:tcPr>
            <w:tcW w:type="dxa" w:w="3175"/>
            <w:shd w:fill="FFFFFF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待办中心</w:t>
            </w:r>
          </w:p>
        </w:tc>
        <w:tc>
          <w:tcPr>
            <w:tcW w:type="dxa" w:w="3175"/>
            <w:shd w:fill="FFFFFF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637381"/>
                <w:sz w:val="18"/>
              </w:rPr>
              <w:t>集中展示待办、已办、抄送和消息提醒。</w:t>
            </w:r>
          </w:p>
        </w:tc>
      </w:tr>
      <w:tr>
        <w:trPr>
          <w:cantSplit/>
        </w:trPr>
        <w:tc>
          <w:tcPr>
            <w:tcW w:type="dxa" w:w="3175"/>
            <w:shd w:fill="F7FAFC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4E79"/>
                <w:sz w:val="18"/>
              </w:rPr>
              <w:t>9.5</w:t>
            </w:r>
          </w:p>
        </w:tc>
        <w:tc>
          <w:tcPr>
            <w:tcW w:type="dxa" w:w="3175"/>
            <w:shd w:fill="F7FAFC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消息通知与模板</w:t>
            </w:r>
          </w:p>
        </w:tc>
        <w:tc>
          <w:tcPr>
            <w:tcW w:type="dxa" w:w="3175"/>
            <w:shd w:fill="F7FAFC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637381"/>
                <w:sz w:val="18"/>
              </w:rPr>
              <w:t>建设站内信和第三方通道模板机制。</w:t>
            </w:r>
          </w:p>
        </w:tc>
      </w:tr>
      <w:tr>
        <w:trPr>
          <w:cantSplit/>
        </w:trPr>
        <w:tc>
          <w:tcPr>
            <w:tcW w:type="dxa" w:w="3175"/>
            <w:shd w:fill="FFFFFF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10</w:t>
            </w:r>
          </w:p>
        </w:tc>
        <w:tc>
          <w:tcPr>
            <w:tcW w:type="dxa" w:w="3175"/>
            <w:shd w:fill="FFFFFF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/>
                <w:color w:val="2D3748"/>
                <w:sz w:val="18"/>
              </w:rPr>
              <w:t>收费管理建设</w:t>
            </w:r>
          </w:p>
        </w:tc>
        <w:tc>
          <w:tcPr>
            <w:tcW w:type="dxa" w:w="3175"/>
            <w:shd w:fill="FFFFFF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637381"/>
                <w:sz w:val="18"/>
              </w:rPr>
              <w:t>建设费用项目、账单、收退费和对账能力。</w:t>
            </w:r>
          </w:p>
        </w:tc>
      </w:tr>
      <w:tr>
        <w:trPr>
          <w:cantSplit/>
        </w:trPr>
        <w:tc>
          <w:tcPr>
            <w:tcW w:type="dxa" w:w="3175"/>
            <w:shd w:fill="F7FAFC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4E79"/>
                <w:sz w:val="18"/>
              </w:rPr>
              <w:t>10.1</w:t>
            </w:r>
          </w:p>
        </w:tc>
        <w:tc>
          <w:tcPr>
            <w:tcW w:type="dxa" w:w="3175"/>
            <w:shd w:fill="F7FAFC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费用项目配置</w:t>
            </w:r>
          </w:p>
        </w:tc>
        <w:tc>
          <w:tcPr>
            <w:tcW w:type="dxa" w:w="3175"/>
            <w:shd w:fill="F7FAFC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637381"/>
                <w:sz w:val="18"/>
              </w:rPr>
              <w:t>维护收费项目、规则、周期和适用范围。</w:t>
            </w:r>
          </w:p>
        </w:tc>
      </w:tr>
      <w:tr>
        <w:trPr>
          <w:cantSplit/>
        </w:trPr>
        <w:tc>
          <w:tcPr>
            <w:tcW w:type="dxa" w:w="3175"/>
            <w:shd w:fill="FFFFFF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4E79"/>
                <w:sz w:val="18"/>
              </w:rPr>
              <w:t>10.2</w:t>
            </w:r>
          </w:p>
        </w:tc>
        <w:tc>
          <w:tcPr>
            <w:tcW w:type="dxa" w:w="3175"/>
            <w:shd w:fill="FFFFFF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账单生成</w:t>
            </w:r>
          </w:p>
        </w:tc>
        <w:tc>
          <w:tcPr>
            <w:tcW w:type="dxa" w:w="3175"/>
            <w:shd w:fill="FFFFFF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637381"/>
                <w:sz w:val="18"/>
              </w:rPr>
              <w:t>支持应收账单生成、查询和状态管理。</w:t>
            </w:r>
          </w:p>
        </w:tc>
      </w:tr>
      <w:tr>
        <w:trPr>
          <w:cantSplit/>
        </w:trPr>
        <w:tc>
          <w:tcPr>
            <w:tcW w:type="dxa" w:w="3175"/>
            <w:shd w:fill="F7FAFC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4E79"/>
                <w:sz w:val="18"/>
              </w:rPr>
              <w:t>10.3</w:t>
            </w:r>
          </w:p>
        </w:tc>
        <w:tc>
          <w:tcPr>
            <w:tcW w:type="dxa" w:w="3175"/>
            <w:shd w:fill="F7FAFC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收款登记</w:t>
            </w:r>
          </w:p>
        </w:tc>
        <w:tc>
          <w:tcPr>
            <w:tcW w:type="dxa" w:w="3175"/>
            <w:shd w:fill="F7FAFC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637381"/>
                <w:sz w:val="18"/>
              </w:rPr>
              <w:t>登记实收并同步更新账单状态。</w:t>
            </w:r>
          </w:p>
        </w:tc>
      </w:tr>
      <w:tr>
        <w:trPr>
          <w:cantSplit/>
        </w:trPr>
        <w:tc>
          <w:tcPr>
            <w:tcW w:type="dxa" w:w="3175"/>
            <w:shd w:fill="FFFFFF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4E79"/>
                <w:sz w:val="18"/>
              </w:rPr>
              <w:t>10.4</w:t>
            </w:r>
          </w:p>
        </w:tc>
        <w:tc>
          <w:tcPr>
            <w:tcW w:type="dxa" w:w="3175"/>
            <w:shd w:fill="FFFFFF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退费处理</w:t>
            </w:r>
          </w:p>
        </w:tc>
        <w:tc>
          <w:tcPr>
            <w:tcW w:type="dxa" w:w="3175"/>
            <w:shd w:fill="FFFFFF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637381"/>
                <w:sz w:val="18"/>
              </w:rPr>
              <w:t>完成退费申请、审核、处理和留痕。</w:t>
            </w:r>
          </w:p>
        </w:tc>
      </w:tr>
      <w:tr>
        <w:trPr>
          <w:cantSplit/>
        </w:trPr>
        <w:tc>
          <w:tcPr>
            <w:tcW w:type="dxa" w:w="3175"/>
            <w:shd w:fill="F7FAFC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4E79"/>
                <w:sz w:val="18"/>
              </w:rPr>
              <w:t>10.5</w:t>
            </w:r>
          </w:p>
        </w:tc>
        <w:tc>
          <w:tcPr>
            <w:tcW w:type="dxa" w:w="3175"/>
            <w:shd w:fill="F7FAFC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对账与报表</w:t>
            </w:r>
          </w:p>
        </w:tc>
        <w:tc>
          <w:tcPr>
            <w:tcW w:type="dxa" w:w="3175"/>
            <w:shd w:fill="F7FAFC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637381"/>
                <w:sz w:val="18"/>
              </w:rPr>
              <w:t>输出财务统计与异常核对报表。</w:t>
            </w:r>
          </w:p>
        </w:tc>
      </w:tr>
      <w:tr>
        <w:trPr>
          <w:cantSplit/>
        </w:trPr>
        <w:tc>
          <w:tcPr>
            <w:tcW w:type="dxa" w:w="3175"/>
            <w:shd w:fill="FFFFFF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11</w:t>
            </w:r>
          </w:p>
        </w:tc>
        <w:tc>
          <w:tcPr>
            <w:tcW w:type="dxa" w:w="3175"/>
            <w:shd w:fill="FFFFFF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/>
                <w:color w:val="2D3748"/>
                <w:sz w:val="18"/>
              </w:rPr>
              <w:t>测试与质量保障</w:t>
            </w:r>
          </w:p>
        </w:tc>
        <w:tc>
          <w:tcPr>
            <w:tcW w:type="dxa" w:w="3175"/>
            <w:shd w:fill="FFFFFF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637381"/>
                <w:sz w:val="18"/>
              </w:rPr>
              <w:t>规定测试策略、质量门禁和缺陷管理方式。</w:t>
            </w:r>
          </w:p>
        </w:tc>
      </w:tr>
      <w:tr>
        <w:trPr>
          <w:cantSplit/>
        </w:trPr>
        <w:tc>
          <w:tcPr>
            <w:tcW w:type="dxa" w:w="3175"/>
            <w:shd w:fill="F7FAFC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4E79"/>
                <w:sz w:val="18"/>
              </w:rPr>
              <w:t>11.1</w:t>
            </w:r>
          </w:p>
        </w:tc>
        <w:tc>
          <w:tcPr>
            <w:tcW w:type="dxa" w:w="3175"/>
            <w:shd w:fill="F7FAFC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测试策略</w:t>
            </w:r>
          </w:p>
        </w:tc>
        <w:tc>
          <w:tcPr>
            <w:tcW w:type="dxa" w:w="3175"/>
            <w:shd w:fill="F7FAFC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637381"/>
                <w:sz w:val="18"/>
              </w:rPr>
              <w:t>明确单元、功能、接口、性能和安全测试分层。</w:t>
            </w:r>
          </w:p>
        </w:tc>
      </w:tr>
      <w:tr>
        <w:trPr>
          <w:cantSplit/>
        </w:trPr>
        <w:tc>
          <w:tcPr>
            <w:tcW w:type="dxa" w:w="3175"/>
            <w:shd w:fill="FFFFFF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4E79"/>
                <w:sz w:val="18"/>
              </w:rPr>
              <w:t>11.2</w:t>
            </w:r>
          </w:p>
        </w:tc>
        <w:tc>
          <w:tcPr>
            <w:tcW w:type="dxa" w:w="3175"/>
            <w:shd w:fill="FFFFFF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功能与回归测试</w:t>
            </w:r>
          </w:p>
        </w:tc>
        <w:tc>
          <w:tcPr>
            <w:tcW w:type="dxa" w:w="3175"/>
            <w:shd w:fill="FFFFFF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637381"/>
                <w:sz w:val="18"/>
              </w:rPr>
              <w:t>覆盖核心流程串测、回归和权限矩阵校验。</w:t>
            </w:r>
          </w:p>
        </w:tc>
      </w:tr>
      <w:tr>
        <w:trPr>
          <w:cantSplit/>
        </w:trPr>
        <w:tc>
          <w:tcPr>
            <w:tcW w:type="dxa" w:w="3175"/>
            <w:shd w:fill="F7FAFC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4E79"/>
                <w:sz w:val="18"/>
              </w:rPr>
              <w:t>11.3</w:t>
            </w:r>
          </w:p>
        </w:tc>
        <w:tc>
          <w:tcPr>
            <w:tcW w:type="dxa" w:w="3175"/>
            <w:shd w:fill="F7FAFC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权限、安全与性能测试</w:t>
            </w:r>
          </w:p>
        </w:tc>
        <w:tc>
          <w:tcPr>
            <w:tcW w:type="dxa" w:w="3175"/>
            <w:shd w:fill="F7FAFC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637381"/>
                <w:sz w:val="18"/>
              </w:rPr>
              <w:t>验证越权、敏感信息、接口性能和稳定性。</w:t>
            </w:r>
          </w:p>
        </w:tc>
      </w:tr>
      <w:tr>
        <w:trPr>
          <w:cantSplit/>
        </w:trPr>
        <w:tc>
          <w:tcPr>
            <w:tcW w:type="dxa" w:w="3175"/>
            <w:shd w:fill="FFFFFF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4E79"/>
                <w:sz w:val="18"/>
              </w:rPr>
              <w:t>11.4</w:t>
            </w:r>
          </w:p>
        </w:tc>
        <w:tc>
          <w:tcPr>
            <w:tcW w:type="dxa" w:w="3175"/>
            <w:shd w:fill="FFFFFF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缺陷管理机制</w:t>
            </w:r>
          </w:p>
        </w:tc>
        <w:tc>
          <w:tcPr>
            <w:tcW w:type="dxa" w:w="3175"/>
            <w:shd w:fill="FFFFFF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637381"/>
                <w:sz w:val="18"/>
              </w:rPr>
              <w:t>定义缺陷等级、修复时限和回归规则。</w:t>
            </w:r>
          </w:p>
        </w:tc>
      </w:tr>
      <w:tr>
        <w:trPr>
          <w:cantSplit/>
        </w:trPr>
        <w:tc>
          <w:tcPr>
            <w:tcW w:type="dxa" w:w="3175"/>
            <w:shd w:fill="F7FAFC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12</w:t>
            </w:r>
          </w:p>
        </w:tc>
        <w:tc>
          <w:tcPr>
            <w:tcW w:type="dxa" w:w="3175"/>
            <w:shd w:fill="F7FAFC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/>
                <w:color w:val="2D3748"/>
                <w:sz w:val="18"/>
              </w:rPr>
              <w:t>数据迁移与上线准备</w:t>
            </w:r>
          </w:p>
        </w:tc>
        <w:tc>
          <w:tcPr>
            <w:tcW w:type="dxa" w:w="3175"/>
            <w:shd w:fill="F7FAFC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637381"/>
                <w:sz w:val="18"/>
              </w:rPr>
              <w:t>落实历史数据处理和生产切换准备。</w:t>
            </w:r>
          </w:p>
        </w:tc>
      </w:tr>
      <w:tr>
        <w:trPr>
          <w:cantSplit/>
        </w:trPr>
        <w:tc>
          <w:tcPr>
            <w:tcW w:type="dxa" w:w="3175"/>
            <w:shd w:fill="FFFFFF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4E79"/>
                <w:sz w:val="18"/>
              </w:rPr>
              <w:t>12.1</w:t>
            </w:r>
          </w:p>
        </w:tc>
        <w:tc>
          <w:tcPr>
            <w:tcW w:type="dxa" w:w="3175"/>
            <w:shd w:fill="FFFFFF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数据源盘点</w:t>
            </w:r>
          </w:p>
        </w:tc>
        <w:tc>
          <w:tcPr>
            <w:tcW w:type="dxa" w:w="3175"/>
            <w:shd w:fill="FFFFFF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637381"/>
                <w:sz w:val="18"/>
              </w:rPr>
              <w:t>盘点历史 Excel、台账和旧系统数据来源。</w:t>
            </w:r>
          </w:p>
        </w:tc>
      </w:tr>
      <w:tr>
        <w:trPr>
          <w:cantSplit/>
        </w:trPr>
        <w:tc>
          <w:tcPr>
            <w:tcW w:type="dxa" w:w="3175"/>
            <w:shd w:fill="F7FAFC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4E79"/>
                <w:sz w:val="18"/>
              </w:rPr>
              <w:t>12.2</w:t>
            </w:r>
          </w:p>
        </w:tc>
        <w:tc>
          <w:tcPr>
            <w:tcW w:type="dxa" w:w="3175"/>
            <w:shd w:fill="F7FAFC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字段映射与清洗</w:t>
            </w:r>
          </w:p>
        </w:tc>
        <w:tc>
          <w:tcPr>
            <w:tcW w:type="dxa" w:w="3175"/>
            <w:shd w:fill="F7FAFC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637381"/>
                <w:sz w:val="18"/>
              </w:rPr>
              <w:t>完成字段映射、去重、纠错和补齐。</w:t>
            </w:r>
          </w:p>
        </w:tc>
      </w:tr>
      <w:tr>
        <w:trPr>
          <w:cantSplit/>
        </w:trPr>
        <w:tc>
          <w:tcPr>
            <w:tcW w:type="dxa" w:w="3175"/>
            <w:shd w:fill="FFFFFF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4E79"/>
                <w:sz w:val="18"/>
              </w:rPr>
              <w:t>12.3</w:t>
            </w:r>
          </w:p>
        </w:tc>
        <w:tc>
          <w:tcPr>
            <w:tcW w:type="dxa" w:w="3175"/>
            <w:shd w:fill="FFFFFF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迁移演练</w:t>
            </w:r>
          </w:p>
        </w:tc>
        <w:tc>
          <w:tcPr>
            <w:tcW w:type="dxa" w:w="3175"/>
            <w:shd w:fill="FFFFFF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637381"/>
                <w:sz w:val="18"/>
              </w:rPr>
              <w:t>组织至少两轮迁移演练并形成报告。</w:t>
            </w:r>
          </w:p>
        </w:tc>
      </w:tr>
      <w:tr>
        <w:trPr>
          <w:cantSplit/>
        </w:trPr>
        <w:tc>
          <w:tcPr>
            <w:tcW w:type="dxa" w:w="3175"/>
            <w:shd w:fill="F7FAFC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4E79"/>
                <w:sz w:val="18"/>
              </w:rPr>
              <w:t>12.4</w:t>
            </w:r>
          </w:p>
        </w:tc>
        <w:tc>
          <w:tcPr>
            <w:tcW w:type="dxa" w:w="3175"/>
            <w:shd w:fill="F7FAFC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上线切换方案</w:t>
            </w:r>
          </w:p>
        </w:tc>
        <w:tc>
          <w:tcPr>
            <w:tcW w:type="dxa" w:w="3175"/>
            <w:shd w:fill="F7FAFC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637381"/>
                <w:sz w:val="18"/>
              </w:rPr>
              <w:t>明确停机窗口、切换步骤和职责分工。</w:t>
            </w:r>
          </w:p>
        </w:tc>
      </w:tr>
      <w:tr>
        <w:trPr>
          <w:cantSplit/>
        </w:trPr>
        <w:tc>
          <w:tcPr>
            <w:tcW w:type="dxa" w:w="3175"/>
            <w:shd w:fill="FFFFFF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4E79"/>
                <w:sz w:val="18"/>
              </w:rPr>
              <w:t>12.5</w:t>
            </w:r>
          </w:p>
        </w:tc>
        <w:tc>
          <w:tcPr>
            <w:tcW w:type="dxa" w:w="3175"/>
            <w:shd w:fill="FFFFFF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回滚与应急预案</w:t>
            </w:r>
          </w:p>
        </w:tc>
        <w:tc>
          <w:tcPr>
            <w:tcW w:type="dxa" w:w="3175"/>
            <w:shd w:fill="FFFFFF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637381"/>
                <w:sz w:val="18"/>
              </w:rPr>
              <w:t>形成问题回滚、数据恢复和应急通讯机制。</w:t>
            </w:r>
          </w:p>
        </w:tc>
      </w:tr>
      <w:tr>
        <w:trPr>
          <w:cantSplit/>
        </w:trPr>
        <w:tc>
          <w:tcPr>
            <w:tcW w:type="dxa" w:w="3175"/>
            <w:shd w:fill="F7FAFC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13</w:t>
            </w:r>
          </w:p>
        </w:tc>
        <w:tc>
          <w:tcPr>
            <w:tcW w:type="dxa" w:w="3175"/>
            <w:shd w:fill="F7FAFC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/>
                <w:color w:val="2D3748"/>
                <w:sz w:val="18"/>
              </w:rPr>
              <w:t>试点、培训与验收</w:t>
            </w:r>
          </w:p>
        </w:tc>
        <w:tc>
          <w:tcPr>
            <w:tcW w:type="dxa" w:w="3175"/>
            <w:shd w:fill="F7FAFC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637381"/>
                <w:sz w:val="18"/>
              </w:rPr>
              <w:t>安排培训、试点运行和最终验收。</w:t>
            </w:r>
          </w:p>
        </w:tc>
      </w:tr>
      <w:tr>
        <w:trPr>
          <w:cantSplit/>
        </w:trPr>
        <w:tc>
          <w:tcPr>
            <w:tcW w:type="dxa" w:w="3175"/>
            <w:shd w:fill="FFFFFF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4E79"/>
                <w:sz w:val="18"/>
              </w:rPr>
              <w:t>13.1</w:t>
            </w:r>
          </w:p>
        </w:tc>
        <w:tc>
          <w:tcPr>
            <w:tcW w:type="dxa" w:w="3175"/>
            <w:shd w:fill="FFFFFF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用户培训计划</w:t>
            </w:r>
          </w:p>
        </w:tc>
        <w:tc>
          <w:tcPr>
            <w:tcW w:type="dxa" w:w="3175"/>
            <w:shd w:fill="FFFFFF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637381"/>
                <w:sz w:val="18"/>
              </w:rPr>
              <w:t>按角色组织管理员、教务、财务和教师培训。</w:t>
            </w:r>
          </w:p>
        </w:tc>
      </w:tr>
      <w:tr>
        <w:trPr>
          <w:cantSplit/>
        </w:trPr>
        <w:tc>
          <w:tcPr>
            <w:tcW w:type="dxa" w:w="3175"/>
            <w:shd w:fill="F7FAFC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4E79"/>
                <w:sz w:val="18"/>
              </w:rPr>
              <w:t>13.2</w:t>
            </w:r>
          </w:p>
        </w:tc>
        <w:tc>
          <w:tcPr>
            <w:tcW w:type="dxa" w:w="3175"/>
            <w:shd w:fill="F7FAFC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试点运行计划</w:t>
            </w:r>
          </w:p>
        </w:tc>
        <w:tc>
          <w:tcPr>
            <w:tcW w:type="dxa" w:w="3175"/>
            <w:shd w:fill="F7FAFC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637381"/>
                <w:sz w:val="18"/>
              </w:rPr>
              <w:t>选择试点范围并形成现场支持机制。</w:t>
            </w:r>
          </w:p>
        </w:tc>
      </w:tr>
      <w:tr>
        <w:trPr>
          <w:cantSplit/>
        </w:trPr>
        <w:tc>
          <w:tcPr>
            <w:tcW w:type="dxa" w:w="3175"/>
            <w:shd w:fill="FFFFFF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4E79"/>
                <w:sz w:val="18"/>
              </w:rPr>
              <w:t>13.3</w:t>
            </w:r>
          </w:p>
        </w:tc>
        <w:tc>
          <w:tcPr>
            <w:tcW w:type="dxa" w:w="3175"/>
            <w:shd w:fill="FFFFFF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保运支持</w:t>
            </w:r>
          </w:p>
        </w:tc>
        <w:tc>
          <w:tcPr>
            <w:tcW w:type="dxa" w:w="3175"/>
            <w:shd w:fill="FFFFFF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637381"/>
                <w:sz w:val="18"/>
              </w:rPr>
              <w:t>安排上线后日报、值守和问题闭环。</w:t>
            </w:r>
          </w:p>
        </w:tc>
      </w:tr>
      <w:tr>
        <w:trPr>
          <w:cantSplit/>
        </w:trPr>
        <w:tc>
          <w:tcPr>
            <w:tcW w:type="dxa" w:w="3175"/>
            <w:shd w:fill="F7FAFC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4E79"/>
                <w:sz w:val="18"/>
              </w:rPr>
              <w:t>13.4</w:t>
            </w:r>
          </w:p>
        </w:tc>
        <w:tc>
          <w:tcPr>
            <w:tcW w:type="dxa" w:w="3175"/>
            <w:shd w:fill="F7FAFC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验收标准</w:t>
            </w:r>
          </w:p>
        </w:tc>
        <w:tc>
          <w:tcPr>
            <w:tcW w:type="dxa" w:w="3175"/>
            <w:shd w:fill="F7FAFC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637381"/>
                <w:sz w:val="18"/>
              </w:rPr>
              <w:t>明确通过标准、验收清单和签收方式。</w:t>
            </w:r>
          </w:p>
        </w:tc>
      </w:tr>
      <w:tr>
        <w:trPr>
          <w:cantSplit/>
        </w:trPr>
        <w:tc>
          <w:tcPr>
            <w:tcW w:type="dxa" w:w="3175"/>
            <w:shd w:fill="FFFFFF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14</w:t>
            </w:r>
          </w:p>
        </w:tc>
        <w:tc>
          <w:tcPr>
            <w:tcW w:type="dxa" w:w="3175"/>
            <w:shd w:fill="FFFFFF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/>
                <w:color w:val="2D3748"/>
                <w:sz w:val="18"/>
              </w:rPr>
              <w:t>风险管理与二期规划</w:t>
            </w:r>
          </w:p>
        </w:tc>
        <w:tc>
          <w:tcPr>
            <w:tcW w:type="dxa" w:w="3175"/>
            <w:shd w:fill="FFFFFF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637381"/>
                <w:sz w:val="18"/>
              </w:rPr>
              <w:t>沉淀风险、变更控制和后续扩展方向。</w:t>
            </w:r>
          </w:p>
        </w:tc>
      </w:tr>
      <w:tr>
        <w:trPr>
          <w:cantSplit/>
        </w:trPr>
        <w:tc>
          <w:tcPr>
            <w:tcW w:type="dxa" w:w="3175"/>
            <w:shd w:fill="F7FAFC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4E79"/>
                <w:sz w:val="18"/>
              </w:rPr>
              <w:t>14.1</w:t>
            </w:r>
          </w:p>
        </w:tc>
        <w:tc>
          <w:tcPr>
            <w:tcW w:type="dxa" w:w="3175"/>
            <w:shd w:fill="F7FAFC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主要风险与应对</w:t>
            </w:r>
          </w:p>
        </w:tc>
        <w:tc>
          <w:tcPr>
            <w:tcW w:type="dxa" w:w="3175"/>
            <w:shd w:fill="F7FAFC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637381"/>
                <w:sz w:val="18"/>
              </w:rPr>
              <w:t>聚焦需求膨胀、数据质量、接口延期和权限复杂度。</w:t>
            </w:r>
          </w:p>
        </w:tc>
      </w:tr>
      <w:tr>
        <w:trPr>
          <w:cantSplit/>
        </w:trPr>
        <w:tc>
          <w:tcPr>
            <w:tcW w:type="dxa" w:w="3175"/>
            <w:shd w:fill="FFFFFF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4E79"/>
                <w:sz w:val="18"/>
              </w:rPr>
              <w:t>14.2</w:t>
            </w:r>
          </w:p>
        </w:tc>
        <w:tc>
          <w:tcPr>
            <w:tcW w:type="dxa" w:w="3175"/>
            <w:shd w:fill="FFFFFF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变更控制机制</w:t>
            </w:r>
          </w:p>
        </w:tc>
        <w:tc>
          <w:tcPr>
            <w:tcW w:type="dxa" w:w="3175"/>
            <w:shd w:fill="FFFFFF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637381"/>
                <w:sz w:val="18"/>
              </w:rPr>
              <w:t>明确新增需求、范围调整和排期变更的审批规则。</w:t>
            </w:r>
          </w:p>
        </w:tc>
      </w:tr>
      <w:tr>
        <w:trPr>
          <w:cantSplit/>
        </w:trPr>
        <w:tc>
          <w:tcPr>
            <w:tcW w:type="dxa" w:w="3175"/>
            <w:shd w:fill="F7FAFC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4E79"/>
                <w:sz w:val="18"/>
              </w:rPr>
              <w:t>14.3</w:t>
            </w:r>
          </w:p>
        </w:tc>
        <w:tc>
          <w:tcPr>
            <w:tcW w:type="dxa" w:w="3175"/>
            <w:shd w:fill="F7FAFC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二期需求池</w:t>
            </w:r>
          </w:p>
        </w:tc>
        <w:tc>
          <w:tcPr>
            <w:tcW w:type="dxa" w:w="3175"/>
            <w:shd w:fill="F7FAFC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637381"/>
                <w:sz w:val="18"/>
              </w:rPr>
              <w:t>沉淀延期模块与后续扩展建议。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524"/>
            <w:shd w:fill="EAF2F8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/>
                <w:color w:val="374151"/>
                <w:sz w:val="20"/>
              </w:rPr>
              <w:t>目录使用提示：</w:t>
            </w:r>
            <w:r>
              <w:rPr>
                <w:rFonts w:ascii="Noto Sans CJK SC" w:hAnsi="Noto Sans CJK SC" w:eastAsia="Noto Sans CJK SC"/>
                <w:b w:val="0"/>
                <w:color w:val="374151"/>
                <w:sz w:val="20"/>
              </w:rPr>
              <w:t>目录结构总览至此结束；下一页为 26 周甘特图排期，可直接用于项目周会、月度汇报和里程碑跟踪。</w:t>
            </w:r>
          </w:p>
        </w:tc>
      </w:tr>
    </w:tbl>
    <w:p>
      <w:pPr>
        <w:sectPr>
          <w:footerReference w:type="default" r:id="rId10"/>
          <w:pgSz w:w="11906" w:h="16838"/>
          <w:pgMar w:top="1134" w:right="1191" w:bottom="1020" w:left="1191" w:header="720" w:footer="720" w:gutter="0"/>
          <w:cols w:space="720"/>
          <w:docGrid w:linePitch="360"/>
        </w:sectPr>
      </w:pPr>
    </w:p>
    <w:p>
      <w:pPr>
        <w:pStyle w:val="Heading2"/>
      </w:pPr>
      <w:r>
        <w:t>补充建议：3.6 技术架构与技术栈选型</w:t>
      </w:r>
    </w:p>
    <w:p>
      <w:pPr/>
      <w:r>
        <w:t>为补足正式版文档对技术路线的说明，建议在正式版正文第 3 章新增“3.6 技术架构与技术栈选型”小节，建议内容如下：</w:t>
      </w:r>
    </w:p>
    <w:p>
      <w:pPr/>
      <w:r>
        <w:t>• 前端管理端：建议采用 Vue 3 + TypeScript + Vite + Pinia + Vue Router + Element Plus，满足后台管理系统对表单、表格、权限路由和组件复用的要求。</w:t>
      </w:r>
    </w:p>
    <w:p>
      <w:pPr/>
      <w:r>
        <w:t>• 前端教师端：建议采用基于 Vue 3 的 H5 方案，与管理端共享接口规范和部分组件能力；若后续明确需要接入微信小程序，可在二期扩展为 uni-app。</w:t>
      </w:r>
    </w:p>
    <w:p>
      <w:pPr/>
      <w:r>
        <w:t>• 后端服务：建议采用 Java 17 + Spring Boot + Spring Cloud Alibaba，按认证权限、基础数据、教务、审批、收费、消息等领域拆分微服务。</w:t>
      </w:r>
    </w:p>
    <w:p>
      <w:pPr/>
      <w:r>
        <w:t>• 网关与安全：建议采用 Spring Cloud Gateway 作为统一入口，结合 Spring Security + JWT 实现认证、鉴权、接口保护与数据权限控制。</w:t>
      </w:r>
    </w:p>
    <w:p>
      <w:pPr/>
      <w:r>
        <w:t>• 数据访问层：建议采用 MyBatis-Plus 作为主要 ORM 框架，核心业务数据落地 PostgreSQL，Redis 负责缓存、会话、验证码和热点数据加速。</w:t>
      </w:r>
    </w:p>
    <w:p>
      <w:pPr/>
      <w:r>
        <w:t>• 消息与文件能力：建议采用 RabbitMQ 处理异步通知、审批流转和解耦场景，采用 MinIO 统一存储附件、导入模板、报表和图片等对象文件。</w:t>
      </w:r>
    </w:p>
    <w:p>
      <w:pPr/>
      <w:r>
        <w:t>• 运维与观测：建议采用 Docker + Nginx 进行部署与反向代理，监控层建议采用 Prometheus + Grafana，链路与日志可按资源条件选用 SkyWalking 与 ELK/EFK。</w:t>
      </w:r>
    </w:p>
    <w:p>
      <w:pPr/>
      <w:r>
        <w:t>• 研发与交付：建议采用 Maven 进行构建管理，接口文档采用 OpenAPI/Swagger，测试侧采用 JUnit 5 + Mockito，代码托管与持续集成可沿用 GitHub。</w:t>
      </w:r>
    </w:p>
    <w:p>
      <w:pPr/>
      <w:r>
        <w:t>• 选型原则：以上方案兼顾微服务扩展性、学校 ERP 业务复杂度与毕业设计可落地性；若学校已有既有技术栈或部署限制，应优先保证兼容性与可交付性。</w:t>
      </w:r>
    </w:p>
    <w:p>
      <w:pPr/>
    </w:p>
    <w:p>
      <w:pPr>
        <w:pStyle w:val="Heading1"/>
        <w:jc w:val="left"/>
      </w:pPr>
      <w:r>
        <w:t>3. 26 周甘特图排期</w:t>
      </w:r>
    </w:p>
    <w:p>
      <w:pPr>
        <w:spacing w:before="0" w:after="40" w:line="300" w:lineRule="auto"/>
      </w:pPr>
      <w:r>
        <w:rPr>
          <w:rFonts w:ascii="Noto Sans CJK SC" w:hAnsi="Noto Sans CJK SC" w:eastAsia="Noto Sans CJK SC"/>
          <w:b w:val="0"/>
          <w:color w:val="2D3748"/>
          <w:sz w:val="20"/>
        </w:rPr>
        <w:t>以下排期以“6 个月 / 26 周 / 一期上线”作为控制基线，适合项目经理、产品、研发、测试和实施共同对齐执行节奏。若中途新增模块、增加第三方接口或扩大试点范围，应以本图为基线发起变更评审。</w:t>
      </w:r>
    </w:p>
    <w:p>
      <w:r>
        <w:drawing>
          <wp:inline xmlns:a="http://schemas.openxmlformats.org/drawingml/2006/main" xmlns:pic="http://schemas.openxmlformats.org/drawingml/2006/picture">
            <wp:extent cx="9324000" cy="54218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学校ERP系统_26周甘特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324000" cy="54218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8" w:h="11906" w:orient="landscape"/>
          <w:pgMar w:top="794" w:right="709" w:bottom="680" w:left="709" w:header="720" w:footer="720" w:gutter="0"/>
          <w:cols w:space="720"/>
          <w:docGrid w:linePitch="360"/>
        </w:sectPr>
      </w:pPr>
    </w:p>
    <w:p>
      <w:pPr>
        <w:pStyle w:val="Heading1"/>
      </w:pPr>
      <w:r>
        <w:t>4. 关键里程碑节点</w:t>
      </w:r>
    </w:p>
    <w:p>
      <w:pPr>
        <w:spacing w:before="0" w:after="40" w:line="300" w:lineRule="auto"/>
      </w:pPr>
      <w:r>
        <w:rPr>
          <w:rFonts w:ascii="Noto Sans CJK SC" w:hAnsi="Noto Sans CJK SC" w:eastAsia="Noto Sans CJK SC"/>
          <w:b w:val="0"/>
          <w:color w:val="2D3748"/>
          <w:sz w:val="21"/>
        </w:rPr>
        <w:t>里程碑用于判断阶段完成度和是否允许进入下一阶段，建议作为项目周会和月度评审的统一口径。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 w:val="true"/>
          <w:cantSplit/>
        </w:trPr>
        <w:tc>
          <w:tcPr>
            <w:tcW w:type="dxa" w:w="1134"/>
            <w:shd w:fill="1F4E7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4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里程碑</w:t>
            </w:r>
          </w:p>
        </w:tc>
        <w:tc>
          <w:tcPr>
            <w:tcW w:type="dxa" w:w="1247"/>
            <w:shd w:fill="1F4E7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4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周次</w:t>
            </w:r>
          </w:p>
        </w:tc>
        <w:tc>
          <w:tcPr>
            <w:tcW w:type="dxa" w:w="2948"/>
            <w:shd w:fill="1F4E7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4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节点说明</w:t>
            </w:r>
          </w:p>
        </w:tc>
        <w:tc>
          <w:tcPr>
            <w:tcW w:type="dxa" w:w="3572"/>
            <w:shd w:fill="1F4E7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4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退出标准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4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M1</w:t>
            </w:r>
          </w:p>
        </w:tc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4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W4</w:t>
            </w:r>
          </w:p>
        </w:tc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/>
                <w:color w:val="2D3748"/>
                <w:sz w:val="20"/>
              </w:rPr>
              <w:t>需求与蓝图冻结</w:t>
            </w:r>
          </w:p>
        </w:tc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637381"/>
                <w:sz w:val="20"/>
              </w:rPr>
              <w:t>一期范围、原型、数据模型和总体架构通过评审。</w:t>
            </w:r>
          </w:p>
        </w:tc>
      </w:tr>
      <w:tr>
        <w:trPr>
          <w:cantSplit/>
        </w:trPr>
        <w:tc>
          <w:tcPr>
            <w:tcW w:type="dxa" w:w="2381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4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M2</w:t>
            </w:r>
          </w:p>
        </w:tc>
        <w:tc>
          <w:tcPr>
            <w:tcW w:type="dxa" w:w="2381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4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W8</w:t>
            </w:r>
          </w:p>
        </w:tc>
        <w:tc>
          <w:tcPr>
            <w:tcW w:type="dxa" w:w="2381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/>
                <w:color w:val="2D3748"/>
                <w:sz w:val="20"/>
              </w:rPr>
              <w:t>平台底座与主数据可用</w:t>
            </w:r>
          </w:p>
        </w:tc>
        <w:tc>
          <w:tcPr>
            <w:tcW w:type="dxa" w:w="2381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637381"/>
                <w:sz w:val="20"/>
              </w:rPr>
              <w:t>登录权限、组织结构、学期课程和人员档案可维护。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4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M3</w:t>
            </w:r>
          </w:p>
        </w:tc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4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W12</w:t>
            </w:r>
          </w:p>
        </w:tc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/>
                <w:color w:val="2D3748"/>
                <w:sz w:val="20"/>
              </w:rPr>
              <w:t>教务核心完成</w:t>
            </w:r>
          </w:p>
        </w:tc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637381"/>
                <w:sz w:val="20"/>
              </w:rPr>
              <w:t>课表、考勤、成绩形成可演示的业务闭环。</w:t>
            </w:r>
          </w:p>
        </w:tc>
      </w:tr>
      <w:tr>
        <w:trPr>
          <w:cantSplit/>
        </w:trPr>
        <w:tc>
          <w:tcPr>
            <w:tcW w:type="dxa" w:w="2381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4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M4</w:t>
            </w:r>
          </w:p>
        </w:tc>
        <w:tc>
          <w:tcPr>
            <w:tcW w:type="dxa" w:w="2381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4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W16</w:t>
            </w:r>
          </w:p>
        </w:tc>
        <w:tc>
          <w:tcPr>
            <w:tcW w:type="dxa" w:w="2381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/>
                <w:color w:val="2D3748"/>
                <w:sz w:val="20"/>
              </w:rPr>
              <w:t>审批与收费主流程完成</w:t>
            </w:r>
          </w:p>
        </w:tc>
        <w:tc>
          <w:tcPr>
            <w:tcW w:type="dxa" w:w="2381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637381"/>
                <w:sz w:val="20"/>
              </w:rPr>
              <w:t>请假、调课、报修、账单、收退费和消息提醒可用。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4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M5</w:t>
            </w:r>
          </w:p>
        </w:tc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4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W22</w:t>
            </w:r>
          </w:p>
        </w:tc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/>
                <w:color w:val="2D3748"/>
                <w:sz w:val="20"/>
              </w:rPr>
              <w:t>RC 版本形成</w:t>
            </w:r>
          </w:p>
        </w:tc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637381"/>
                <w:sz w:val="20"/>
              </w:rPr>
              <w:t>UAT 收敛完成，第二轮迁移演练通过，可进入试点。</w:t>
            </w:r>
          </w:p>
        </w:tc>
      </w:tr>
      <w:tr>
        <w:trPr>
          <w:cantSplit/>
        </w:trPr>
        <w:tc>
          <w:tcPr>
            <w:tcW w:type="dxa" w:w="2381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4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M6</w:t>
            </w:r>
          </w:p>
        </w:tc>
        <w:tc>
          <w:tcPr>
            <w:tcW w:type="dxa" w:w="2381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4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W26</w:t>
            </w:r>
          </w:p>
        </w:tc>
        <w:tc>
          <w:tcPr>
            <w:tcW w:type="dxa" w:w="2381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/>
                <w:color w:val="2D3748"/>
                <w:sz w:val="20"/>
              </w:rPr>
              <w:t>正式上线完成</w:t>
            </w:r>
          </w:p>
        </w:tc>
        <w:tc>
          <w:tcPr>
            <w:tcW w:type="dxa" w:w="2381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637381"/>
                <w:sz w:val="20"/>
              </w:rPr>
              <w:t>生产切换、冒烟验证、保运机制和验收条件全部满足。</w:t>
            </w:r>
          </w:p>
        </w:tc>
      </w:tr>
    </w:tbl>
    <w:p>
      <w:pPr>
        <w:pStyle w:val="Heading1"/>
      </w:pPr>
      <w:r>
        <w:t>5. 使用建议</w:t>
      </w:r>
    </w:p>
    <w:p>
      <w:pPr>
        <w:spacing w:before="0" w:after="40" w:line="300" w:lineRule="auto"/>
        <w:ind w:left="170" w:hanging="170"/>
      </w:pPr>
      <w:r>
        <w:rPr>
          <w:rFonts w:ascii="Noto Sans CJK SC" w:hAnsi="Noto Sans CJK SC" w:eastAsia="Noto Sans CJK SC"/>
          <w:b w:val="0"/>
          <w:color w:val="2D3748"/>
          <w:sz w:val="20"/>
        </w:rPr>
        <w:t>• 本版本适合直接并入正式计划书作为“目录”与“排期”章节，也可单独用于立项汇报和项目评审。</w:t>
      </w:r>
    </w:p>
    <w:p>
      <w:pPr>
        <w:spacing w:before="0" w:after="40" w:line="300" w:lineRule="auto"/>
        <w:ind w:left="170" w:hanging="170"/>
      </w:pPr>
      <w:r>
        <w:rPr>
          <w:rFonts w:ascii="Noto Sans CJK SC" w:hAnsi="Noto Sans CJK SC" w:eastAsia="Noto Sans CJK SC"/>
          <w:b w:val="0"/>
          <w:color w:val="2D3748"/>
          <w:sz w:val="20"/>
        </w:rPr>
        <w:t>• 若后续需要扩写为完整计划书，可按本目录逐章补充正文，不建议在第 2 个月后再新增一级章节。</w:t>
      </w:r>
    </w:p>
    <w:p>
      <w:pPr>
        <w:spacing w:before="0" w:after="40" w:line="300" w:lineRule="auto"/>
        <w:ind w:left="170" w:hanging="170"/>
      </w:pPr>
      <w:r>
        <w:rPr>
          <w:rFonts w:ascii="Noto Sans CJK SC" w:hAnsi="Noto Sans CJK SC" w:eastAsia="Noto Sans CJK SC"/>
          <w:b w:val="0"/>
          <w:color w:val="2D3748"/>
          <w:sz w:val="20"/>
        </w:rPr>
        <w:t>• 甘特图建议在每周例会上按“实际完成 / 延期原因 / 风险动作 / 下周计划”四项口径进行更新。</w:t>
      </w:r>
    </w:p>
    <w:p>
      <w:pPr>
        <w:spacing w:before="0" w:after="40" w:line="300" w:lineRule="auto"/>
        <w:ind w:left="170" w:hanging="170"/>
      </w:pPr>
      <w:r>
        <w:rPr>
          <w:rFonts w:ascii="Noto Sans CJK SC" w:hAnsi="Noto Sans CJK SC" w:eastAsia="Noto Sans CJK SC"/>
          <w:b w:val="0"/>
          <w:color w:val="2D3748"/>
          <w:sz w:val="20"/>
        </w:rPr>
        <w:t>• 任何影响里程碑的新增事项，应优先走范围变更评审，避免在第 5 个月后继续扩张功能范围。</w:t>
      </w:r>
    </w:p>
    <w:sectPr w:rsidR="00FC693F" w:rsidRPr="0006063C" w:rsidSect="00034616">
      <w:pgSz w:w="11906" w:h="16838"/>
      <w:pgMar w:top="1134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 w:eastAsia="Noto Sans CJK SC"/>
        <w:color w:val="788291"/>
        <w:sz w:val="17"/>
      </w:rPr>
      <w:t>学校 ERP 系统（微服务版）项目开发计划书｜正式版目录结构与甘特图排期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color w:val="2D374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2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2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8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75B5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b w:val="0"/>
      <w:i/>
      <w:iCs/>
      <w:color w:val="63738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