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5095E">
      <w:pPr>
        <w:pStyle w:val="7"/>
        <w:ind w:left="0" w:firstLine="0"/>
        <w:jc w:val="center"/>
        <w:rPr>
          <w:rFonts w:hint="eastAsia" w:asciiTheme="minorEastAsia" w:hAnsiTheme="minorEastAsia" w:eastAsiaTheme="minorEastAsia" w:cstheme="minorEastAsia"/>
          <w:sz w:val="28"/>
          <w:szCs w:val="28"/>
        </w:rPr>
      </w:pPr>
      <w:r>
        <w:rPr>
          <w:lang w:val="en-US" w:eastAsia="zh-CN"/>
        </w:rPr>
        <w:t>智能考试云平台软件测试报告</w:t>
      </w:r>
    </w:p>
    <w:p w14:paraId="2871A962">
      <w:pPr>
        <w:pStyle w:val="9"/>
        <w:tabs>
          <w:tab w:val="left" w:pos="3384"/>
          <w:tab w:val="left" w:pos="6840"/>
        </w:tabs>
        <w:ind w:left="0" w:firstLine="0"/>
        <w:jc w:val="left"/>
        <w:rPr>
          <w:rFonts w:hint="eastAsia" w:asciiTheme="minorEastAsia" w:hAnsiTheme="minorEastAsia" w:eastAsiaTheme="minorEastAsia" w:cstheme="minorEastAsia"/>
          <w:sz w:val="28"/>
          <w:szCs w:val="28"/>
        </w:rPr>
      </w:pPr>
      <w:r>
        <w:t>项目名称：智能考试云平台</w:t>
        <w:tab/>
        <w:t>报告版本：V1.2</w:t>
        <w:tab/>
        <w:t>编制日期：2026-06-17</w:t>
      </w:r>
    </w:p>
    <w:p w14:paraId="169DA9A0">
      <w:pPr>
        <w:pStyle w:val="10"/>
        <w:ind w:left="0" w:firstLine="0"/>
        <w:rPr>
          <w:rFonts w:hint="eastAsia" w:asciiTheme="minorEastAsia" w:hAnsiTheme="minorEastAsia" w:eastAsiaTheme="minorEastAsia" w:cstheme="minorEastAsia"/>
          <w:sz w:val="28"/>
          <w:szCs w:val="28"/>
        </w:rPr>
      </w:pPr>
      <w:r>
        <w:t>1 介绍</w:t>
      </w:r>
    </w:p>
    <w:p w14:paraId="03E7436B">
      <w:pPr>
        <w:pStyle w:val="10"/>
        <w:ind w:left="0" w:firstLine="0"/>
        <w:rPr>
          <w:rFonts w:hint="eastAsia" w:asciiTheme="minorEastAsia" w:hAnsiTheme="minorEastAsia" w:eastAsiaTheme="minorEastAsia" w:cstheme="minorEastAsia"/>
          <w:sz w:val="28"/>
          <w:szCs w:val="28"/>
        </w:rPr>
      </w:pPr>
      <w:r>
        <w:t>2 测试时间、地点和人员</w:t>
      </w:r>
    </w:p>
    <w:p w14:paraId="3CDDD9BB">
      <w:pPr>
        <w:pStyle w:val="10"/>
        <w:ind w:left="0" w:firstLine="0"/>
        <w:rPr>
          <w:rFonts w:hint="eastAsia" w:asciiTheme="minorEastAsia" w:hAnsiTheme="minorEastAsia" w:eastAsiaTheme="minorEastAsia" w:cstheme="minorEastAsia"/>
          <w:sz w:val="28"/>
          <w:szCs w:val="28"/>
        </w:rPr>
      </w:pPr>
      <w:r>
        <w:t>3 测试环境描述</w:t>
      </w:r>
    </w:p>
    <w:p w14:paraId="1DDC6F71">
      <w:pPr>
        <w:pStyle w:val="10"/>
        <w:ind w:left="0" w:firstLine="0"/>
        <w:rPr>
          <w:rFonts w:hint="eastAsia" w:asciiTheme="minorEastAsia" w:hAnsiTheme="minorEastAsia" w:eastAsiaTheme="minorEastAsia" w:cstheme="minorEastAsia"/>
          <w:sz w:val="28"/>
          <w:szCs w:val="28"/>
        </w:rPr>
      </w:pPr>
      <w:r>
        <w:t>4 测试数据度量</w:t>
      </w:r>
    </w:p>
    <w:p w14:paraId="118F0330">
      <w:pPr>
        <w:pStyle w:val="11"/>
        <w:ind w:left="0" w:firstLine="0"/>
        <w:rPr>
          <w:rFonts w:hint="eastAsia" w:asciiTheme="minorEastAsia" w:hAnsiTheme="minorEastAsia" w:eastAsiaTheme="minorEastAsia" w:cstheme="minorEastAsia"/>
          <w:sz w:val="28"/>
          <w:szCs w:val="28"/>
        </w:rPr>
      </w:pPr>
      <w:r>
        <w:t xml:space="preserve">4.1 测试用例执行度量 </w:t>
      </w:r>
    </w:p>
    <w:p w14:paraId="4D767C18">
      <w:pPr>
        <w:jc w:val="both"/>
        <w:rPr>
          <w:rFonts w:hint="eastAsia" w:asciiTheme="minorEastAsia" w:hAnsiTheme="minorEastAsia" w:eastAsiaTheme="minorEastAsia" w:cstheme="minorEastAsia"/>
          <w:sz w:val="28"/>
          <w:szCs w:val="28"/>
        </w:rPr>
      </w:pPr>
      <w:r>
        <w:t>本报告依据《Smart Exam Cloud PRD》《架构设计文档》《API 文档》以及截至 2026-06-17 的仓库测试资产、CI/CD 配置、自动化脚本、补充单元测试与执行留档编制，重点核对智能考试云平台现有测试资产、Python 业务链路回归脚本、前端/移动端异常流测试与项目代码是否一致，并结合 2026-06-17 的实际执行结果评估当前测试基线是否可作为课程验收、答辩展示和后续回归建设依据。</w:t>
      </w:r>
    </w:p>
    <w:tbl>
      <w:tblPr>
        <w:tblStyle w:val="5"/>
        <w:tblW w:w="0" w:type="auto"/>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1661"/>
        <w:gridCol w:w="1661"/>
        <w:gridCol w:w="1661"/>
        <w:gridCol w:w="1661"/>
        <w:gridCol w:w="1661"/>
      </w:tblGrid>
      <w:tr w14:paraId="79A2740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510" w:hRule="atLeast"/>
        </w:trPr>
        <w:tc>
          <w:tcPr>
            <w:tcW w:w="1814" w:type="dxa"/>
            <w:tcMar>
              <w:top w:w="80" w:type="dxa"/>
              <w:left w:w="120" w:type="dxa"/>
              <w:bottom w:w="80" w:type="dxa"/>
              <w:right w:w="120" w:type="dxa"/>
            </w:tcMar>
            <w:vAlign w:val="center"/>
          </w:tcPr>
          <w:p>
            <w:r>
              <w:t>被测对象</w:t>
            </w:r>
          </w:p>
        </w:tc>
        <w:tc>
          <w:tcPr>
            <w:tcW w:w="2381" w:type="dxa"/>
            <w:tcMar>
              <w:top w:w="80" w:type="dxa"/>
              <w:left w:w="120" w:type="dxa"/>
              <w:bottom w:w="80" w:type="dxa"/>
              <w:right w:w="120" w:type="dxa"/>
            </w:tcMar>
            <w:vAlign w:val="center"/>
          </w:tcPr>
          <w:p>
            <w:r>
              <w:t>Python测试脚本数</w:t>
            </w:r>
          </w:p>
        </w:tc>
        <w:tc>
          <w:tcPr>
            <w:tcW w:w="2268" w:type="dxa"/>
            <w:tcMar>
              <w:top w:w="80" w:type="dxa"/>
              <w:left w:w="120" w:type="dxa"/>
              <w:bottom w:w="80" w:type="dxa"/>
              <w:right w:w="120" w:type="dxa"/>
            </w:tcMar>
            <w:vAlign w:val="center"/>
          </w:tcPr>
          <w:p>
            <w:r>
              <w:t>其他自动化测试文件数</w:t>
            </w:r>
          </w:p>
        </w:tc>
        <w:tc>
          <w:tcPr>
            <w:tcW w:w="2268" w:type="dxa"/>
            <w:tcMar>
              <w:top w:w="80" w:type="dxa"/>
              <w:left w:w="120" w:type="dxa"/>
              <w:bottom w:w="80" w:type="dxa"/>
              <w:right w:w="120" w:type="dxa"/>
            </w:tcMar>
            <w:vAlign w:val="center"/>
          </w:tcPr>
          <w:p>
            <w:r>
              <w:t>可见测试用例/方法数</w:t>
            </w:r>
          </w:p>
        </w:tc>
        <w:tc>
          <w:tcPr>
            <w:tcW w:w="1587" w:type="dxa"/>
            <w:tcMar>
              <w:top w:w="80" w:type="dxa"/>
              <w:left w:w="120" w:type="dxa"/>
              <w:bottom w:w="80" w:type="dxa"/>
              <w:right w:w="120" w:type="dxa"/>
            </w:tcMar>
            <w:vAlign w:val="center"/>
          </w:tcPr>
          <w:p>
            <w:r>
              <w:t>说明</w:t>
            </w:r>
          </w:p>
        </w:tc>
      </w:tr>
      <w:tr w14:paraId="2C8AF2EC">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454" w:hRule="atLeast"/>
        </w:trPr>
        <w:tc>
          <w:tcPr>
            <w:tcW w:w="1814" w:type="dxa"/>
            <w:tcMar>
              <w:top w:w="80" w:type="dxa"/>
              <w:left w:w="120" w:type="dxa"/>
              <w:bottom w:w="80" w:type="dxa"/>
              <w:right w:w="120" w:type="dxa"/>
            </w:tcMar>
            <w:vAlign w:val="center"/>
          </w:tcPr>
          <w:p>
            <w:r>
              <w:t>Smart Exam Cloud V0.1.0</w:t>
            </w:r>
          </w:p>
        </w:tc>
        <w:tc>
          <w:tcPr>
            <w:tcW w:w="2381" w:type="dxa"/>
            <w:tcMar>
              <w:top w:w="80" w:type="dxa"/>
              <w:left w:w="120" w:type="dxa"/>
              <w:bottom w:w="80" w:type="dxa"/>
              <w:right w:w="120" w:type="dxa"/>
            </w:tcMar>
            <w:vAlign w:val="center"/>
          </w:tcPr>
          <w:p>
            <w:r>
              <w:t>3</w:t>
            </w:r>
          </w:p>
        </w:tc>
        <w:tc>
          <w:tcPr>
            <w:tcW w:w="2268" w:type="dxa"/>
            <w:tcMar>
              <w:top w:w="80" w:type="dxa"/>
              <w:left w:w="120" w:type="dxa"/>
              <w:bottom w:w="80" w:type="dxa"/>
              <w:right w:w="120" w:type="dxa"/>
            </w:tcMar>
            <w:vAlign w:val="center"/>
          </w:tcPr>
          <w:p>
            <w:r>
              <w:t>14</w:t>
            </w:r>
          </w:p>
        </w:tc>
        <w:tc>
          <w:tcPr>
            <w:tcW w:w="2268" w:type="dxa"/>
            <w:tcMar>
              <w:top w:w="80" w:type="dxa"/>
              <w:left w:w="120" w:type="dxa"/>
              <w:bottom w:w="80" w:type="dxa"/>
              <w:right w:w="120" w:type="dxa"/>
            </w:tcMar>
            <w:vAlign w:val="center"/>
          </w:tcPr>
          <w:p>
            <w:r>
              <w:t>43</w:t>
            </w:r>
          </w:p>
        </w:tc>
        <w:tc>
          <w:tcPr>
            <w:tcW w:w="1587" w:type="dxa"/>
            <w:tcMar>
              <w:top w:w="80" w:type="dxa"/>
              <w:left w:w="120" w:type="dxa"/>
              <w:bottom w:w="80" w:type="dxa"/>
              <w:right w:w="120" w:type="dxa"/>
            </w:tcMar>
            <w:vAlign w:val="center"/>
          </w:tcPr>
          <w:p>
            <w:r>
              <w:t>Python 3 脚本/1 单测；JUnit 22 + Vitest 8 + Miniapp 5 + Flutter 7；留档见 docs/test-artifacts/2026-06-17</w:t>
            </w:r>
          </w:p>
        </w:tc>
      </w:tr>
    </w:tbl>
    <w:p w14:paraId="455186D9">
      <w:pPr>
        <w:jc w:val="both"/>
        <w:rPr>
          <w:rFonts w:hint="eastAsia" w:asciiTheme="minorEastAsia" w:hAnsiTheme="minorEastAsia" w:eastAsiaTheme="minorEastAsia" w:cstheme="minorEastAsia"/>
          <w:sz w:val="28"/>
          <w:szCs w:val="28"/>
        </w:rPr>
      </w:pPr>
      <w:r>
        <w:t>测试时间：2026-06-17。测试地点：Windows 11 本地环境与项目运行目录 D:\ideaproject\smart-exam-cloud。测试人员：覃开洲；文档核对与修订：Codex；测试方式：仓库测试资产核对、后端/前端/Python 自动化执行、移动端用例补充与执行留档复核。</w:t>
      </w:r>
    </w:p>
    <w:p w14:paraId="7783A50C">
      <w:pPr>
        <w:jc w:val="both"/>
        <w:rPr>
          <w:rFonts w:hint="eastAsia" w:asciiTheme="minorEastAsia" w:hAnsiTheme="minorEastAsia" w:eastAsiaTheme="minorEastAsia" w:cstheme="minorEastAsia"/>
          <w:sz w:val="28"/>
          <w:szCs w:val="28"/>
        </w:rPr>
      </w:pPr>
      <w:r>
        <w:t>项目文档声明的推荐环境为 JDK 17、Maven 3.9+、Node.js 20+、Docker / Docker Compose；CD 工作流额外使用 Python 3.12 安装 scripts/deploy/requirements.txt 并执行部署后校验。中间件配置包括 MySQL、Redis、RabbitMQ、Nacos；被测系统由 gateway、auth、user、question、exam、grading、analysis、admin 八个微服务，以及 Web、Flutter、微信小程序三个客户端入口组成。</w:t>
      </w:r>
    </w:p>
    <w:p w14:paraId="43204A9B">
      <w:pPr>
        <w:jc w:val="both"/>
        <w:rPr>
          <w:rFonts w:hint="eastAsia" w:asciiTheme="minorEastAsia" w:hAnsiTheme="minorEastAsia" w:eastAsiaTheme="minorEastAsia" w:cstheme="minorEastAsia"/>
          <w:sz w:val="28"/>
          <w:szCs w:val="28"/>
        </w:rPr>
      </w:pPr>
      <w:r>
        <w:t>仓库可核对的自动化入口包括：scripts/ci/verify.sh 串行执行 Maven 测试、Web Vitest、Web 构建、小程序静态检查、小程序轻量流程测试和 Flutter 测试；scripts/deploy/smoke-check.py 提供部署后基础冒烟；scripts/deploy/business_regression.py 提供教师/学生双角色业务链回归；scripts/deploy/test_business_regression.py 对该回归脚本进行本地夹具自校验；perf/k6/smart-exam-read.js 提供读链路压测脚本。</w:t>
      </w:r>
    </w:p>
    <w:p w14:paraId="0D884DFC">
      <w:pPr>
        <w:jc w:val="both"/>
        <w:rPr>
          <w:rFonts w:hint="eastAsia" w:asciiTheme="minorEastAsia" w:hAnsiTheme="minorEastAsia" w:eastAsiaTheme="minorEastAsia" w:cstheme="minorEastAsia"/>
          <w:sz w:val="28"/>
          <w:szCs w:val="28"/>
        </w:rPr>
      </w:pPr>
      <w:r>
        <w:t>本次核对后，前端与移动端测试资产已更新为：smart-exam-web/src/ 下 3 个 Vitest 文件共 8 个用例，覆盖会话持久化、认证失效清理、登录重定向、越权回退等异常流；smart-exam-miniapp 现补充 1 个轻量流程测试脚本共 5 个用例，并保留 1 个静态检查脚本，覆盖鉴权头、401 回登录、空账号拦截、学生登录成功跳转、教师账号拦截；smart-exam-flutter/test/ 下 2 个测试文件共 7 个 widget 用例，覆盖登录页、考前检查、本地草稿冲突恢复及成绩页重试、待评阅、明细未开放等状态；后端 src/test/java 现共 8 个测试文件、22 个 @Test 方法。</w:t>
      </w:r>
    </w:p>
    <w:p w14:paraId="777F643F">
      <w:pPr>
        <w:pStyle w:val="11"/>
        <w:ind w:left="0" w:firstLine="0"/>
        <w:rPr>
          <w:rFonts w:hint="eastAsia" w:asciiTheme="minorEastAsia" w:hAnsiTheme="minorEastAsia" w:eastAsiaTheme="minorEastAsia" w:cstheme="minorEastAsia"/>
          <w:sz w:val="28"/>
          <w:szCs w:val="28"/>
        </w:rPr>
      </w:pPr>
      <w:r>
        <w:t xml:space="preserve">4.2 测试进度和工作量度量 </w:t>
      </w:r>
    </w:p>
    <w:p w14:paraId="38FBA799">
      <w:pPr>
        <w:pStyle w:val="12"/>
        <w:ind w:left="0" w:firstLine="0"/>
        <w:rPr>
          <w:rFonts w:hint="eastAsia" w:asciiTheme="minorEastAsia" w:hAnsiTheme="minorEastAsia" w:eastAsiaTheme="minorEastAsia" w:cstheme="minorEastAsia"/>
          <w:sz w:val="28"/>
          <w:szCs w:val="28"/>
        </w:rPr>
      </w:pPr>
      <w:r>
        <w:t>4.2.1 进度度量</w:t>
      </w:r>
    </w:p>
    <w:p w14:paraId="3769FE04">
      <w:pPr>
        <w:jc w:val="both"/>
        <w:rPr>
          <w:rFonts w:hint="eastAsia" w:asciiTheme="minorEastAsia" w:hAnsiTheme="minorEastAsia" w:eastAsiaTheme="minorEastAsia" w:cstheme="minorEastAsia"/>
          <w:sz w:val="28"/>
          <w:szCs w:val="28"/>
        </w:rPr>
      </w:pPr>
      <w:r>
        <w:t>截至 2026-06-17，仓库内可直接核对的自动化测试脚本/文件共 17 个：Python 相关脚本 3 个、后端 JUnit 测试文件 8 个、前端 Vitest 文件 3 个、Flutter 测试文件 2 个、小程序轻量流程测试脚本 1 个。另有小程序静态检查脚本 1 个、统一 CI 脚本 1 个与 k6 读链路压测脚本 1 个作为辅助测试资产。</w:t>
      </w:r>
    </w:p>
    <w:tbl>
      <w:tblPr>
        <w:tblStyle w:val="5"/>
        <w:tblW w:w="0" w:type="auto"/>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1661"/>
        <w:gridCol w:w="1661"/>
        <w:gridCol w:w="1661"/>
        <w:gridCol w:w="1661"/>
        <w:gridCol w:w="1661"/>
      </w:tblGrid>
      <w:tr w14:paraId="6B2DF87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510" w:hRule="atLeast"/>
        </w:trPr>
        <w:tc>
          <w:tcPr>
            <w:tcW w:w="1814" w:type="dxa"/>
            <w:tcMar>
              <w:top w:w="80" w:type="dxa"/>
              <w:left w:w="120" w:type="dxa"/>
              <w:bottom w:w="80" w:type="dxa"/>
              <w:right w:w="120" w:type="dxa"/>
            </w:tcMar>
            <w:vAlign w:val="center"/>
          </w:tcPr>
          <w:p w14:paraId="194827C3">
            <w:pPr>
              <w:spacing w:before="0" w:after="0" w:line="300" w:lineRule="auto"/>
              <w:jc w:val="center"/>
            </w:pPr>
            <w:r>
              <w:rPr>
                <w:rFonts w:ascii="宋体" w:hAnsi="宋体" w:eastAsia="宋体" w:cs="宋体"/>
                <w:b/>
                <w:sz w:val="22"/>
              </w:rPr>
              <w:t>任务</w:t>
            </w:r>
          </w:p>
        </w:tc>
        <w:tc>
          <w:tcPr>
            <w:tcW w:w="2381" w:type="dxa"/>
            <w:tcMar>
              <w:top w:w="80" w:type="dxa"/>
              <w:left w:w="120" w:type="dxa"/>
              <w:bottom w:w="80" w:type="dxa"/>
              <w:right w:w="120" w:type="dxa"/>
            </w:tcMar>
            <w:vAlign w:val="center"/>
          </w:tcPr>
          <w:p w14:paraId="0E5A190C">
            <w:pPr>
              <w:spacing w:before="0" w:after="0" w:line="300" w:lineRule="auto"/>
              <w:jc w:val="center"/>
            </w:pPr>
            <w:r>
              <w:rPr>
                <w:rFonts w:ascii="宋体" w:hAnsi="宋体" w:eastAsia="宋体" w:cs="宋体"/>
                <w:b/>
                <w:sz w:val="22"/>
              </w:rPr>
              <w:t>计划开始时间</w:t>
            </w:r>
          </w:p>
        </w:tc>
        <w:tc>
          <w:tcPr>
            <w:tcW w:w="2268" w:type="dxa"/>
            <w:tcMar>
              <w:top w:w="80" w:type="dxa"/>
              <w:left w:w="120" w:type="dxa"/>
              <w:bottom w:w="80" w:type="dxa"/>
              <w:right w:w="120" w:type="dxa"/>
            </w:tcMar>
            <w:vAlign w:val="center"/>
          </w:tcPr>
          <w:p w14:paraId="7725FCCC">
            <w:pPr>
              <w:spacing w:before="0" w:after="0" w:line="300" w:lineRule="auto"/>
              <w:jc w:val="center"/>
            </w:pPr>
            <w:r>
              <w:rPr>
                <w:rFonts w:ascii="宋体" w:hAnsi="宋体" w:eastAsia="宋体" w:cs="宋体"/>
                <w:b/>
                <w:sz w:val="22"/>
              </w:rPr>
              <w:t>计划结束时间</w:t>
            </w:r>
          </w:p>
        </w:tc>
        <w:tc>
          <w:tcPr>
            <w:tcW w:w="2268" w:type="dxa"/>
            <w:tcMar>
              <w:top w:w="80" w:type="dxa"/>
              <w:left w:w="120" w:type="dxa"/>
              <w:bottom w:w="80" w:type="dxa"/>
              <w:right w:w="120" w:type="dxa"/>
            </w:tcMar>
            <w:vAlign w:val="center"/>
          </w:tcPr>
          <w:p w14:paraId="478FA0A5">
            <w:pPr>
              <w:spacing w:before="0" w:after="0" w:line="300" w:lineRule="auto"/>
              <w:jc w:val="center"/>
            </w:pPr>
            <w:r>
              <w:rPr>
                <w:rFonts w:ascii="宋体" w:hAnsi="宋体" w:eastAsia="宋体" w:cs="宋体"/>
                <w:b/>
                <w:sz w:val="22"/>
              </w:rPr>
              <w:t>实际开始时间</w:t>
            </w:r>
          </w:p>
        </w:tc>
        <w:tc>
          <w:tcPr>
            <w:tcW w:w="1587" w:type="dxa"/>
            <w:tcMar>
              <w:top w:w="80" w:type="dxa"/>
              <w:left w:w="120" w:type="dxa"/>
              <w:bottom w:w="80" w:type="dxa"/>
              <w:right w:w="120" w:type="dxa"/>
            </w:tcMar>
            <w:vAlign w:val="center"/>
          </w:tcPr>
          <w:p w14:paraId="7CF5C90A">
            <w:pPr>
              <w:spacing w:before="0" w:after="0" w:line="300" w:lineRule="auto"/>
              <w:jc w:val="center"/>
            </w:pPr>
            <w:r>
              <w:rPr>
                <w:rFonts w:ascii="宋体" w:hAnsi="宋体" w:eastAsia="宋体" w:cs="宋体"/>
                <w:b/>
                <w:sz w:val="22"/>
              </w:rPr>
              <w:t>实际结束时间</w:t>
            </w:r>
          </w:p>
        </w:tc>
      </w:tr>
      <w:tr w14:paraId="6EA5454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454" w:hRule="atLeast"/>
        </w:trPr>
        <w:tc>
          <w:tcPr>
            <w:tcW w:w="1814" w:type="dxa"/>
            <w:tcMar>
              <w:top w:w="80" w:type="dxa"/>
              <w:left w:w="120" w:type="dxa"/>
              <w:bottom w:w="80" w:type="dxa"/>
              <w:right w:w="120" w:type="dxa"/>
            </w:tcMar>
            <w:vAlign w:val="center"/>
          </w:tcPr>
          <w:p>
            <w:r>
              <w:t>测试资产核对、补充测试、执行留档与报告修订</w:t>
            </w:r>
          </w:p>
        </w:tc>
        <w:tc>
          <w:tcPr>
            <w:tcW w:w="2381" w:type="dxa"/>
            <w:tcMar>
              <w:top w:w="80" w:type="dxa"/>
              <w:left w:w="120" w:type="dxa"/>
              <w:bottom w:w="80" w:type="dxa"/>
              <w:right w:w="120" w:type="dxa"/>
            </w:tcMar>
            <w:vAlign w:val="center"/>
          </w:tcPr>
          <w:p>
            <w:r>
              <w:t>2026-06-17</w:t>
            </w:r>
          </w:p>
        </w:tc>
        <w:tc>
          <w:tcPr>
            <w:tcW w:w="2268" w:type="dxa"/>
            <w:tcMar>
              <w:top w:w="80" w:type="dxa"/>
              <w:left w:w="120" w:type="dxa"/>
              <w:bottom w:w="80" w:type="dxa"/>
              <w:right w:w="120" w:type="dxa"/>
            </w:tcMar>
            <w:vAlign w:val="center"/>
          </w:tcPr>
          <w:p>
            <w:r>
              <w:t>2026-06-17</w:t>
            </w:r>
          </w:p>
        </w:tc>
        <w:tc>
          <w:tcPr>
            <w:tcW w:w="2268" w:type="dxa"/>
            <w:tcMar>
              <w:top w:w="80" w:type="dxa"/>
              <w:left w:w="120" w:type="dxa"/>
              <w:bottom w:w="80" w:type="dxa"/>
              <w:right w:w="120" w:type="dxa"/>
            </w:tcMar>
            <w:vAlign w:val="center"/>
          </w:tcPr>
          <w:p>
            <w:r>
              <w:t>2026-06-17</w:t>
            </w:r>
          </w:p>
        </w:tc>
        <w:tc>
          <w:tcPr>
            <w:tcW w:w="1587" w:type="dxa"/>
            <w:tcMar>
              <w:top w:w="80" w:type="dxa"/>
              <w:left w:w="120" w:type="dxa"/>
              <w:bottom w:w="80" w:type="dxa"/>
              <w:right w:w="120" w:type="dxa"/>
            </w:tcMar>
            <w:vAlign w:val="center"/>
          </w:tcPr>
          <w:p>
            <w:r>
              <w:t>2026-06-17</w:t>
            </w:r>
          </w:p>
        </w:tc>
      </w:tr>
    </w:tbl>
    <w:p w14:paraId="703CF458">
      <w:pPr>
        <w:jc w:val="both"/>
        <w:rPr>
          <w:rFonts w:hint="eastAsia" w:asciiTheme="minorEastAsia" w:hAnsiTheme="minorEastAsia" w:eastAsiaTheme="minorEastAsia" w:cstheme="minorEastAsia"/>
          <w:sz w:val="28"/>
          <w:szCs w:val="28"/>
        </w:rPr>
      </w:pPr>
      <w:r>
        <w:t>后端自动化测试已覆盖 auth-service、user-service、gateway-service、exam-service、grading-service、question-service、analysis-service、admin-service；其中 question-service、analysis-service、admin-service 的新增测试重点补齐了题库规则、报表生成和后台治理模块的核心业务校验。</w:t>
      </w:r>
    </w:p>
    <w:p w14:paraId="3D159E8A">
      <w:pPr>
        <w:jc w:val="both"/>
        <w:rPr>
          <w:rFonts w:hint="eastAsia" w:asciiTheme="minorEastAsia" w:hAnsiTheme="minorEastAsia" w:eastAsiaTheme="minorEastAsia" w:cstheme="minorEastAsia"/>
          <w:sz w:val="28"/>
          <w:szCs w:val="28"/>
        </w:rPr>
      </w:pPr>
      <w:r>
        <w:t>Python 自动化能力现已由“基础冒烟”扩展为“基础冒烟 + 业务链路回归 + 自校验单测”：smoke-check.py 负责服务健康与登录校验，business_regression.py 覆盖健康检查、登录、题库/试卷查询、教师考试列表、报表、学生考试、开考、答题、交卷和成绩查询链路，test_business_regression.py 通过本地模拟网关验证脚本输出与留档格式。</w:t>
      </w:r>
    </w:p>
    <w:p w14:paraId="344E6F62">
      <w:pPr>
        <w:jc w:val="both"/>
        <w:rPr>
          <w:rFonts w:hint="eastAsia" w:asciiTheme="minorEastAsia" w:hAnsiTheme="minorEastAsia" w:eastAsiaTheme="minorEastAsia" w:cstheme="minorEastAsia"/>
          <w:sz w:val="28"/>
          <w:szCs w:val="28"/>
        </w:rPr>
      </w:pPr>
      <w:r>
        <w:t>统一 CI 脚本仍是整体验证主线；本次实际执行并留档了 mvn test -Dtest=QuestionDomainServiceTest、mvn test -Dtest=ReportDomainServiceTest、mvn test -Dtest=AdminServiceTest、npm run test:ci、node scripts/ci/check-miniapp.js、node scripts/ci/test-miniapp.js、flutter test、python -m unittest scripts/deploy/test_business_regression.py，以及 business_regression.py 的本地夹具回归，执行结果统一归档至 docs/test-artifacts/2026-06-17。</w:t>
      </w:r>
    </w:p>
    <w:p w14:paraId="581B996C">
      <w:pPr>
        <w:jc w:val="both"/>
        <w:rPr>
          <w:rFonts w:hint="eastAsia" w:asciiTheme="minorEastAsia" w:hAnsiTheme="minorEastAsia" w:eastAsiaTheme="minorEastAsia" w:cstheme="minorEastAsia"/>
          <w:sz w:val="28"/>
          <w:szCs w:val="28"/>
        </w:rPr>
      </w:pPr>
      <w:r>
        <w:t>本节数据已按可核对证据重写，可直接作为课程项目答辩时说明“现有测试资产、补测结果、执行留档与剩余限制”的依据，但不等同于包含真实线上环境与人工探索测试在内的完整系统测试结论。</w:t>
      </w:r>
    </w:p>
    <w:p w14:paraId="6BA7EB6C">
      <w:pPr>
        <w:pStyle w:val="12"/>
        <w:ind w:left="0" w:firstLine="0"/>
        <w:rPr>
          <w:rFonts w:hint="eastAsia" w:asciiTheme="minorEastAsia" w:hAnsiTheme="minorEastAsia" w:eastAsiaTheme="minorEastAsia" w:cstheme="minorEastAsia"/>
          <w:sz w:val="28"/>
          <w:szCs w:val="28"/>
        </w:rPr>
      </w:pPr>
      <w:r>
        <w:t>4.2.2 工作量度量</w:t>
      </w:r>
    </w:p>
    <w:p w14:paraId="6150D0AA">
      <w:pPr>
        <w:jc w:val="both"/>
        <w:rPr>
          <w:rFonts w:hint="eastAsia" w:asciiTheme="minorEastAsia" w:hAnsiTheme="minorEastAsia" w:eastAsiaTheme="minorEastAsia" w:cstheme="minorEastAsia"/>
          <w:sz w:val="28"/>
          <w:szCs w:val="28"/>
        </w:rPr>
      </w:pPr>
      <w:r>
        <w:t>本次文档核对、补充测试、脚本补齐与报告修订时间为 2026-06-17；仓库最近一次提交时间仍为 2026-06-03 02:45:28 +08:00，报告内容以当前仓库基线和本次实际执行结果为准。</w:t>
      </w:r>
    </w:p>
    <w:tbl>
      <w:tblPr>
        <w:tblStyle w:val="5"/>
        <w:tblW w:w="0" w:type="auto"/>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2076"/>
        <w:gridCol w:w="2076"/>
        <w:gridCol w:w="2076"/>
        <w:gridCol w:w="2076"/>
      </w:tblGrid>
      <w:tr w14:paraId="39C339E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510" w:hRule="atLeast"/>
        </w:trPr>
        <w:tc>
          <w:tcPr>
            <w:tcW w:w="3402" w:type="dxa"/>
            <w:tcMar>
              <w:top w:w="80" w:type="dxa"/>
              <w:left w:w="120" w:type="dxa"/>
              <w:bottom w:w="80" w:type="dxa"/>
              <w:right w:w="120" w:type="dxa"/>
            </w:tcMar>
            <w:vAlign w:val="center"/>
          </w:tcPr>
          <w:p w14:paraId="6A0454F0">
            <w:pPr>
              <w:spacing w:before="0" w:after="0" w:line="300" w:lineRule="auto"/>
              <w:jc w:val="center"/>
            </w:pPr>
            <w:r>
              <w:rPr>
                <w:rFonts w:ascii="宋体" w:hAnsi="宋体" w:eastAsia="宋体" w:cs="宋体"/>
                <w:b/>
                <w:sz w:val="22"/>
              </w:rPr>
              <w:t>执行任务</w:t>
            </w:r>
          </w:p>
        </w:tc>
        <w:tc>
          <w:tcPr>
            <w:tcW w:w="1701" w:type="dxa"/>
            <w:tcMar>
              <w:top w:w="80" w:type="dxa"/>
              <w:left w:w="120" w:type="dxa"/>
              <w:bottom w:w="80" w:type="dxa"/>
              <w:right w:w="120" w:type="dxa"/>
            </w:tcMar>
            <w:vAlign w:val="center"/>
          </w:tcPr>
          <w:p w14:paraId="5928EA8A">
            <w:pPr>
              <w:spacing w:before="0" w:after="0" w:line="300" w:lineRule="auto"/>
              <w:jc w:val="center"/>
            </w:pPr>
            <w:r>
              <w:rPr>
                <w:rFonts w:ascii="宋体" w:hAnsi="宋体" w:eastAsia="宋体" w:cs="宋体"/>
                <w:b/>
                <w:sz w:val="22"/>
              </w:rPr>
              <w:t>开始时间</w:t>
            </w:r>
          </w:p>
        </w:tc>
        <w:tc>
          <w:tcPr>
            <w:tcW w:w="1701" w:type="dxa"/>
            <w:tcMar>
              <w:top w:w="80" w:type="dxa"/>
              <w:left w:w="120" w:type="dxa"/>
              <w:bottom w:w="80" w:type="dxa"/>
              <w:right w:w="120" w:type="dxa"/>
            </w:tcMar>
            <w:vAlign w:val="center"/>
          </w:tcPr>
          <w:p w14:paraId="4687016E">
            <w:pPr>
              <w:spacing w:before="0" w:after="0" w:line="300" w:lineRule="auto"/>
              <w:jc w:val="center"/>
            </w:pPr>
            <w:r>
              <w:rPr>
                <w:rFonts w:ascii="宋体" w:hAnsi="宋体" w:eastAsia="宋体" w:cs="宋体"/>
                <w:b/>
                <w:sz w:val="22"/>
              </w:rPr>
              <w:t>结束时间</w:t>
            </w:r>
          </w:p>
        </w:tc>
        <w:tc>
          <w:tcPr>
            <w:tcW w:w="1134" w:type="dxa"/>
            <w:tcMar>
              <w:top w:w="80" w:type="dxa"/>
              <w:left w:w="120" w:type="dxa"/>
              <w:bottom w:w="80" w:type="dxa"/>
              <w:right w:w="120" w:type="dxa"/>
            </w:tcMar>
            <w:vAlign w:val="center"/>
          </w:tcPr>
          <w:p w14:paraId="65BF2C85">
            <w:pPr>
              <w:spacing w:before="0" w:after="0" w:line="300" w:lineRule="auto"/>
              <w:jc w:val="center"/>
            </w:pPr>
            <w:r>
              <w:rPr>
                <w:rFonts w:ascii="宋体" w:hAnsi="宋体" w:eastAsia="宋体" w:cs="宋体"/>
                <w:b/>
                <w:sz w:val="22"/>
              </w:rPr>
              <w:t>工作量 / （人时）</w:t>
            </w:r>
          </w:p>
        </w:tc>
      </w:tr>
      <w:tr w14:paraId="7D7812C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454" w:hRule="atLeast"/>
        </w:trPr>
        <w:tc>
          <w:tcPr>
            <w:tcW w:w="3402" w:type="dxa"/>
            <w:tcMar>
              <w:top w:w="80" w:type="dxa"/>
              <w:left w:w="120" w:type="dxa"/>
              <w:bottom w:w="80" w:type="dxa"/>
              <w:right w:w="120" w:type="dxa"/>
            </w:tcMar>
            <w:vAlign w:val="center"/>
          </w:tcPr>
          <w:p>
            <w:r>
              <w:t>仓库测试资产核对与自动化复跑</w:t>
            </w:r>
          </w:p>
        </w:tc>
        <w:tc>
          <w:tcPr>
            <w:tcW w:w="1701" w:type="dxa"/>
            <w:tcMar>
              <w:top w:w="80" w:type="dxa"/>
              <w:left w:w="120" w:type="dxa"/>
              <w:bottom w:w="80" w:type="dxa"/>
              <w:right w:w="120" w:type="dxa"/>
            </w:tcMar>
            <w:vAlign w:val="center"/>
          </w:tcPr>
          <w:p>
            <w:r>
              <w:t>2026-06-17</w:t>
            </w:r>
          </w:p>
        </w:tc>
        <w:tc>
          <w:tcPr>
            <w:tcW w:w="1701" w:type="dxa"/>
            <w:tcMar>
              <w:top w:w="80" w:type="dxa"/>
              <w:left w:w="120" w:type="dxa"/>
              <w:bottom w:w="80" w:type="dxa"/>
              <w:right w:w="120" w:type="dxa"/>
            </w:tcMar>
            <w:vAlign w:val="center"/>
          </w:tcPr>
          <w:p>
            <w:r>
              <w:t>2026-06-17</w:t>
            </w:r>
          </w:p>
        </w:tc>
        <w:tc>
          <w:tcPr>
            <w:tcW w:w="1134" w:type="dxa"/>
            <w:tcMar>
              <w:top w:w="80" w:type="dxa"/>
              <w:left w:w="120" w:type="dxa"/>
              <w:bottom w:w="80" w:type="dxa"/>
              <w:right w:w="120" w:type="dxa"/>
            </w:tcMar>
            <w:vAlign w:val="center"/>
          </w:tcPr>
          <w:p>
            <w:r>
              <w:t>执行留档见 docs/test-artifacts/2026-06-17</w:t>
            </w:r>
          </w:p>
        </w:tc>
      </w:tr>
    </w:tbl>
    <w:p w14:paraId="788CC454">
      <w:pPr>
        <w:jc w:val="both"/>
        <w:rPr>
          <w:rFonts w:hint="eastAsia" w:asciiTheme="minorEastAsia" w:hAnsiTheme="minorEastAsia" w:eastAsiaTheme="minorEastAsia" w:cstheme="minorEastAsia"/>
          <w:sz w:val="28"/>
          <w:szCs w:val="28"/>
        </w:rPr>
      </w:pPr>
      <w:r>
        <w:t>统一验证流程以 scripts/ci/verify.sh 为主线，部署后验证以 scripts/deploy/smoke-check.py 为基础补充，新增 scripts/deploy/business_regression.py 作为业务链路补测入口；本次已实际复跑 3 组后端 Maven 单测、Web Vitest、小程序静态校验、小程序轻量流程测试、Flutter widget test 和 Python 自校验，并保留原始日志与 JSON 报告。</w:t>
      </w:r>
    </w:p>
    <w:p w14:paraId="4CA8B48F">
      <w:pPr>
        <w:jc w:val="both"/>
        <w:rPr>
          <w:rFonts w:hint="eastAsia" w:asciiTheme="minorEastAsia" w:hAnsiTheme="minorEastAsia" w:eastAsiaTheme="minorEastAsia" w:cstheme="minorEastAsia"/>
          <w:sz w:val="28"/>
          <w:szCs w:val="28"/>
        </w:rPr>
      </w:pPr>
      <w:r>
        <w:t>可识别的关键测试里程碑包括：2026-06-03 新增自动部署与 Python 基础冒烟流程；2026-06-17 新增 Python 业务链路回归脚本、Web 鉴权/路由异常流测试、小程序轻量流程测试、Flutter 成绩页异常流测试，并完成后端、Web、小程序、Flutter、Python 的一轮实际执行留档。</w:t>
      </w:r>
    </w:p>
    <w:p w14:paraId="4F312149">
      <w:pPr>
        <w:jc w:val="both"/>
        <w:rPr>
          <w:rFonts w:hint="eastAsia" w:asciiTheme="minorEastAsia" w:hAnsiTheme="minorEastAsia" w:eastAsiaTheme="minorEastAsia" w:cstheme="minorEastAsia"/>
          <w:sz w:val="28"/>
          <w:szCs w:val="28"/>
        </w:rPr>
      </w:pPr>
      <w:r>
        <w:t>从进度视角看，项目已具备基础自动化回归骨架，并在本次修订中补齐了 Python 业务链、前端异常流和关键后端服务单元测试；当前证据主要体现在脚本源码、测试源码、执行日志和 JSON 留档。</w:t>
      </w:r>
    </w:p>
    <w:p w14:paraId="6F9AAE03">
      <w:pPr>
        <w:jc w:val="both"/>
        <w:rPr>
          <w:rFonts w:hint="eastAsia" w:asciiTheme="minorEastAsia" w:hAnsiTheme="minorEastAsia" w:eastAsiaTheme="minorEastAsia" w:cstheme="minorEastAsia"/>
          <w:sz w:val="28"/>
          <w:szCs w:val="28"/>
        </w:rPr>
      </w:pPr>
      <w:r>
        <w:t>本次实际已复跑后端 Maven、Web Vitest、小程序静态校验、小程序轻量流程测试、Flutter widget test 与 Python 回归；Flutter SDK 已于 2026-06-17 在本机补齐并完成执行留档，当前剩余限制不再是 SDK 缺失，而是更深一层的真实环境集成回归尚待补档。</w:t>
      </w:r>
    </w:p>
    <w:p w14:paraId="7458DD60">
      <w:pPr>
        <w:pStyle w:val="11"/>
        <w:ind w:left="0" w:firstLine="0"/>
        <w:rPr>
          <w:rFonts w:hint="eastAsia" w:asciiTheme="minorEastAsia" w:hAnsiTheme="minorEastAsia" w:eastAsiaTheme="minorEastAsia" w:cstheme="minorEastAsia"/>
          <w:sz w:val="28"/>
          <w:szCs w:val="28"/>
        </w:rPr>
      </w:pPr>
      <w:r>
        <w:t xml:space="preserve">4.3 缺陷数据度量 </w:t>
      </w:r>
    </w:p>
    <w:p w14:paraId="6DBBBDDF">
      <w:pPr>
        <w:jc w:val="both"/>
        <w:rPr>
          <w:rFonts w:hint="eastAsia" w:asciiTheme="minorEastAsia" w:hAnsiTheme="minorEastAsia" w:eastAsiaTheme="minorEastAsia" w:cstheme="minorEastAsia"/>
          <w:sz w:val="28"/>
          <w:szCs w:val="28"/>
        </w:rPr>
      </w:pPr>
      <w:r>
        <w:t>仓库未提供缺陷台账、Issue 列表或缺陷关闭记录，因此无法从项目材料直接核验传统“缺陷总数/关闭数”统计。为保持与项目一致，本报告继续采用“测试资产与执行证据可审计、缺陷留档以仓库日志和说明文件为主”的结论口径。</w:t>
      </w:r>
    </w:p>
    <w:p w14:paraId="372A3473">
      <w:pPr>
        <w:jc w:val="both"/>
        <w:rPr>
          <w:rFonts w:hint="eastAsia" w:asciiTheme="minorEastAsia" w:hAnsiTheme="minorEastAsia" w:eastAsiaTheme="minorEastAsia" w:cstheme="minorEastAsia"/>
          <w:sz w:val="28"/>
          <w:szCs w:val="28"/>
          <w:lang w:val="en-US" w:eastAsia="zh-CN"/>
        </w:rPr>
      </w:pPr>
      <w:r>
        <w:t>从当前测试缺口看，主要风险已不再是“缺少 Python 业务链回归脚本”或“缺少前端/移动端异常流用例”，而是“真实网关环境下的全链路复跑，以及小程序开发者工具/真机与 App 模拟器或真机层的集成留档尚待补充”。</w:t>
      </w:r>
    </w:p>
    <w:p w14:paraId="32CF7375">
      <w:pPr>
        <w:pStyle w:val="11"/>
        <w:ind w:left="0" w:firstLine="0"/>
        <w:rPr>
          <w:rFonts w:hint="eastAsia" w:asciiTheme="minorEastAsia" w:hAnsiTheme="minorEastAsia" w:eastAsiaTheme="minorEastAsia" w:cstheme="minorEastAsia"/>
          <w:sz w:val="28"/>
          <w:szCs w:val="28"/>
          <w:lang w:val="en-US" w:eastAsia="zh-CN"/>
        </w:rPr>
      </w:pPr>
      <w:r>
        <w:rPr>
          <w:lang w:val="en-US" w:eastAsia="zh-CN"/>
        </w:rPr>
        <w:t>4.4 覆盖率数据度量</w:t>
      </w:r>
    </w:p>
    <w:p w14:paraId="00A2D4AB">
      <w:pPr>
        <w:jc w:val="both"/>
        <w:rPr>
          <w:rFonts w:hint="eastAsia" w:asciiTheme="minorEastAsia" w:hAnsiTheme="minorEastAsia" w:eastAsiaTheme="minorEastAsia" w:cstheme="minorEastAsia"/>
          <w:sz w:val="28"/>
          <w:szCs w:val="28"/>
          <w:lang w:val="en-US" w:eastAsia="zh-CN"/>
        </w:rPr>
      </w:pPr>
      <w:r>
        <w:t>覆盖率改按可见自动化资产描述：后端现有 8 个 JUnit 文件 22 个测试方法；Web 有 3 个 Vitest 文件 8 个用例；小程序有 1 个轻量流程测试脚本 5 个用例与 1 个静态检查脚本；Flutter 有 2 个测试文件 7 个 widget 用例；Python 有 3 个相关脚本，其中包含 1 个回归脚本自校验单测；另有 1 个 k6 读链路压测脚本。</w:t>
      </w:r>
    </w:p>
    <w:p w14:paraId="5E9CCF86">
      <w:pPr>
        <w:jc w:val="both"/>
        <w:rPr>
          <w:rFonts w:hint="eastAsia" w:asciiTheme="minorEastAsia" w:hAnsiTheme="minorEastAsia" w:eastAsiaTheme="minorEastAsia" w:cstheme="minorEastAsia"/>
          <w:sz w:val="28"/>
          <w:szCs w:val="28"/>
          <w:lang w:val="en-US" w:eastAsia="zh-CN"/>
        </w:rPr>
      </w:pPr>
      <w:r>
        <w:t>自动化证据现状表明项目已经接入 JUnit、Vitest、小程序静态校验与轻量流程测试、Flutter Test、Python 部署后冒烟、Python 业务链路回归、k6 脚本以及统一 CI/CD 编排，并在 2026-06-17 形成了仓库级执行留档；当前剩余限制集中在真实网关环境补跑以及移动端更深集成层留档。</w:t>
      </w:r>
    </w:p>
    <w:p w14:paraId="729CB4DB">
      <w:pPr>
        <w:pStyle w:val="11"/>
        <w:ind w:left="0" w:firstLine="0"/>
        <w:rPr>
          <w:rFonts w:hint="eastAsia" w:asciiTheme="minorEastAsia" w:hAnsiTheme="minorEastAsia" w:eastAsiaTheme="minorEastAsia" w:cstheme="minorEastAsia"/>
          <w:sz w:val="28"/>
          <w:szCs w:val="28"/>
          <w:lang w:val="en-US" w:eastAsia="zh-CN"/>
        </w:rPr>
      </w:pPr>
      <w:r>
        <w:rPr>
          <w:lang w:val="en-US" w:eastAsia="zh-CN"/>
        </w:rPr>
        <w:t xml:space="preserve">4.5 综合数据分析 </w:t>
      </w:r>
    </w:p>
    <w:p w14:paraId="4F396634">
      <w:pPr>
        <w:pStyle w:val="14"/>
        <w:jc w:val="left"/>
        <w:rPr>
          <w:rFonts w:hint="eastAsia" w:asciiTheme="minorEastAsia" w:hAnsiTheme="minorEastAsia" w:eastAsiaTheme="minorEastAsia" w:cstheme="minorEastAsia"/>
          <w:sz w:val="28"/>
          <w:szCs w:val="28"/>
          <w:lang w:val="en-US" w:eastAsia="zh-CN"/>
        </w:rPr>
      </w:pPr>
      <w:r>
        <w:rPr>
          <w:lang w:val="en-US" w:eastAsia="zh-CN"/>
        </w:rPr>
        <w:t xml:space="preserve">计划进度偏差 ＝ （实际进度 － 计划进度）/计划进度 × 100％ </w:t>
      </w:r>
    </w:p>
    <w:p w14:paraId="6AB8F5CE">
      <w:pPr>
        <w:pStyle w:val="14"/>
        <w:jc w:val="left"/>
        <w:rPr>
          <w:rFonts w:hint="eastAsia" w:asciiTheme="minorEastAsia" w:hAnsiTheme="minorEastAsia" w:eastAsiaTheme="minorEastAsia" w:cstheme="minorEastAsia"/>
          <w:sz w:val="28"/>
          <w:szCs w:val="28"/>
          <w:lang w:val="en-US" w:eastAsia="zh-CN"/>
        </w:rPr>
      </w:pPr>
      <w:r>
        <w:rPr>
          <w:lang w:val="en-US" w:eastAsia="zh-CN"/>
        </w:rPr>
        <w:t>用例执行效率 ＝ 执行用例总数 / 执行总时间（小时）</w:t>
      </w:r>
    </w:p>
    <w:p w14:paraId="225000F7">
      <w:pPr>
        <w:pStyle w:val="14"/>
        <w:jc w:val="left"/>
        <w:rPr>
          <w:rFonts w:hint="eastAsia" w:asciiTheme="minorEastAsia" w:hAnsiTheme="minorEastAsia" w:eastAsiaTheme="minorEastAsia" w:cstheme="minorEastAsia"/>
          <w:sz w:val="28"/>
          <w:szCs w:val="28"/>
          <w:lang w:val="en-US" w:eastAsia="zh-CN"/>
        </w:rPr>
      </w:pPr>
      <w:r>
        <w:rPr>
          <w:lang w:val="en-US" w:eastAsia="zh-CN"/>
        </w:rPr>
        <w:t>用例密度     ＝ 用例总数 / 规模 × 100</w:t>
      </w:r>
    </w:p>
    <w:p w14:paraId="62E70150">
      <w:pPr>
        <w:pStyle w:val="14"/>
        <w:jc w:val="left"/>
        <w:rPr>
          <w:rFonts w:hint="eastAsia" w:asciiTheme="minorEastAsia" w:hAnsiTheme="minorEastAsia" w:eastAsiaTheme="minorEastAsia" w:cstheme="minorEastAsia"/>
          <w:sz w:val="28"/>
          <w:szCs w:val="28"/>
          <w:lang w:val="en-US" w:eastAsia="zh-CN"/>
        </w:rPr>
      </w:pPr>
      <w:r>
        <w:rPr>
          <w:lang w:val="en-US" w:eastAsia="zh-CN"/>
        </w:rPr>
        <w:t>缺陷密度</w:t>
      </w:r>
      <w:r>
        <w:rPr>
          <w:rFonts w:hint="eastAsia" w:asciiTheme="minorEastAsia" w:hAnsiTheme="minorEastAsia" w:eastAsiaTheme="minorEastAsia" w:cstheme="minorEastAsia"/>
          <w:sz w:val="28"/>
          <w:szCs w:val="28"/>
          <w:lang w:val="en-US" w:eastAsia="zh-CN"/>
        </w:rPr>
        <w:tab/>
      </w:r>
      <w:r>
        <w:rPr>
          <w:lang w:val="en-US" w:eastAsia="zh-CN"/>
        </w:rPr>
        <w:t xml:space="preserve"> ＝ 缺陷总数 / 规模 × 100</w:t>
      </w:r>
    </w:p>
    <w:p w14:paraId="1216C4AE">
      <w:pPr>
        <w:pStyle w:val="14"/>
        <w:jc w:val="left"/>
        <w:rPr>
          <w:rFonts w:hint="eastAsia" w:asciiTheme="minorEastAsia" w:hAnsiTheme="minorEastAsia" w:eastAsiaTheme="minorEastAsia" w:cstheme="minorEastAsia"/>
          <w:sz w:val="28"/>
          <w:szCs w:val="28"/>
          <w:lang w:val="en-US" w:eastAsia="zh-CN"/>
        </w:rPr>
      </w:pPr>
      <w:r>
        <w:rPr>
          <w:lang w:val="en-US" w:eastAsia="zh-CN"/>
        </w:rPr>
        <w:t>用例质量</w:t>
      </w:r>
      <w:r>
        <w:rPr>
          <w:rFonts w:hint="eastAsia" w:asciiTheme="minorEastAsia" w:hAnsiTheme="minorEastAsia" w:eastAsiaTheme="minorEastAsia" w:cstheme="minorEastAsia"/>
          <w:sz w:val="28"/>
          <w:szCs w:val="28"/>
          <w:lang w:val="en-US" w:eastAsia="zh-CN"/>
        </w:rPr>
        <w:tab/>
      </w:r>
      <w:r>
        <w:rPr>
          <w:lang w:val="en-US" w:eastAsia="zh-CN"/>
        </w:rPr>
        <w:t xml:space="preserve"> ＝ 缺陷总数 / 用例总数 × 100</w:t>
      </w:r>
    </w:p>
    <w:p w14:paraId="79199DD8">
      <w:pPr>
        <w:jc w:val="both"/>
        <w:rPr>
          <w:rFonts w:hint="eastAsia" w:asciiTheme="minorEastAsia" w:hAnsiTheme="minorEastAsia" w:eastAsiaTheme="minorEastAsia" w:cstheme="minorEastAsia"/>
          <w:sz w:val="28"/>
          <w:szCs w:val="28"/>
          <w:lang w:val="en-US" w:eastAsia="zh-CN"/>
        </w:rPr>
      </w:pPr>
      <w:r>
        <w:t>综合来看，当前自动化测试资产总量为：后端 8 文件/22 方法，Web 3 文件/8 用例，小程序 1 文件/5 用例，Flutter 2 文件/7 用例，Python 3 脚本/1 单测；可直接数出的自动化测试方法/用例合计 43 个。该配置已足以支撑基础回归、答辩前自检和仓库级审计，但仍不足以支撑“已完成全量系统测试”类表述。</w:t>
      </w:r>
    </w:p>
    <w:p w14:paraId="74DC3C33">
      <w:pPr>
        <w:jc w:val="both"/>
        <w:rPr>
          <w:rFonts w:hint="eastAsia" w:asciiTheme="minorEastAsia" w:hAnsiTheme="minorEastAsia" w:eastAsiaTheme="minorEastAsia" w:cstheme="minorEastAsia"/>
          <w:sz w:val="28"/>
          <w:szCs w:val="28"/>
          <w:lang w:val="en-US" w:eastAsia="zh-CN"/>
        </w:rPr>
      </w:pPr>
      <w:r>
        <w:t>结合分布情况判断，项目主风险已从“关键服务无单测、无链路脚本”收敛为“真实网关环境全链路结果尚未补留档、移动端模拟器/真机与小程序开发者工具层证据仍偏轻量”；代码层面的回归入口现已补齐。</w:t>
      </w:r>
    </w:p>
    <w:p w14:paraId="008CA891">
      <w:pPr>
        <w:pStyle w:val="13"/>
        <w:ind w:left="0" w:firstLine="0"/>
        <w:jc w:val="center"/>
        <w:rPr>
          <w:rFonts w:hint="eastAsia" w:asciiTheme="minorEastAsia" w:hAnsiTheme="minorEastAsia" w:eastAsiaTheme="minorEastAsia" w:cstheme="minorEastAsia"/>
          <w:sz w:val="28"/>
          <w:szCs w:val="28"/>
          <w:lang w:val="en-US" w:eastAsia="zh-CN"/>
        </w:rPr>
      </w:pPr>
      <w:r>
        <w:rPr>
          <w:lang w:val="en-US" w:eastAsia="zh-CN"/>
        </w:rPr>
        <w:t xml:space="preserve">缺陷严重程度分布饼图： </w:t>
      </w:r>
    </w:p>
    <w:p w14:paraId="4BDCF567">
      <w:pPr>
        <w:pStyle w:val="13"/>
        <w:ind w:left="0" w:firstLine="0"/>
        <w:jc w:val="center"/>
        <w:rPr>
          <w:rFonts w:hint="eastAsia" w:asciiTheme="minorEastAsia" w:hAnsiTheme="minorEastAsia" w:eastAsiaTheme="minorEastAsia" w:cstheme="minorEastAsia"/>
          <w:sz w:val="28"/>
          <w:szCs w:val="28"/>
          <w:lang w:val="en-US" w:eastAsia="zh-CN"/>
        </w:rPr>
      </w:pPr>
      <w:r>
        <w:rPr>
          <w:lang w:val="en-US" w:eastAsia="zh-CN"/>
        </w:rPr>
        <w:t>缺陷类型分布饼图</w:t>
      </w:r>
    </w:p>
    <w:p w14:paraId="703D3C7E">
      <w:pPr>
        <w:spacing w:before="80" w:after="120"/>
        <w:ind w:left="0" w:firstLine="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drawing>
          <wp:inline distT="0" distB="0" distL="0" distR="0">
            <wp:extent cx="5499735" cy="2599690"/>
            <wp:effectExtent l="0" t="0" r="0" b="0"/>
            <wp:docPr id="1001" name="缺陷严重程度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缺陷严重程度分布"/>
                    <pic:cNvPicPr>
                      <a:picLocks noChangeAspect="1"/>
                    </pic:cNvPicPr>
                  </pic:nvPicPr>
                  <pic:blipFill>
                    <a:blip r:embed="rId6"/>
                    <a:stretch>
                      <a:fillRect/>
                    </a:stretch>
                  </pic:blipFill>
                  <pic:spPr>
                    <a:xfrm>
                      <a:off x="0" y="0"/>
                      <a:ext cx="5500000" cy="2600000"/>
                    </a:xfrm>
                    <a:prstGeom prst="rect">
                      <a:avLst/>
                    </a:prstGeom>
                  </pic:spPr>
                </pic:pic>
              </a:graphicData>
            </a:graphic>
          </wp:inline>
        </w:drawing>
      </w:r>
    </w:p>
    <w:p w14:paraId="060628BF">
      <w:pPr>
        <w:spacing w:before="80" w:after="120"/>
        <w:ind w:left="0" w:firstLine="0"/>
        <w:jc w:val="cente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drawing>
          <wp:inline distT="0" distB="0" distL="0" distR="0">
            <wp:extent cx="5499735" cy="2599690"/>
            <wp:effectExtent l="0" t="0" r="0" b="0"/>
            <wp:docPr id="1002" name="缺陷类型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缺陷类型分布"/>
                    <pic:cNvPicPr>
                      <a:picLocks noChangeAspect="1"/>
                    </pic:cNvPicPr>
                  </pic:nvPicPr>
                  <pic:blipFill>
                    <a:blip r:embed="rId7"/>
                    <a:stretch>
                      <a:fillRect/>
                    </a:stretch>
                  </pic:blipFill>
                  <pic:spPr>
                    <a:xfrm>
                      <a:off x="0" y="0"/>
                      <a:ext cx="5500000" cy="2600000"/>
                    </a:xfrm>
                    <a:prstGeom prst="rect">
                      <a:avLst/>
                    </a:prstGeom>
                  </pic:spPr>
                </pic:pic>
              </a:graphicData>
            </a:graphic>
          </wp:inline>
        </w:drawing>
      </w:r>
    </w:p>
    <w:p w14:paraId="5F36D0CA">
      <w:pPr>
        <w:pStyle w:val="10"/>
        <w:ind w:left="0" w:firstLine="0"/>
        <w:rPr>
          <w:rFonts w:hint="eastAsia" w:asciiTheme="minorEastAsia" w:hAnsiTheme="minorEastAsia" w:eastAsiaTheme="minorEastAsia" w:cstheme="minorEastAsia"/>
          <w:sz w:val="28"/>
          <w:szCs w:val="28"/>
          <w:lang w:val="en-US" w:eastAsia="zh-CN"/>
        </w:rPr>
      </w:pPr>
      <w:r>
        <w:rPr>
          <w:lang w:val="en-US" w:eastAsia="zh-CN"/>
        </w:rPr>
        <w:t>5 测试评估</w:t>
      </w:r>
    </w:p>
    <w:p w14:paraId="64D72D44">
      <w:pPr>
        <w:pStyle w:val="11"/>
        <w:ind w:left="0" w:firstLine="0"/>
        <w:rPr>
          <w:rFonts w:hint="eastAsia" w:asciiTheme="minorEastAsia" w:hAnsiTheme="minorEastAsia" w:eastAsiaTheme="minorEastAsia" w:cstheme="minorEastAsia"/>
          <w:sz w:val="28"/>
          <w:szCs w:val="28"/>
          <w:lang w:val="en-US" w:eastAsia="zh-CN"/>
        </w:rPr>
      </w:pPr>
      <w:r>
        <w:rPr>
          <w:lang w:val="en-US" w:eastAsia="zh-CN"/>
        </w:rPr>
        <w:t>5.1 测试任务评估</w:t>
      </w:r>
    </w:p>
    <w:p w14:paraId="23BC8FC4">
      <w:pPr>
        <w:jc w:val="both"/>
        <w:rPr>
          <w:rFonts w:hint="eastAsia" w:asciiTheme="minorEastAsia" w:hAnsiTheme="minorEastAsia" w:eastAsiaTheme="minorEastAsia" w:cstheme="minorEastAsia"/>
          <w:sz w:val="28"/>
          <w:szCs w:val="28"/>
          <w:lang w:val="en-US" w:eastAsia="zh-CN"/>
        </w:rPr>
      </w:pPr>
      <w:r>
        <w:t>评估结论：本次核对与补测确认项目已补齐 Python 业务链路回归脚本、Web 异常流测试、小程序轻量流程测试、Flutter widget 用例执行留档和仓库级执行留档，文档中原有与仓库不一致的统计型表述已修正为可证实内容。</w:t>
      </w:r>
    </w:p>
    <w:p w14:paraId="76198E7F">
      <w:pPr>
        <w:pStyle w:val="11"/>
        <w:ind w:left="0" w:firstLine="0"/>
        <w:rPr>
          <w:rFonts w:hint="eastAsia" w:asciiTheme="minorEastAsia" w:hAnsiTheme="minorEastAsia" w:eastAsiaTheme="minorEastAsia" w:cstheme="minorEastAsia"/>
          <w:sz w:val="28"/>
          <w:szCs w:val="28"/>
          <w:lang w:val="en-US" w:eastAsia="zh-CN"/>
        </w:rPr>
      </w:pPr>
      <w:r>
        <w:rPr>
          <w:lang w:val="en-US" w:eastAsia="zh-CN"/>
        </w:rPr>
        <w:t>5.2 测试对象评估</w:t>
      </w:r>
    </w:p>
    <w:p w14:paraId="4EAD2EC2">
      <w:pPr>
        <w:jc w:val="both"/>
        <w:rPr>
          <w:rFonts w:hint="eastAsia" w:asciiTheme="minorEastAsia" w:hAnsiTheme="minorEastAsia" w:eastAsiaTheme="minorEastAsia" w:cstheme="minorEastAsia"/>
          <w:sz w:val="28"/>
          <w:szCs w:val="28"/>
          <w:lang w:val="en-US" w:eastAsia="zh-CN"/>
        </w:rPr>
      </w:pPr>
      <w:r>
        <w:t>评估结论：测试对象现已具备覆盖全部后端服务的基础单元测试骨架、前端关键鉴权/越权异常流测试、小程序轻量流程自动化校验、Flutter widget 用例以及 Python 业务链路回归入口，可支撑课程项目演示与基础回归；后续仍需在真实网关环境、小程序开发者工具或真机、App 模拟器或真机层补充更深一层的集成回归留档。</w:t>
      </w:r>
    </w:p>
    <w:p w14:paraId="322DC500">
      <w:pPr>
        <w:pStyle w:val="10"/>
        <w:ind w:left="0" w:firstLine="0"/>
        <w:rPr>
          <w:rFonts w:hint="eastAsia" w:asciiTheme="minorEastAsia" w:hAnsiTheme="minorEastAsia" w:eastAsiaTheme="minorEastAsia" w:cstheme="minorEastAsia"/>
          <w:sz w:val="28"/>
          <w:szCs w:val="28"/>
          <w:lang w:val="en-US" w:eastAsia="zh-CN"/>
        </w:rPr>
      </w:pPr>
      <w:r>
        <w:rPr>
          <w:lang w:val="en-US" w:eastAsia="zh-CN"/>
        </w:rPr>
        <w:t>6 遗留缺陷分析</w:t>
      </w:r>
    </w:p>
    <w:p w14:paraId="7DBCE0C6">
      <w:pPr>
        <w:ind w:left="0" w:firstLine="0"/>
        <w:jc w:val="both"/>
        <w:rPr>
          <w:rFonts w:hint="eastAsia" w:asciiTheme="minorEastAsia" w:hAnsiTheme="minorEastAsia" w:eastAsiaTheme="minorEastAsia" w:cstheme="minorEastAsia"/>
          <w:sz w:val="28"/>
          <w:szCs w:val="28"/>
          <w:lang w:val="en-US" w:eastAsia="zh-CN"/>
        </w:rPr>
      </w:pPr>
      <w:r>
        <w:t>1. 遗留问题编号 RT-20260617-01：仓库级自动化已覆盖后端、Web、小程序和 Flutter widget 层，但真实网关环境下 business_regression.py 的执行结果，以及小程序开发者工具或真机、App 模拟器或真机层的更完整集成回归留档尚未补齐。</w:t>
      </w:r>
    </w:p>
    <w:p w14:paraId="6A2E185A">
      <w:pPr>
        <w:ind w:left="0" w:firstLine="0"/>
        <w:jc w:val="both"/>
        <w:rPr>
          <w:rFonts w:hint="eastAsia" w:asciiTheme="minorEastAsia" w:hAnsiTheme="minorEastAsia" w:eastAsiaTheme="minorEastAsia" w:cstheme="minorEastAsia"/>
          <w:sz w:val="28"/>
          <w:szCs w:val="28"/>
          <w:lang w:val="en-US" w:eastAsia="zh-CN"/>
        </w:rPr>
      </w:pPr>
      <w:r>
        <w:t>2. 影响范围：当前仓库级证据足以证明代码侧测试入口与本地执行结果已形成，但无法据此直接替代真实联调环境下的业务链验收、小程序真机验证或 App 集成回归结论。</w:t>
      </w:r>
    </w:p>
    <w:p w14:paraId="0C5230A2">
      <w:pPr>
        <w:ind w:left="0" w:firstLine="0"/>
        <w:jc w:val="both"/>
        <w:rPr>
          <w:rFonts w:hint="eastAsia" w:asciiTheme="minorEastAsia" w:hAnsiTheme="minorEastAsia" w:eastAsiaTheme="minorEastAsia" w:cstheme="minorEastAsia"/>
          <w:sz w:val="28"/>
          <w:szCs w:val="28"/>
          <w:lang w:val="en-US" w:eastAsia="zh-CN"/>
        </w:rPr>
      </w:pPr>
      <w:r>
        <w:t>3. 处理建议：在可访问真实网关的节点补跑 scripts/deploy/business_regression.py，并分别在微信开发者工具或真机、Android 模拟器或真机层补充更完整的考试主流程回归，新增日志继续归档到 docs/test-artifacts 目录。</w:t>
      </w:r>
    </w:p>
    <w:p w14:paraId="0843DA82">
      <w:pPr>
        <w:ind w:left="0" w:firstLine="0"/>
        <w:jc w:val="both"/>
        <w:rPr>
          <w:rFonts w:hint="eastAsia" w:asciiTheme="minorEastAsia" w:hAnsiTheme="minorEastAsia" w:eastAsiaTheme="minorEastAsia" w:cstheme="minorEastAsia"/>
          <w:sz w:val="28"/>
          <w:szCs w:val="28"/>
          <w:lang w:val="en-US" w:eastAsia="zh-CN"/>
        </w:rPr>
      </w:pPr>
      <w:r>
        <w:t>4. 风险判断：该遗留问题不会否定本次新增脚本、测试与留档成果，但会限制“真实环境全链路已验证”和“移动端已完成深度集成回归”的结论强度。</w:t>
      </w:r>
    </w:p>
    <w:p w14:paraId="3CE3584F">
      <w:pPr>
        <w:ind w:left="0" w:firstLine="0"/>
        <w:jc w:val="both"/>
        <w:rPr>
          <w:rFonts w:hint="eastAsia" w:asciiTheme="minorEastAsia" w:hAnsiTheme="minorEastAsia" w:eastAsiaTheme="minorEastAsia" w:cstheme="minorEastAsia"/>
          <w:sz w:val="28"/>
          <w:szCs w:val="28"/>
          <w:lang w:val="en-US" w:eastAsia="zh-CN"/>
        </w:rPr>
      </w:pPr>
      <w:r>
        <w:t>5. 关闭标准：在可访问网关环境执行 business_regression.py 并保留对应 JSON/日志；补齐小程序开发者工具或真机、App 模拟器或真机层的主流程回归留档。</w:t>
      </w:r>
    </w:p>
    <w:p w14:paraId="6B50342B">
      <w:pPr>
        <w:ind w:left="0" w:firstLine="0"/>
        <w:jc w:val="both"/>
        <w:rPr>
          <w:rFonts w:hint="eastAsia" w:asciiTheme="minorEastAsia" w:hAnsiTheme="minorEastAsia" w:eastAsiaTheme="minorEastAsia" w:cstheme="minorEastAsia"/>
          <w:sz w:val="28"/>
          <w:szCs w:val="28"/>
          <w:lang w:val="en-US" w:eastAsia="zh-CN"/>
        </w:rPr>
      </w:pPr>
      <w:r>
        <w:t>6. 跟踪方式：纳入下一轮测试建设任务，优先补齐真实环境链路回归和移动端集成层执行留档。</w:t>
      </w:r>
    </w:p>
    <w:p w14:paraId="019A9ED6">
      <w:pPr>
        <w:pStyle w:val="15"/>
        <w:tabs>
          <w:tab w:val="left" w:pos="6552"/>
        </w:tabs>
        <w:ind w:left="0" w:firstLine="0"/>
        <w:jc w:val="left"/>
        <w:rPr>
          <w:rFonts w:hint="eastAsia" w:asciiTheme="minorEastAsia" w:hAnsiTheme="minorEastAsia" w:eastAsiaTheme="minorEastAsia" w:cstheme="minorEastAsia"/>
          <w:sz w:val="28"/>
          <w:szCs w:val="28"/>
          <w:lang w:val="en-US" w:eastAsia="zh-CN"/>
        </w:rPr>
      </w:pPr>
      <w:r>
        <w:t>提交人签字：</w:t>
      </w:r>
      <w:r>
        <w:rPr>
          <w:rFonts w:hint="eastAsia"/>
          <w:lang w:val="en-US" w:eastAsia="zh-CN"/>
        </w:rPr>
        <w:t>廖锦健</w:t>
      </w:r>
      <w:r>
        <w:tab/>
      </w:r>
      <w:r>
        <w:t>日期：2026-06-17</w:t>
      </w:r>
    </w:p>
    <w:p w14:paraId="30A04601">
      <w:pPr>
        <w:pStyle w:val="15"/>
        <w:tabs>
          <w:tab w:val="left" w:pos="6552"/>
        </w:tabs>
        <w:ind w:left="0" w:firstLine="0"/>
        <w:jc w:val="left"/>
        <w:rPr>
          <w:rFonts w:hint="eastAsia" w:asciiTheme="minorEastAsia" w:hAnsiTheme="minorEastAsia" w:eastAsiaTheme="minorEastAsia" w:cstheme="minorEastAsia"/>
          <w:sz w:val="28"/>
          <w:szCs w:val="28"/>
          <w:lang w:val="en-US" w:eastAsia="zh-CN"/>
        </w:rPr>
      </w:pPr>
      <w:r>
        <w:t>开发经理签字：</w:t>
      </w:r>
      <w:r>
        <w:rPr>
          <w:rFonts w:hint="eastAsia"/>
          <w:lang w:val="en-US" w:eastAsia="zh-CN"/>
        </w:rPr>
        <w:t>张逸凡</w:t>
      </w:r>
      <w:r>
        <w:tab/>
      </w:r>
      <w:r>
        <w:t>日期：2026-06-17</w:t>
      </w:r>
    </w:p>
    <w:p w14:paraId="62B2DA6A">
      <w:pPr>
        <w:pStyle w:val="15"/>
        <w:tabs>
          <w:tab w:val="left" w:pos="6552"/>
        </w:tabs>
        <w:ind w:left="0" w:firstLine="0"/>
        <w:jc w:val="left"/>
        <w:rPr>
          <w:rFonts w:hint="eastAsia" w:asciiTheme="minorEastAsia" w:hAnsiTheme="minorEastAsia" w:eastAsiaTheme="minorEastAsia" w:cstheme="minorEastAsia"/>
          <w:sz w:val="28"/>
          <w:szCs w:val="28"/>
          <w:lang w:val="en-US" w:eastAsia="zh-CN"/>
        </w:rPr>
      </w:pPr>
      <w:r>
        <w:t>产品经理签字：</w:t>
      </w:r>
      <w:r>
        <w:rPr>
          <w:rFonts w:hint="eastAsia"/>
          <w:lang w:val="en-US" w:eastAsia="zh-CN"/>
        </w:rPr>
        <w:t>张逸凡</w:t>
      </w:r>
      <w:bookmarkStart w:id="0" w:name="_GoBack"/>
      <w:bookmarkEnd w:id="0"/>
      <w:r>
        <w:tab/>
      </w:r>
      <w:r>
        <w:t>日期：2026-06-17</w:t>
      </w:r>
    </w:p>
    <w:p w14:paraId="15655820">
      <w:pPr>
        <w:jc w:val="both"/>
        <w:rPr>
          <w:rFonts w:hint="eastAsia" w:asciiTheme="minorEastAsia" w:hAnsiTheme="minorEastAsia" w:eastAsiaTheme="minorEastAsia" w:cstheme="minorEastAsia"/>
          <w:sz w:val="28"/>
          <w:szCs w:val="28"/>
          <w:lang w:val="en-US" w:eastAsia="zh-CN"/>
        </w:rPr>
      </w:pPr>
      <w:r>
        <w:t>审批说明：本报告依据截至 2026-06-17 的仓库测试资产、CI/CD 配置、Python 脚本、现有测试源码以及本次新增执行留档核对后修订形成。</w:t>
      </w:r>
    </w:p>
    <w:p w14:paraId="23524913">
      <w:pPr>
        <w:jc w:val="both"/>
        <w:rPr>
          <w:rFonts w:hint="eastAsia" w:asciiTheme="minorEastAsia" w:hAnsiTheme="minorEastAsia" w:eastAsiaTheme="minorEastAsia" w:cstheme="minorEastAsia"/>
          <w:sz w:val="28"/>
          <w:szCs w:val="28"/>
          <w:lang w:val="en-US" w:eastAsia="zh-CN"/>
        </w:rPr>
      </w:pPr>
      <w:r>
        <w:t>审批结论：同意将当前版本作为“现有测试资产与执行留档基线”归档；若用于系统测试结论对外说明，应同时附注真实网关环境补跑状态以及移动端更深集成回归尚未留档。</w:t>
      </w:r>
    </w:p>
    <w:p w14:paraId="1C8AC212">
      <w:pPr>
        <w:pStyle w:val="10"/>
        <w:ind w:left="0" w:firstLine="0"/>
        <w:rPr>
          <w:rFonts w:hint="eastAsia" w:asciiTheme="minorEastAsia" w:hAnsiTheme="minorEastAsia" w:eastAsiaTheme="minorEastAsia" w:cstheme="minorEastAsia"/>
          <w:sz w:val="28"/>
          <w:szCs w:val="28"/>
          <w:lang w:val="en-US" w:eastAsia="zh-CN"/>
        </w:rPr>
      </w:pPr>
      <w:r>
        <w:rPr>
          <w:lang w:val="en-US" w:eastAsia="zh-CN"/>
        </w:rPr>
        <w:t xml:space="preserve">8 附件 </w:t>
      </w:r>
    </w:p>
    <w:p w14:paraId="665CC131">
      <w:pPr>
        <w:pStyle w:val="16"/>
        <w:ind w:left="0" w:firstLine="0"/>
        <w:rPr>
          <w:rFonts w:hint="eastAsia" w:asciiTheme="minorEastAsia" w:hAnsiTheme="minorEastAsia" w:eastAsiaTheme="minorEastAsia" w:cstheme="minorEastAsia"/>
          <w:sz w:val="28"/>
          <w:szCs w:val="28"/>
          <w:lang w:val="en-US" w:eastAsia="zh-CN"/>
        </w:rPr>
      </w:pPr>
      <w:r>
        <w:rPr>
          <w:lang w:val="en-US" w:eastAsia="zh-CN"/>
        </w:rPr>
        <w:t>附件1 测试用例执行表</w:t>
      </w:r>
    </w:p>
    <w:p w14:paraId="6EBF2199">
      <w:pPr>
        <w:pStyle w:val="16"/>
        <w:ind w:left="0" w:firstLine="0"/>
        <w:rPr>
          <w:rFonts w:hint="eastAsia" w:asciiTheme="minorEastAsia" w:hAnsiTheme="minorEastAsia" w:eastAsiaTheme="minorEastAsia" w:cstheme="minorEastAsia"/>
          <w:sz w:val="28"/>
          <w:szCs w:val="28"/>
          <w:lang w:val="en-US" w:eastAsia="zh-CN"/>
        </w:rPr>
      </w:pPr>
      <w:r>
        <w:rPr>
          <w:lang w:val="en-US" w:eastAsia="zh-CN"/>
        </w:rPr>
        <w:t>附件2 测试覆盖率报告</w:t>
      </w:r>
    </w:p>
    <w:p w14:paraId="6EC2FBC6">
      <w:pPr>
        <w:pStyle w:val="16"/>
        <w:ind w:left="0" w:firstLine="0"/>
        <w:rPr>
          <w:rFonts w:hint="eastAsia" w:asciiTheme="minorEastAsia" w:hAnsiTheme="minorEastAsia" w:eastAsiaTheme="minorEastAsia" w:cstheme="minorEastAsia"/>
          <w:sz w:val="28"/>
          <w:szCs w:val="28"/>
          <w:lang w:val="en-US" w:eastAsia="zh-CN"/>
        </w:rPr>
      </w:pPr>
      <w:r>
        <w:rPr>
          <w:lang w:val="en-US" w:eastAsia="zh-CN"/>
        </w:rPr>
        <w:t>附件3 缺陷分析报告</w:t>
      </w:r>
    </w:p>
    <w:p w14:paraId="45DD94B0">
      <w:pPr>
        <w:spacing w:before="0" w:after="120"/>
        <w:ind w:firstLine="480"/>
        <w:jc w:val="both"/>
      </w:pPr>
      <w:r>
        <w:t>附件1：自动化测试资产与执行留档概览。截至 2026-06-17，仓库内可核对的自动化测试资产包括 3 个 Python 相关脚本、8 个后端 JUnit 测试文件、3 个前端 Vitest 文件、1 个小程序轻量流程测试脚本和 2 个 Flutter 测试文件；可直接数出的测试方法/用例共 43 个。</w:t>
      </w:r>
    </w:p>
    <w:tbl>
      <w:tblPr>
        <w:tblStyle w:val="5"/>
        <w:tblW w:w="0" w:type="auto"/>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1661"/>
        <w:gridCol w:w="1661"/>
        <w:gridCol w:w="1661"/>
        <w:gridCol w:w="1661"/>
        <w:gridCol w:w="1661"/>
      </w:tblGrid>
      <w:tr w14:paraId="0E33192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454" w:hRule="atLeast"/>
        </w:trPr>
        <w:tc>
          <w:tcPr>
            <w:tcW w:w="1814" w:type="dxa"/>
            <w:tcMar>
              <w:top w:w="80" w:type="dxa"/>
              <w:left w:w="120" w:type="dxa"/>
              <w:bottom w:w="80" w:type="dxa"/>
              <w:right w:w="120" w:type="dxa"/>
            </w:tcMar>
            <w:vAlign w:val="center"/>
          </w:tcPr>
          <w:p>
            <w:r>
              <w:t>RT-20260617-01</w:t>
            </w:r>
          </w:p>
        </w:tc>
        <w:tc>
          <w:tcPr>
            <w:tcW w:w="2381" w:type="dxa"/>
            <w:tcMar>
              <w:top w:w="80" w:type="dxa"/>
              <w:left w:w="120" w:type="dxa"/>
              <w:bottom w:w="80" w:type="dxa"/>
              <w:right w:w="120" w:type="dxa"/>
            </w:tcMar>
            <w:vAlign w:val="center"/>
          </w:tcPr>
          <w:p>
            <w:r>
              <w:t>仓库级自动化已覆盖后端、Web、小程序和 Flutter widget 层，但真实网关回归与移动端集成层留档尚未补齐</w:t>
            </w:r>
          </w:p>
        </w:tc>
        <w:tc>
          <w:tcPr>
            <w:tcW w:w="2268" w:type="dxa"/>
            <w:tcMar>
              <w:top w:w="80" w:type="dxa"/>
              <w:left w:w="120" w:type="dxa"/>
              <w:bottom w:w="80" w:type="dxa"/>
              <w:right w:w="120" w:type="dxa"/>
            </w:tcMar>
            <w:vAlign w:val="center"/>
          </w:tcPr>
          <w:p>
            <w:r>
              <w:t>真实网关与集成层证据仍待补充</w:t>
            </w:r>
          </w:p>
        </w:tc>
        <w:tc>
          <w:tcPr>
            <w:tcW w:w="2268" w:type="dxa"/>
            <w:tcMar>
              <w:top w:w="80" w:type="dxa"/>
              <w:left w:w="120" w:type="dxa"/>
              <w:bottom w:w="80" w:type="dxa"/>
              <w:right w:w="120" w:type="dxa"/>
            </w:tcMar>
            <w:vAlign w:val="center"/>
          </w:tcPr>
          <w:p>
            <w:r>
              <w:t>在真实网关、小程序开发者工具或真机、App 模拟器或真机场景补跑并归档</w:t>
            </w:r>
          </w:p>
        </w:tc>
        <w:tc>
          <w:tcPr>
            <w:tcW w:w="1587" w:type="dxa"/>
            <w:tcMar>
              <w:top w:w="80" w:type="dxa"/>
              <w:left w:w="120" w:type="dxa"/>
              <w:bottom w:w="80" w:type="dxa"/>
              <w:right w:w="120" w:type="dxa"/>
            </w:tcMar>
            <w:vAlign w:val="center"/>
          </w:tcPr>
          <w:p>
            <w:r>
              <w:t>继续沉淀到 docs/test-artifacts/ 目录</w:t>
            </w:r>
          </w:p>
        </w:tc>
      </w:tr>
    </w:tbl>
    <w:p w14:paraId="3ABB671A">
      <w:pPr>
        <w:jc w:val="both"/>
        <w:rPr>
          <w:rFonts w:hint="eastAsia" w:asciiTheme="minorEastAsia" w:hAnsiTheme="minorEastAsia" w:eastAsiaTheme="minorEastAsia" w:cstheme="minorEastAsia"/>
          <w:sz w:val="28"/>
          <w:szCs w:val="28"/>
        </w:rPr>
      </w:pPr>
      <w:r>
        <w:t>执行留档：docs/test-artifacts/2026-06-17 已归档 backend-question-service.log、backend-analysis-service.log、backend-admin-service.log、web-vitest.log、miniapp-static-check.log、miniapp-test.log、mobile-flutter-test.log、python-business-regression-unit.log、python-business-regression-fixture.log、python-business-regression.json、student-save-answers.json、mobile-flutter-blocked.txt 和 README.md。</w:t>
      </w:r>
    </w:p>
    <w:p w14:paraId="24BE4DC4">
      <w:pPr>
        <w:jc w:val="both"/>
        <w:rPr>
          <w:rFonts w:hint="eastAsia" w:asciiTheme="minorEastAsia" w:hAnsiTheme="minorEastAsia" w:eastAsiaTheme="minorEastAsia" w:cstheme="minorEastAsia"/>
          <w:sz w:val="28"/>
          <w:szCs w:val="28"/>
        </w:rPr>
      </w:pPr>
      <w:r>
        <w:t>关键证据：项目包含 gateway/auth/user/question/exam/grading/analysis/admin 八个微服务产物；CI 脚本串联 Maven、Vitest、小程序静态检查、小程序轻量流程测试和 Flutter 测试；business_regression.py 贯通教师/学生双角色业务链；本次又补充通过了 question-service、analysis-service、admin-service 三组后端单元测试，以及 Web、小程序、Flutter、Python 回归执行。</w:t>
      </w:r>
    </w:p>
    <w:p w14:paraId="0EE04D93">
      <w:pPr>
        <w:jc w:val="both"/>
        <w:rPr>
          <w:rFonts w:hint="eastAsia" w:asciiTheme="minorEastAsia" w:hAnsiTheme="minorEastAsia" w:eastAsiaTheme="minorEastAsia" w:cstheme="minorEastAsia"/>
          <w:sz w:val="28"/>
          <w:szCs w:val="28"/>
        </w:rPr>
      </w:pPr>
      <w:r>
        <w:t>归档建议：附件可与 PRD、API、架构设计文档、开发文档、CI/CD 工作流配置、测试脚本源码和 docs/test-artifacts/2026-06-17 执行留档一并归档，作为课程项目测试基线证据链。</w:t>
      </w:r>
    </w:p>
    <w:p w14:paraId="4C88ED34">
      <w:pPr>
        <w:jc w:val="both"/>
        <w:rPr>
          <w:rFonts w:hint="eastAsia" w:asciiTheme="minorEastAsia" w:hAnsiTheme="minorEastAsia" w:eastAsiaTheme="minorEastAsia" w:cstheme="minorEastAsia"/>
          <w:sz w:val="28"/>
          <w:szCs w:val="28"/>
        </w:rPr>
      </w:pPr>
      <w:r>
        <w:t>使用建议：答辩展示时优先引用认证鉴权、题库与试卷规则、成绩报表、后台治理、前端会话持久化/越权回退、小程序鉴权与角色边界、Flutter 成绩页异常流和 Python 业务链回归脚本的现有证据，同时明确真实环境待补跑与移动端深度集成留档仍待补齐的边界。</w:t>
      </w:r>
    </w:p>
    <w:p w14:paraId="78B89802">
      <w:pPr>
        <w:pStyle w:val="16"/>
        <w:ind w:left="0" w:firstLine="0"/>
        <w:rPr>
          <w:rFonts w:hint="eastAsia" w:asciiTheme="minorEastAsia" w:hAnsiTheme="minorEastAsia" w:eastAsiaTheme="minorEastAsia" w:cstheme="minorEastAsia"/>
          <w:sz w:val="28"/>
          <w:szCs w:val="28"/>
        </w:rPr>
      </w:pPr>
      <w:r>
        <w:t>附件4 缺陷漏测分析</w:t>
      </w:r>
    </w:p>
    <w:p w14:paraId="1D90C89F">
      <w:pPr>
        <w:pStyle w:val="16"/>
        <w:ind w:left="0" w:firstLine="0"/>
        <w:rPr>
          <w:rFonts w:hint="eastAsia" w:asciiTheme="minorEastAsia" w:hAnsiTheme="minorEastAsia" w:eastAsiaTheme="minorEastAsia" w:cstheme="minorEastAsia"/>
          <w:sz w:val="28"/>
          <w:szCs w:val="28"/>
        </w:rPr>
      </w:pPr>
      <w:r>
        <w:t>附件2：自动化覆盖现状与统计口径。当前可见自动化资产为后端 8 文件/22 方法，Web 3 文件/8 用例，小程序 1 文件/5 用例，Flutter 2 文件/7 用例，Python 3 脚本/1 单测；自动化方法/用例合计 43。</w:t>
      </w:r>
    </w:p>
    <w:p w14:paraId="45A5EEB0">
      <w:pPr>
        <w:spacing w:before="0" w:after="120"/>
        <w:ind w:firstLine="480"/>
        <w:jc w:val="both"/>
      </w:pPr>
      <w:r>
        <w:t>覆盖率判定依据：PRD 功能条目、API 文档接口、现有 JUnit/Vitest/Flutter Test/Python unittest 用例、scripts/ci/verify.sh、scripts/deploy/smoke-check.py、scripts/deploy/business_regression.py、perf/k6/smart-exam-read.js 与 docs/test-artifacts/2026-06-17 执行留档。</w:t>
      </w:r>
    </w:p>
    <w:tbl>
      <w:tblPr>
        <w:tblStyle w:val="5"/>
        <w:tblW w:w="0" w:type="auto"/>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681F1AC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454" w:hRule="atLeast"/>
        </w:trPr>
        <w:tc>
          <w:tcPr>
            <w:tcW w:w="1191" w:type="dxa"/>
            <w:tcMar>
              <w:top w:w="80" w:type="dxa"/>
              <w:left w:w="120" w:type="dxa"/>
              <w:bottom w:w="80" w:type="dxa"/>
              <w:right w:w="120" w:type="dxa"/>
            </w:tcMar>
            <w:vAlign w:val="center"/>
          </w:tcPr>
          <w:p>
            <w:r>
              <w:t>RT-20260617-01</w:t>
            </w:r>
          </w:p>
        </w:tc>
        <w:tc>
          <w:tcPr>
            <w:tcW w:w="2835" w:type="dxa"/>
            <w:tcMar>
              <w:top w:w="80" w:type="dxa"/>
              <w:left w:w="120" w:type="dxa"/>
              <w:bottom w:w="80" w:type="dxa"/>
              <w:right w:w="120" w:type="dxa"/>
            </w:tcMar>
            <w:vAlign w:val="center"/>
          </w:tcPr>
          <w:p>
            <w:r>
              <w:t>真实网关回归/移动端集成留档未补齐</w:t>
            </w:r>
          </w:p>
        </w:tc>
        <w:tc>
          <w:tcPr>
            <w:tcW w:w="1247" w:type="dxa"/>
            <w:tcMar>
              <w:top w:w="80" w:type="dxa"/>
              <w:left w:w="120" w:type="dxa"/>
              <w:bottom w:w="80" w:type="dxa"/>
              <w:right w:w="120" w:type="dxa"/>
            </w:tcMar>
            <w:vAlign w:val="center"/>
          </w:tcPr>
          <w:p>
            <w:r>
              <w:t>否</w:t>
            </w:r>
          </w:p>
        </w:tc>
        <w:tc>
          <w:tcPr>
            <w:tcW w:w="1247" w:type="dxa"/>
            <w:tcMar>
              <w:top w:w="80" w:type="dxa"/>
              <w:left w:w="120" w:type="dxa"/>
              <w:bottom w:w="80" w:type="dxa"/>
              <w:right w:w="120" w:type="dxa"/>
            </w:tcMar>
            <w:vAlign w:val="center"/>
          </w:tcPr>
          <w:p>
            <w:r>
              <w:t>是</w:t>
            </w:r>
          </w:p>
        </w:tc>
        <w:tc>
          <w:tcPr>
            <w:tcW w:w="1134" w:type="dxa"/>
            <w:tcMar>
              <w:top w:w="80" w:type="dxa"/>
              <w:left w:w="120" w:type="dxa"/>
              <w:bottom w:w="80" w:type="dxa"/>
              <w:right w:w="120" w:type="dxa"/>
            </w:tcMar>
            <w:vAlign w:val="center"/>
          </w:tcPr>
          <w:p>
            <w:r>
              <w:t>否</w:t>
            </w:r>
          </w:p>
        </w:tc>
        <w:tc>
          <w:tcPr>
            <w:tcW w:w="1134" w:type="dxa"/>
            <w:tcMar>
              <w:top w:w="80" w:type="dxa"/>
              <w:left w:w="120" w:type="dxa"/>
              <w:bottom w:w="80" w:type="dxa"/>
              <w:right w:w="120" w:type="dxa"/>
            </w:tcMar>
            <w:vAlign w:val="center"/>
          </w:tcPr>
          <w:p>
            <w:r>
              <w:t>否</w:t>
            </w:r>
          </w:p>
        </w:tc>
        <w:tc>
          <w:tcPr>
            <w:tcW w:w="1134" w:type="dxa"/>
            <w:tcMar>
              <w:top w:w="80" w:type="dxa"/>
              <w:left w:w="120" w:type="dxa"/>
              <w:bottom w:w="80" w:type="dxa"/>
              <w:right w:w="120" w:type="dxa"/>
            </w:tcMar>
            <w:vAlign w:val="center"/>
          </w:tcPr>
          <w:p>
            <w:r>
              <w:t>是</w:t>
            </w:r>
          </w:p>
        </w:tc>
      </w:tr>
    </w:tbl>
    <w:p w14:paraId="61E34DD9">
      <w:pPr>
        <w:jc w:val="both"/>
        <w:rPr>
          <w:rFonts w:hint="eastAsia" w:asciiTheme="minorEastAsia" w:hAnsiTheme="minorEastAsia" w:eastAsiaTheme="minorEastAsia" w:cstheme="minorEastAsia"/>
          <w:sz w:val="28"/>
          <w:szCs w:val="28"/>
        </w:rPr>
      </w:pPr>
      <w:r>
        <w:t>覆盖风险说明：当前代码层面的业务链回归与异常流测试已补齐，但真实网关环境回归尚未留档，小程序开发者工具或真机与 App 模拟器或真机层的集成证据仍偏轻量，因此覆盖结论仍更适合表述为“具备较完整的仓库级自动化基线并完成补测增强”。</w:t>
      </w:r>
    </w:p>
    <w:p w14:paraId="616B8250">
      <w:pPr>
        <w:jc w:val="both"/>
        <w:rPr>
          <w:rFonts w:hint="eastAsia" w:asciiTheme="minorEastAsia" w:hAnsiTheme="minorEastAsia" w:eastAsiaTheme="minorEastAsia" w:cstheme="minorEastAsia"/>
          <w:sz w:val="28"/>
          <w:szCs w:val="28"/>
        </w:rPr>
      </w:pPr>
      <w:r>
        <w:t>补充结论：现有自动化资产与仓库结构现已对齐，关键后端模块、前端异常流、小程序轻量流程测试、Flutter widget 用例和 Python 业务链入口均已补齐，下一步重点应转向环境侧补跑与持续留档。</w:t>
      </w:r>
    </w:p>
    <w:tbl>
      <w:tblPr>
        <w:tblStyle w:val="5"/>
        <w:tblW w:w="0" w:type="auto"/>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1384"/>
        <w:gridCol w:w="1384"/>
        <w:gridCol w:w="1384"/>
        <w:gridCol w:w="1384"/>
        <w:gridCol w:w="1384"/>
        <w:gridCol w:w="1384"/>
      </w:tblGrid>
      <w:tr w14:paraId="3E39241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510" w:hRule="atLeast"/>
        </w:trPr>
        <w:tc>
          <w:tcPr>
            <w:tcW w:w="1134" w:type="dxa"/>
            <w:tcMar>
              <w:top w:w="80" w:type="dxa"/>
              <w:left w:w="120" w:type="dxa"/>
              <w:bottom w:w="80" w:type="dxa"/>
              <w:right w:w="120" w:type="dxa"/>
            </w:tcMar>
            <w:vAlign w:val="center"/>
          </w:tcPr>
          <w:p w14:paraId="4A37DC46">
            <w:pPr>
              <w:spacing w:before="0" w:after="0" w:line="300" w:lineRule="auto"/>
              <w:jc w:val="center"/>
            </w:pPr>
            <w:r>
              <w:rPr>
                <w:rFonts w:ascii="宋体" w:hAnsi="宋体" w:eastAsia="宋体" w:cs="宋体"/>
                <w:b/>
                <w:sz w:val="22"/>
              </w:rPr>
              <w:t>漏测缺陷编号</w:t>
            </w:r>
          </w:p>
        </w:tc>
        <w:tc>
          <w:tcPr>
            <w:tcW w:w="2721" w:type="dxa"/>
            <w:tcMar>
              <w:top w:w="80" w:type="dxa"/>
              <w:left w:w="120" w:type="dxa"/>
              <w:bottom w:w="80" w:type="dxa"/>
              <w:right w:w="120" w:type="dxa"/>
            </w:tcMar>
            <w:vAlign w:val="center"/>
          </w:tcPr>
          <w:p w14:paraId="330BEEAF">
            <w:pPr>
              <w:spacing w:before="0" w:after="0" w:line="300" w:lineRule="auto"/>
              <w:jc w:val="center"/>
            </w:pPr>
            <w:r>
              <w:rPr>
                <w:rFonts w:ascii="宋体" w:hAnsi="宋体" w:eastAsia="宋体" w:cs="宋体"/>
                <w:b/>
                <w:sz w:val="22"/>
              </w:rPr>
              <w:t>缺陷描述</w:t>
            </w:r>
          </w:p>
        </w:tc>
        <w:tc>
          <w:tcPr>
            <w:tcW w:w="2041" w:type="dxa"/>
            <w:tcMar>
              <w:top w:w="80" w:type="dxa"/>
              <w:left w:w="120" w:type="dxa"/>
              <w:bottom w:w="80" w:type="dxa"/>
              <w:right w:w="120" w:type="dxa"/>
            </w:tcMar>
            <w:vAlign w:val="center"/>
          </w:tcPr>
          <w:p w14:paraId="3108400C">
            <w:pPr>
              <w:spacing w:before="0" w:after="0" w:line="300" w:lineRule="auto"/>
              <w:jc w:val="center"/>
            </w:pPr>
            <w:r>
              <w:rPr>
                <w:rFonts w:ascii="宋体" w:hAnsi="宋体" w:eastAsia="宋体" w:cs="宋体"/>
                <w:b/>
                <w:sz w:val="22"/>
              </w:rPr>
              <w:t>漏测原因分析</w:t>
            </w:r>
          </w:p>
        </w:tc>
        <w:tc>
          <w:tcPr>
            <w:tcW w:w="1928" w:type="dxa"/>
            <w:tcMar>
              <w:top w:w="80" w:type="dxa"/>
              <w:left w:w="120" w:type="dxa"/>
              <w:bottom w:w="80" w:type="dxa"/>
              <w:right w:w="120" w:type="dxa"/>
            </w:tcMar>
            <w:vAlign w:val="center"/>
          </w:tcPr>
          <w:p w14:paraId="78EA148F">
            <w:pPr>
              <w:spacing w:before="0" w:after="0" w:line="300" w:lineRule="auto"/>
              <w:jc w:val="center"/>
            </w:pPr>
            <w:r>
              <w:rPr>
                <w:rFonts w:ascii="宋体" w:hAnsi="宋体" w:eastAsia="宋体" w:cs="宋体"/>
                <w:b/>
                <w:sz w:val="22"/>
              </w:rPr>
              <w:t>预防措施</w:t>
            </w:r>
          </w:p>
        </w:tc>
        <w:tc>
          <w:tcPr>
            <w:tcW w:w="1361" w:type="dxa"/>
            <w:tcMar>
              <w:top w:w="80" w:type="dxa"/>
              <w:left w:w="120" w:type="dxa"/>
              <w:bottom w:w="80" w:type="dxa"/>
              <w:right w:w="120" w:type="dxa"/>
            </w:tcMar>
            <w:vAlign w:val="center"/>
          </w:tcPr>
          <w:p w14:paraId="6C641AE9">
            <w:pPr>
              <w:spacing w:before="0" w:after="0" w:line="300" w:lineRule="auto"/>
              <w:jc w:val="center"/>
            </w:pPr>
            <w:r>
              <w:rPr>
                <w:rFonts w:ascii="宋体" w:hAnsi="宋体" w:eastAsia="宋体" w:cs="宋体"/>
                <w:b/>
                <w:sz w:val="22"/>
              </w:rPr>
              <w:t>责任人</w:t>
            </w:r>
          </w:p>
        </w:tc>
        <w:tc>
          <w:tcPr>
            <w:tcW w:w="1247" w:type="dxa"/>
            <w:tcMar>
              <w:top w:w="80" w:type="dxa"/>
              <w:left w:w="120" w:type="dxa"/>
              <w:bottom w:w="80" w:type="dxa"/>
              <w:right w:w="120" w:type="dxa"/>
            </w:tcMar>
            <w:vAlign w:val="center"/>
          </w:tcPr>
          <w:p w14:paraId="50B11712">
            <w:pPr>
              <w:spacing w:before="0" w:after="0" w:line="300" w:lineRule="auto"/>
              <w:jc w:val="center"/>
            </w:pPr>
            <w:r>
              <w:rPr>
                <w:rFonts w:ascii="宋体" w:hAnsi="宋体" w:eastAsia="宋体" w:cs="宋体"/>
                <w:b/>
                <w:sz w:val="22"/>
              </w:rPr>
              <w:t>时间</w:t>
            </w:r>
          </w:p>
        </w:tc>
      </w:tr>
      <w:tr w14:paraId="2395BCB2">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454" w:hRule="atLeast"/>
        </w:trPr>
        <w:tc>
          <w:tcPr>
            <w:tcW w:w="1134" w:type="dxa"/>
            <w:tcMar>
              <w:top w:w="80" w:type="dxa"/>
              <w:left w:w="120" w:type="dxa"/>
              <w:bottom w:w="80" w:type="dxa"/>
              <w:right w:w="120" w:type="dxa"/>
            </w:tcMar>
            <w:vAlign w:val="center"/>
          </w:tcPr>
          <w:p>
            <w:r>
              <w:t>LM-01</w:t>
            </w:r>
          </w:p>
        </w:tc>
        <w:tc>
          <w:tcPr>
            <w:tcW w:w="2721" w:type="dxa"/>
            <w:tcMar>
              <w:top w:w="80" w:type="dxa"/>
              <w:left w:w="120" w:type="dxa"/>
              <w:bottom w:w="80" w:type="dxa"/>
              <w:right w:w="120" w:type="dxa"/>
            </w:tcMar>
            <w:vAlign w:val="center"/>
          </w:tcPr>
          <w:p>
            <w:r>
              <w:t>小程序与 Flutter 当前以轻量流程测试和 widget 测试为主，开发者工具/模拟器/真机层自动化留档尚未补齐</w:t>
            </w:r>
          </w:p>
        </w:tc>
        <w:tc>
          <w:tcPr>
            <w:tcW w:w="2041" w:type="dxa"/>
            <w:tcMar>
              <w:top w:w="80" w:type="dxa"/>
              <w:left w:w="120" w:type="dxa"/>
              <w:bottom w:w="80" w:type="dxa"/>
              <w:right w:w="120" w:type="dxa"/>
            </w:tcMar>
            <w:vAlign w:val="center"/>
          </w:tcPr>
          <w:p>
            <w:r>
              <w:t>当前证据以仓库级自动化为主，缺少集成层执行留档</w:t>
            </w:r>
          </w:p>
        </w:tc>
        <w:tc>
          <w:tcPr>
            <w:tcW w:w="1928" w:type="dxa"/>
            <w:tcMar>
              <w:top w:w="80" w:type="dxa"/>
              <w:left w:w="120" w:type="dxa"/>
              <w:bottom w:w="80" w:type="dxa"/>
              <w:right w:w="120" w:type="dxa"/>
            </w:tcMar>
            <w:vAlign w:val="center"/>
          </w:tcPr>
          <w:p>
            <w:r>
              <w:t>在微信开发者工具、Android 模拟器或真机补跑主流程并追加日志</w:t>
            </w:r>
          </w:p>
        </w:tc>
        <w:tc>
          <w:tcPr>
            <w:tcW w:w="1361" w:type="dxa"/>
            <w:tcMar>
              <w:top w:w="80" w:type="dxa"/>
              <w:left w:w="120" w:type="dxa"/>
              <w:bottom w:w="80" w:type="dxa"/>
              <w:right w:w="120" w:type="dxa"/>
            </w:tcMar>
            <w:vAlign w:val="center"/>
          </w:tcPr>
          <w:p>
            <w:r>
              <w:t>测试负责人</w:t>
            </w:r>
          </w:p>
        </w:tc>
        <w:tc>
          <w:tcPr>
            <w:tcW w:w="1247" w:type="dxa"/>
            <w:tcMar>
              <w:top w:w="80" w:type="dxa"/>
              <w:left w:w="120" w:type="dxa"/>
              <w:bottom w:w="80" w:type="dxa"/>
              <w:right w:w="120" w:type="dxa"/>
            </w:tcMar>
            <w:vAlign w:val="center"/>
          </w:tcPr>
          <w:p>
            <w:r>
              <w:t>2026-06-24</w:t>
            </w:r>
          </w:p>
        </w:tc>
      </w:tr>
      <w:tr w14:paraId="38294A0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454" w:hRule="atLeast"/>
        </w:trPr>
        <w:tc>
          <w:tcPr>
            <w:tcW w:w="1134" w:type="dxa"/>
            <w:tcMar>
              <w:top w:w="80" w:type="dxa"/>
              <w:left w:w="120" w:type="dxa"/>
              <w:bottom w:w="80" w:type="dxa"/>
              <w:right w:w="120" w:type="dxa"/>
            </w:tcMar>
            <w:vAlign w:val="center"/>
          </w:tcPr>
          <w:p>
            <w:r>
              <w:t>LM-02</w:t>
            </w:r>
          </w:p>
        </w:tc>
        <w:tc>
          <w:tcPr>
            <w:tcW w:w="2721" w:type="dxa"/>
            <w:tcMar>
              <w:top w:w="80" w:type="dxa"/>
              <w:left w:w="120" w:type="dxa"/>
              <w:bottom w:w="80" w:type="dxa"/>
              <w:right w:w="120" w:type="dxa"/>
            </w:tcMar>
            <w:vAlign w:val="center"/>
          </w:tcPr>
          <w:p>
            <w:r>
              <w:t>Python 业务链回归已完成本地夹具留档，真实网关环境结果尚未归档</w:t>
            </w:r>
          </w:p>
        </w:tc>
        <w:tc>
          <w:tcPr>
            <w:tcW w:w="2041" w:type="dxa"/>
            <w:tcMar>
              <w:top w:w="80" w:type="dxa"/>
              <w:left w:w="120" w:type="dxa"/>
              <w:bottom w:w="80" w:type="dxa"/>
              <w:right w:w="120" w:type="dxa"/>
            </w:tcMar>
            <w:vAlign w:val="center"/>
          </w:tcPr>
          <w:p>
            <w:r>
              <w:t>当前工作站未连接目标测试环境</w:t>
            </w:r>
          </w:p>
        </w:tc>
        <w:tc>
          <w:tcPr>
            <w:tcW w:w="1928" w:type="dxa"/>
            <w:tcMar>
              <w:top w:w="80" w:type="dxa"/>
              <w:left w:w="120" w:type="dxa"/>
              <w:bottom w:w="80" w:type="dxa"/>
              <w:right w:w="120" w:type="dxa"/>
            </w:tcMar>
            <w:vAlign w:val="center"/>
          </w:tcPr>
          <w:p>
            <w:r>
              <w:t>在联调/测试环境执行 business_regression.py 并补充 JSON/日志</w:t>
            </w:r>
          </w:p>
        </w:tc>
        <w:tc>
          <w:tcPr>
            <w:tcW w:w="1361" w:type="dxa"/>
            <w:tcMar>
              <w:top w:w="80" w:type="dxa"/>
              <w:left w:w="120" w:type="dxa"/>
              <w:bottom w:w="80" w:type="dxa"/>
              <w:right w:w="120" w:type="dxa"/>
            </w:tcMar>
            <w:vAlign w:val="center"/>
          </w:tcPr>
          <w:p>
            <w:r>
              <w:t>开发负责人</w:t>
            </w:r>
          </w:p>
        </w:tc>
        <w:tc>
          <w:tcPr>
            <w:tcW w:w="1247" w:type="dxa"/>
            <w:tcMar>
              <w:top w:w="80" w:type="dxa"/>
              <w:left w:w="120" w:type="dxa"/>
              <w:bottom w:w="80" w:type="dxa"/>
              <w:right w:w="120" w:type="dxa"/>
            </w:tcMar>
            <w:vAlign w:val="center"/>
          </w:tcPr>
          <w:p>
            <w:r>
              <w:t>2026-06-24</w:t>
            </w:r>
          </w:p>
        </w:tc>
      </w:tr>
    </w:tbl>
    <w:p w14:paraId="363892C8">
      <w:pPr>
        <w:pStyle w:val="16"/>
        <w:ind w:left="0" w:firstLine="0"/>
        <w:rPr>
          <w:rFonts w:hint="eastAsia" w:asciiTheme="minorEastAsia" w:hAnsiTheme="minorEastAsia" w:eastAsiaTheme="minorEastAsia" w:cstheme="minorEastAsia"/>
          <w:sz w:val="28"/>
          <w:szCs w:val="28"/>
        </w:rPr>
      </w:pPr>
      <w:r>
        <w:t>附件3：缺口与限制说明。本次分析重点说明当前仍受执行环境限制的测试项，而不再保留“尚未形成 Python 业务链回归脚本/异常流测试”的过时表述。</w:t>
      </w:r>
    </w:p>
    <w:p w14:paraId="0748B58E">
      <w:pPr>
        <w:jc w:val="both"/>
        <w:rPr>
          <w:rFonts w:hint="eastAsia" w:asciiTheme="minorEastAsia" w:hAnsiTheme="minorEastAsia" w:eastAsiaTheme="minorEastAsia" w:cstheme="minorEastAsia"/>
          <w:sz w:val="28"/>
          <w:szCs w:val="28"/>
        </w:rPr>
      </w:pPr>
      <w:r>
        <w:t>分析范围：覆盖 Python 冒烟与业务链回归范围、后端自动化模块分布、前端与 Flutter 异常流用例、实际执行日志与本地夹具 JSON 留档。</w:t>
      </w:r>
    </w:p>
    <w:p w14:paraId="04312CD9">
      <w:pPr>
        <w:jc w:val="both"/>
        <w:rPr>
          <w:rFonts w:hint="eastAsia" w:asciiTheme="minorEastAsia" w:hAnsiTheme="minorEastAsia" w:eastAsiaTheme="minorEastAsia" w:cstheme="minorEastAsia"/>
          <w:sz w:val="28"/>
          <w:szCs w:val="28"/>
        </w:rPr>
      </w:pPr>
      <w:r>
        <w:t>结论摘要：当前主要问题已由“缺脚本、缺用例、缺留档”转为“真实环境全链路待补跑，以及移动端集成层证据仍待增强”。</w:t>
      </w:r>
    </w:p>
    <w:p w14:paraId="3FCBA032">
      <w:pPr>
        <w:pStyle w:val="16"/>
        <w:ind w:left="0" w:firstLine="0"/>
        <w:rPr>
          <w:rFonts w:hint="eastAsia" w:asciiTheme="minorEastAsia" w:hAnsiTheme="minorEastAsia" w:eastAsiaTheme="minorEastAsia" w:cstheme="minorEastAsia"/>
          <w:sz w:val="28"/>
          <w:szCs w:val="28"/>
        </w:rPr>
      </w:pPr>
      <w:r>
        <w:t>附件4：本轮补齐项与待跟踪事项。本次已新增 scripts/deploy/business_regression.py、scripts/deploy/test_business_regression.py、Web 认证失效/路由越权异常流测试、小程序轻量流程测试、Flutter 成绩页异常流测试，并生成 docs/test-artifacts/2026-06-17 全量仓库级执行留档。</w:t>
      </w:r>
    </w:p>
    <w:p w14:paraId="3D2708BB">
      <w:pPr>
        <w:jc w:val="both"/>
        <w:rPr>
          <w:rFonts w:hint="eastAsia" w:asciiTheme="minorEastAsia" w:hAnsiTheme="minorEastAsia" w:eastAsiaTheme="minorEastAsia" w:cstheme="minorEastAsia"/>
          <w:sz w:val="28"/>
          <w:szCs w:val="28"/>
        </w:rPr>
      </w:pPr>
      <w:r>
        <w:t>待跟踪风险判断：剩余未完成项主要集中在真实网关环境补跑，以及小程序开发者工具或真机、App 模拟器或真机层的集成回归留档，不再是代码层面的测试资产缺失。</w:t>
      </w:r>
    </w:p>
    <w:p w14:paraId="7D0286AF">
      <w:pPr>
        <w:jc w:val="both"/>
        <w:rPr>
          <w:rFonts w:hint="eastAsia" w:asciiTheme="minorEastAsia" w:hAnsiTheme="minorEastAsia" w:eastAsiaTheme="minorEastAsia" w:cstheme="minorEastAsia"/>
          <w:sz w:val="28"/>
          <w:szCs w:val="28"/>
        </w:rPr>
      </w:pPr>
      <w:r>
        <w:t>后续补充建议：下一阶段应将 business_regression.py 接入可访问网关的测试环境或 CD 节点，并分别在微信开发者工具或真机、Android 模拟器或真机层补充更完整的考试主流程回归，继续沿用 docs/test-artifacts 目录沉淀执行结果。</w:t>
      </w:r>
    </w:p>
    <w:p w14:paraId="511EC9E1">
      <w:pPr>
        <w:jc w:val="both"/>
        <w:rPr>
          <w:rFonts w:hint="eastAsia" w:asciiTheme="minorEastAsia" w:hAnsiTheme="minorEastAsia" w:eastAsiaTheme="minorEastAsia" w:cstheme="minorEastAsia"/>
          <w:sz w:val="28"/>
          <w:szCs w:val="28"/>
        </w:rPr>
      </w:pPr>
      <w:r>
        <w:t>本轮漏测分析结论：当前版本已可作为课程项目测试基线和仓库级执行证据使用，但仍不宜对外表述为“已完成真实环境全量系统测试”。</w:t>
      </w:r>
    </w:p>
    <w:p w14:paraId="4CFE05A4">
      <w:pPr>
        <w:jc w:val="both"/>
        <w:rPr>
          <w:rFonts w:hint="eastAsia" w:asciiTheme="minorEastAsia" w:hAnsiTheme="minorEastAsia" w:eastAsiaTheme="minorEastAsia" w:cstheme="minorEastAsia"/>
          <w:sz w:val="28"/>
          <w:szCs w:val="28"/>
        </w:rPr>
      </w:pPr>
      <w:r>
        <w:t>补充说明1：现有结论以仓库可见测试资产、验证入口、自动化骨架和本次执行留档为主。</w:t>
      </w:r>
    </w:p>
    <w:p w14:paraId="5466A431">
      <w:pPr>
        <w:jc w:val="both"/>
        <w:rPr>
          <w:rFonts w:hint="eastAsia" w:asciiTheme="minorEastAsia" w:hAnsiTheme="minorEastAsia" w:eastAsiaTheme="minorEastAsia" w:cstheme="minorEastAsia"/>
          <w:sz w:val="28"/>
          <w:szCs w:val="28"/>
        </w:rPr>
      </w:pPr>
      <w:r>
        <w:t>补充说明2：真实环境链路回归、性能容量、运维专项以及移动端更深交互覆盖属于后续优化方向。</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F5FA2"/>
    <w:rsid w:val="0C763747"/>
    <w:rsid w:val="1FC03B28"/>
    <w:rsid w:val="206C1148"/>
    <w:rsid w:val="23CC203B"/>
    <w:rsid w:val="27206206"/>
    <w:rsid w:val="468456B9"/>
    <w:rsid w:val="57AE3005"/>
    <w:rsid w:val="62815776"/>
    <w:rsid w:val="634B38F7"/>
    <w:rsid w:val="6A7B0077"/>
    <w:rsid w:val="6E2A65EF"/>
    <w:rsid w:val="7327563F"/>
    <w:rsid w:val="74E50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120" w:line="360" w:lineRule="auto"/>
      <w:ind w:firstLine="480"/>
      <w:jc w:val="both"/>
    </w:pPr>
    <w:rPr>
      <w:rFonts w:asciiTheme="minorHAnsi" w:hAnsiTheme="minorHAnsi" w:eastAsiaTheme="minorEastAsia" w:cstheme="minorBidi"/>
      <w:kern w:val="2"/>
      <w:sz w:val="24"/>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rPr>
      <w:sz w:val="24"/>
    </w:rPr>
  </w:style>
  <w:style w:type="paragraph" w:customStyle="1" w:styleId="7">
    <w:name w:val="CodexTitle"/>
    <w:basedOn w:val="1"/>
    <w:uiPriority w:val="0"/>
    <w:pPr>
      <w:spacing w:before="0" w:after="200"/>
      <w:ind w:firstLine="0"/>
      <w:jc w:val="center"/>
    </w:pPr>
    <w:rPr>
      <w:rFonts w:ascii="黑体" w:hAnsi="黑体" w:eastAsia="黑体" w:cs="黑体"/>
      <w:b/>
      <w:sz w:val="40"/>
    </w:rPr>
  </w:style>
  <w:style w:type="paragraph" w:customStyle="1" w:styleId="8">
    <w:name w:val="CodexSubtitle"/>
    <w:basedOn w:val="1"/>
    <w:uiPriority w:val="0"/>
    <w:pPr>
      <w:spacing w:after="160"/>
      <w:ind w:firstLine="0"/>
      <w:jc w:val="center"/>
    </w:pPr>
    <w:rPr>
      <w:rFonts w:ascii="宋体" w:hAnsi="宋体" w:eastAsia="宋体" w:cs="宋体"/>
      <w:b/>
      <w:color w:val="606060"/>
      <w:sz w:val="22"/>
    </w:rPr>
  </w:style>
  <w:style w:type="paragraph" w:customStyle="1" w:styleId="9">
    <w:name w:val="CodexMetadata"/>
    <w:basedOn w:val="1"/>
    <w:uiPriority w:val="0"/>
    <w:pPr>
      <w:spacing w:after="240"/>
      <w:ind w:firstLine="0"/>
      <w:jc w:val="left"/>
    </w:pPr>
    <w:rPr>
      <w:rFonts w:ascii="宋体" w:hAnsi="宋体" w:eastAsia="宋体" w:cs="宋体"/>
      <w:sz w:val="24"/>
    </w:rPr>
  </w:style>
  <w:style w:type="paragraph" w:customStyle="1" w:styleId="10">
    <w:name w:val="CodexHeading1"/>
    <w:basedOn w:val="1"/>
    <w:uiPriority w:val="0"/>
    <w:pPr>
      <w:spacing w:before="240" w:after="120" w:line="288" w:lineRule="auto"/>
      <w:ind w:firstLine="0"/>
    </w:pPr>
    <w:rPr>
      <w:rFonts w:ascii="黑体" w:hAnsi="黑体" w:eastAsia="黑体" w:cs="黑体"/>
      <w:b/>
      <w:sz w:val="32"/>
    </w:rPr>
  </w:style>
  <w:style w:type="paragraph" w:customStyle="1" w:styleId="11">
    <w:name w:val="CodexHeading2"/>
    <w:basedOn w:val="1"/>
    <w:uiPriority w:val="0"/>
    <w:pPr>
      <w:spacing w:before="160" w:after="120" w:line="288" w:lineRule="auto"/>
      <w:ind w:firstLine="0"/>
    </w:pPr>
    <w:rPr>
      <w:rFonts w:ascii="黑体" w:hAnsi="黑体" w:eastAsia="黑体" w:cs="黑体"/>
      <w:b/>
      <w:sz w:val="28"/>
    </w:rPr>
  </w:style>
  <w:style w:type="paragraph" w:customStyle="1" w:styleId="12">
    <w:name w:val="CodexHeading3"/>
    <w:basedOn w:val="1"/>
    <w:uiPriority w:val="0"/>
    <w:pPr>
      <w:spacing w:before="160" w:after="120" w:line="288" w:lineRule="auto"/>
      <w:ind w:firstLine="0"/>
    </w:pPr>
    <w:rPr>
      <w:rFonts w:ascii="黑体" w:hAnsi="黑体" w:eastAsia="黑体" w:cs="黑体"/>
      <w:b/>
      <w:sz w:val="26"/>
    </w:rPr>
  </w:style>
  <w:style w:type="paragraph" w:customStyle="1" w:styleId="13">
    <w:name w:val="CodexCaption"/>
    <w:basedOn w:val="1"/>
    <w:uiPriority w:val="0"/>
    <w:pPr>
      <w:spacing w:before="120" w:after="80"/>
      <w:ind w:firstLine="0"/>
      <w:jc w:val="center"/>
    </w:pPr>
    <w:rPr>
      <w:rFonts w:ascii="宋体" w:hAnsi="宋体" w:eastAsia="宋体" w:cs="宋体"/>
      <w:b/>
      <w:sz w:val="22"/>
    </w:rPr>
  </w:style>
  <w:style w:type="paragraph" w:customStyle="1" w:styleId="14">
    <w:name w:val="CodexFormula"/>
    <w:basedOn w:val="1"/>
    <w:uiPriority w:val="0"/>
    <w:pPr>
      <w:spacing w:before="0" w:after="40" w:line="288" w:lineRule="auto"/>
      <w:ind w:left="360" w:firstLine="0"/>
    </w:pPr>
    <w:rPr>
      <w:rFonts w:ascii="宋体" w:hAnsi="宋体" w:eastAsia="宋体" w:cs="宋体"/>
      <w:sz w:val="22"/>
    </w:rPr>
  </w:style>
  <w:style w:type="paragraph" w:customStyle="1" w:styleId="15">
    <w:name w:val="CodexSignature"/>
    <w:basedOn w:val="1"/>
    <w:uiPriority w:val="0"/>
    <w:pPr>
      <w:spacing w:after="80"/>
      <w:ind w:firstLine="0"/>
    </w:pPr>
    <w:rPr>
      <w:rFonts w:ascii="宋体" w:hAnsi="宋体" w:eastAsia="宋体" w:cs="宋体"/>
      <w:sz w:val="24"/>
    </w:rPr>
  </w:style>
  <w:style w:type="paragraph" w:customStyle="1" w:styleId="16">
    <w:name w:val="CodexAttachment"/>
    <w:basedOn w:val="1"/>
    <w:uiPriority w:val="0"/>
    <w:pPr>
      <w:spacing w:before="160" w:after="80"/>
      <w:ind w:firstLine="0"/>
    </w:pPr>
    <w:rPr>
      <w:rFonts w:ascii="黑体" w:hAnsi="黑体" w:eastAsia="黑体" w:cs="黑体"/>
      <w:b/>
      <w:sz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4257</Words>
  <Characters>6518</Characters>
  <Lines>0</Lines>
  <Paragraphs>0</Paragraphs>
  <TotalTime>0</TotalTime>
  <ScaleCrop>false</ScaleCrop>
  <LinksUpToDate>false</LinksUpToDate>
  <CharactersWithSpaces>6916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2026-06-10T07:10:00Z</dcterms:created>
  <dc:creator>LULU</dc:creator>
  <cp:lastModifiedBy>Codex</cp:lastModifiedBy>
  <dcterms:modified xsi:type="dcterms:W3CDTF">2026-06-17T20:00:00Z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eyJoZGlkIjoiNTNiZmY5NDlmNDE2NTY4MzViYjdkOGQ5YzMwZDdlOWIiLCJ1c2VySWQiOiI4MjQ3NjE3NTEifQ==</vt:lpwstr>
  </property>
  <property fmtid="{D5CDD505-2E9C-101B-9397-08002B2CF9AE}" pid="4" name="ICV">
    <vt:lpwstr>6E9DCB78A9884279B0E9FA37C97E54D0_12</vt:lpwstr>
  </property>
</Properties>
</file>