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D242B">
      <w:pPr>
        <w:ind w:left="2160" w:leftChars="0" w:firstLine="720" w:firstLineChars="0"/>
        <w:jc w:val="both"/>
        <w:rPr>
          <w:rFonts w:ascii="仿宋" w:hAnsi="仿宋" w:eastAsia="仿宋" w:cs="仿宋"/>
          <w:b/>
          <w:sz w:val="52"/>
          <w:szCs w:val="52"/>
        </w:rPr>
      </w:pPr>
      <w:r>
        <w:rPr>
          <w:rFonts w:hint="eastAsia" w:ascii="仿宋" w:hAnsi="仿宋" w:eastAsia="仿宋" w:cs="仿宋"/>
          <w:b/>
          <w:sz w:val="52"/>
          <w:szCs w:val="52"/>
        </w:rPr>
        <w:t>项目实现方案</w:t>
      </w:r>
    </w:p>
    <w:p w14:paraId="20816AB4">
      <w:pPr>
        <w:rPr>
          <w:rFonts w:ascii="仿宋" w:hAnsi="仿宋" w:eastAsia="仿宋" w:cs="仿宋"/>
        </w:rPr>
      </w:pPr>
    </w:p>
    <w:p w14:paraId="1FE73024">
      <w:pPr>
        <w:rPr>
          <w:rFonts w:ascii="仿宋" w:hAnsi="仿宋" w:eastAsia="仿宋" w:cs="仿宋"/>
        </w:rPr>
      </w:pPr>
    </w:p>
    <w:p w14:paraId="032EAA20">
      <w:pPr>
        <w:rPr>
          <w:rFonts w:ascii="仿宋" w:hAnsi="仿宋" w:eastAsia="仿宋" w:cs="仿宋"/>
        </w:rPr>
      </w:pPr>
    </w:p>
    <w:p w14:paraId="30414752">
      <w:pPr>
        <w:rPr>
          <w:rFonts w:ascii="仿宋" w:hAnsi="仿宋" w:eastAsia="仿宋" w:cs="仿宋"/>
        </w:rPr>
      </w:pPr>
    </w:p>
    <w:p w14:paraId="5359E962">
      <w:pPr>
        <w:rPr>
          <w:rFonts w:ascii="仿宋" w:hAnsi="仿宋" w:eastAsia="仿宋" w:cs="仿宋"/>
        </w:rPr>
      </w:pPr>
    </w:p>
    <w:p w14:paraId="3B5B4837">
      <w:pPr>
        <w:rPr>
          <w:rFonts w:ascii="仿宋" w:hAnsi="仿宋" w:eastAsia="仿宋" w:cs="仿宋"/>
        </w:rPr>
      </w:pPr>
    </w:p>
    <w:p w14:paraId="37EE4A3C">
      <w:pPr>
        <w:rPr>
          <w:rFonts w:ascii="仿宋" w:hAnsi="仿宋" w:eastAsia="仿宋" w:cs="仿宋"/>
        </w:rPr>
      </w:pPr>
    </w:p>
    <w:p w14:paraId="4BA2BAFC">
      <w:pPr>
        <w:rPr>
          <w:rFonts w:ascii="仿宋" w:hAnsi="仿宋" w:eastAsia="仿宋" w:cs="仿宋"/>
        </w:rPr>
      </w:pPr>
    </w:p>
    <w:p w14:paraId="3CEC318F">
      <w:pPr>
        <w:rPr>
          <w:rFonts w:ascii="仿宋" w:hAnsi="仿宋" w:eastAsia="仿宋" w:cs="仿宋"/>
        </w:rPr>
      </w:pPr>
    </w:p>
    <w:p w14:paraId="4C3616E3">
      <w:pPr>
        <w:rPr>
          <w:rFonts w:ascii="仿宋" w:hAnsi="仿宋" w:eastAsia="仿宋" w:cs="仿宋"/>
        </w:rPr>
      </w:pPr>
    </w:p>
    <w:p w14:paraId="5218D76F">
      <w:pPr>
        <w:rPr>
          <w:rFonts w:ascii="仿宋" w:hAnsi="仿宋" w:eastAsia="仿宋" w:cs="仿宋"/>
        </w:rPr>
      </w:pPr>
    </w:p>
    <w:p w14:paraId="1E0D966B">
      <w:pPr>
        <w:rPr>
          <w:rFonts w:ascii="仿宋" w:hAnsi="仿宋" w:eastAsia="仿宋" w:cs="仿宋"/>
        </w:rPr>
      </w:pPr>
    </w:p>
    <w:p w14:paraId="0A50393A">
      <w:pPr>
        <w:rPr>
          <w:rFonts w:ascii="仿宋" w:hAnsi="仿宋" w:eastAsia="仿宋" w:cs="仿宋"/>
        </w:rPr>
      </w:pPr>
    </w:p>
    <w:p w14:paraId="42B01BF2">
      <w:pPr>
        <w:rPr>
          <w:rFonts w:ascii="仿宋" w:hAnsi="仿宋" w:eastAsia="仿宋" w:cs="仿宋"/>
        </w:rPr>
      </w:pPr>
    </w:p>
    <w:p w14:paraId="792CDD64">
      <w:pPr>
        <w:rPr>
          <w:rFonts w:ascii="仿宋" w:hAnsi="仿宋" w:eastAsia="仿宋" w:cs="仿宋"/>
          <w:u w:val="single"/>
        </w:rPr>
      </w:pPr>
      <w:r>
        <w:rPr>
          <w:rFonts w:ascii="仿宋" w:hAnsi="仿宋" w:eastAsia="仿宋" w:cs="仿宋"/>
        </w:rPr>
        <w:t xml:space="preserve">   </w:t>
      </w:r>
      <w:r>
        <w:rPr>
          <w:rFonts w:hint="eastAsia" w:ascii="仿宋" w:hAnsi="仿宋" w:eastAsia="仿宋" w:cs="仿宋"/>
          <w:b/>
          <w:sz w:val="32"/>
        </w:rPr>
        <w:t>项目名称</w:t>
      </w:r>
      <w:r>
        <w:rPr>
          <w:rFonts w:hint="eastAsia" w:ascii="仿宋" w:hAnsi="仿宋" w:eastAsia="仿宋" w:cs="仿宋"/>
          <w:sz w:val="24"/>
          <w:szCs w:val="24"/>
          <w:u w:val="single"/>
        </w:rPr>
        <w:t xml:space="preserve"> </w:t>
      </w:r>
      <w:r>
        <w:rPr>
          <w:rFonts w:hint="eastAsia" w:ascii="仿宋" w:hAnsi="仿宋" w:cs="仿宋"/>
          <w:sz w:val="24"/>
          <w:szCs w:val="24"/>
          <w:u w:val="single"/>
          <w:lang w:val="en-US" w:eastAsia="zh-CN"/>
        </w:rPr>
        <w:t xml:space="preserve">  </w:t>
      </w:r>
      <w:r>
        <w:rPr>
          <w:rFonts w:hint="eastAsia" w:ascii="仿宋" w:hAnsi="仿宋" w:eastAsia="仿宋" w:cs="仿宋"/>
          <w:sz w:val="24"/>
          <w:szCs w:val="24"/>
          <w:u w:val="single"/>
          <w:lang w:val="en-US" w:eastAsia="en-US" w:bidi="ar-SA"/>
        </w:rPr>
        <w:t>面向股票横截面潜力排序的人工智能建模系统（stock-m</w:t>
      </w:r>
      <w:bookmarkStart w:id="0" w:name="_GoBack"/>
      <w:bookmarkEnd w:id="0"/>
      <w:r>
        <w:rPr>
          <w:rFonts w:hint="eastAsia" w:ascii="仿宋" w:hAnsi="仿宋" w:eastAsia="仿宋" w:cs="仿宋"/>
          <w:sz w:val="24"/>
          <w:szCs w:val="24"/>
          <w:u w:val="single"/>
          <w:lang w:val="en-US" w:eastAsia="en-US" w:bidi="ar-SA"/>
        </w:rPr>
        <w:t>zz）</w:t>
      </w:r>
      <w:r>
        <w:rPr>
          <w:rFonts w:hint="eastAsia" w:ascii="仿宋" w:hAnsi="仿宋" w:eastAsia="仿宋" w:cs="仿宋"/>
          <w:sz w:val="24"/>
          <w:szCs w:val="24"/>
          <w:u w:val="single"/>
        </w:rPr>
        <w:t xml:space="preserve"> </w:t>
      </w:r>
      <w:r>
        <w:rPr>
          <w:rFonts w:hint="eastAsia" w:ascii="仿宋" w:hAnsi="仿宋" w:eastAsia="仿宋" w:cs="仿宋"/>
          <w:u w:val="single"/>
        </w:rPr>
        <w:t xml:space="preserve">                                                           </w:t>
      </w:r>
    </w:p>
    <w:p w14:paraId="4936344C">
      <w:pPr>
        <w:rPr>
          <w:rFonts w:hint="eastAsia" w:ascii="仿宋" w:hAnsi="仿宋" w:eastAsia="仿宋" w:cs="仿宋"/>
          <w:u w:val="single"/>
        </w:rPr>
      </w:pPr>
      <w:r>
        <w:rPr>
          <w:rFonts w:ascii="仿宋" w:hAnsi="仿宋" w:eastAsia="仿宋" w:cs="仿宋"/>
        </w:rPr>
      </w:r>
      <w:r>
        <w:rPr>
          <w:rFonts w:hint="eastAsia" w:ascii="仿宋" w:hAnsi="仿宋" w:eastAsia="仿宋" w:cs="仿宋"/>
          <w:b/>
          <w:sz w:val="32"/>
        </w:rPr>
      </w:r>
      <w:r>
        <w:rPr>
          <w:rFonts w:hint="eastAsia" w:ascii="仿宋" w:hAnsi="仿宋" w:cs="仿宋"/>
          <w:b/>
          <w:sz w:val="32"/>
          <w:lang w:val="en-US" w:eastAsia="zh-CN"/>
        </w:rPr>
      </w:r>
      <w:r>
        <w:rPr>
          <w:rFonts w:hint="eastAsia"/>
          <w:u w:val="single"/>
          <w:lang w:val="en-US" w:eastAsia="zh-CN"/>
        </w:rPr>
      </w:r>
      <w:r>
        <w:rPr>
          <w:rFonts w:hint="eastAsia" w:ascii="仿宋" w:hAnsi="仿宋" w:eastAsia="仿宋" w:cs="仿宋"/>
          <w:u w:val="single"/>
        </w:rPr>
      </w:r>
    </w:p>
    <w:p w14:paraId="0953AD57">
      <w:pPr>
        <w:spacing w:before="240" w:after="160" w:line="360" w:lineRule="auto"/>
        <w:rPr>
          <w:rFonts w:ascii="Times New Roman" w:hAnsi="Times New Roman" w:eastAsia="仿宋"/>
          <w:b/>
          <w:sz w:val="32"/>
        </w:rPr>
      </w:pPr>
    </w:p>
    <w:p w14:paraId="59609F7E">
      <w:pPr>
        <w:spacing w:before="240" w:after="160" w:line="360" w:lineRule="auto"/>
        <w:rPr>
          <w:rFonts w:ascii="Times New Roman" w:hAnsi="Times New Roman" w:eastAsia="仿宋"/>
          <w:b/>
          <w:sz w:val="32"/>
        </w:rPr>
      </w:pPr>
    </w:p>
    <w:p w14:paraId="7C8CA151">
      <w:pPr>
        <w:spacing w:before="240" w:after="160" w:line="360" w:lineRule="auto"/>
        <w:rPr>
          <w:rFonts w:ascii="Times New Roman" w:hAnsi="Times New Roman" w:eastAsia="仿宋"/>
          <w:b/>
          <w:sz w:val="32"/>
        </w:rPr>
      </w:pPr>
    </w:p>
    <w:p w14:paraId="4FB19D70">
      <w:pPr>
        <w:spacing w:before="240" w:after="160" w:line="360" w:lineRule="auto"/>
        <w:rPr>
          <w:rFonts w:ascii="Times New Roman" w:hAnsi="Times New Roman" w:eastAsia="仿宋"/>
          <w:b/>
          <w:sz w:val="32"/>
        </w:rPr>
      </w:pPr>
    </w:p>
    <w:p w14:paraId="5583AD8D">
      <w:pPr>
        <w:spacing w:before="240" w:after="160" w:line="360" w:lineRule="auto"/>
        <w:rPr>
          <w:rFonts w:ascii="Times New Roman" w:hAnsi="Times New Roman" w:eastAsia="仿宋"/>
          <w:b/>
          <w:sz w:val="32"/>
        </w:rPr>
      </w:pPr>
    </w:p>
    <w:p w14:paraId="4B1A9604">
      <w:pPr>
        <w:spacing w:before="240" w:after="160" w:line="360" w:lineRule="auto"/>
        <w:rPr>
          <w:rFonts w:ascii="Times New Roman" w:hAnsi="Times New Roman" w:eastAsia="仿宋"/>
          <w:b/>
          <w:sz w:val="32"/>
        </w:rPr>
      </w:pPr>
    </w:p>
    <w:p w14:paraId="2DD31FAF">
      <w:pPr>
        <w:spacing w:before="240" w:after="160" w:line="360" w:lineRule="auto"/>
      </w:pPr>
      <w:r>
        <w:rPr>
          <w:rFonts w:ascii="Times New Roman" w:hAnsi="Times New Roman" w:eastAsia="仿宋"/>
          <w:b/>
          <w:sz w:val="32"/>
        </w:rPr>
        <w:t>目录</w:t>
      </w:r>
    </w:p>
    <w:p w14:paraId="1F76B0CF">
      <w:pPr>
        <w:spacing w:before="0" w:after="80" w:line="360" w:lineRule="auto"/>
      </w:pPr>
      <w:r>
        <w:rPr>
          <w:rFonts w:ascii="Times New Roman" w:hAnsi="Times New Roman" w:eastAsia="仿宋"/>
          <w:b w:val="0"/>
          <w:sz w:val="24"/>
        </w:rPr>
        <w:t>第一章  项目介绍</w:t>
      </w:r>
    </w:p>
    <w:p w14:paraId="6B8395BF">
      <w:pPr>
        <w:spacing w:before="0" w:after="80" w:line="360" w:lineRule="auto"/>
      </w:pPr>
      <w:r>
        <w:rPr>
          <w:rFonts w:ascii="Times New Roman" w:hAnsi="Times New Roman" w:eastAsia="仿宋"/>
          <w:b w:val="0"/>
          <w:sz w:val="24"/>
        </w:rPr>
        <w:t>第二章  项目实施方案</w:t>
      </w:r>
    </w:p>
    <w:p w14:paraId="0793EA1C">
      <w:pPr>
        <w:spacing w:before="0" w:after="80" w:line="360" w:lineRule="auto"/>
      </w:pPr>
      <w:r>
        <w:rPr>
          <w:rFonts w:ascii="Times New Roman" w:hAnsi="Times New Roman" w:eastAsia="仿宋"/>
          <w:b w:val="0"/>
          <w:sz w:val="24"/>
        </w:rPr>
        <w:t>第三章  项目创新性分析</w:t>
      </w:r>
    </w:p>
    <w:p w14:paraId="6D46BDE9">
      <w:pPr>
        <w:spacing w:before="0" w:after="80" w:line="360" w:lineRule="auto"/>
      </w:pPr>
      <w:r>
        <w:rPr>
          <w:rFonts w:ascii="Times New Roman" w:hAnsi="Times New Roman" w:eastAsia="仿宋"/>
          <w:b w:val="0"/>
          <w:sz w:val="24"/>
        </w:rPr>
        <w:t>第四章  项目实现成果</w:t>
      </w:r>
    </w:p>
    <w:p w14:paraId="32FF91EE">
      <w:pPr>
        <w:spacing w:before="0" w:after="80" w:line="360" w:lineRule="auto"/>
      </w:pPr>
      <w:r>
        <w:rPr>
          <w:rFonts w:ascii="Times New Roman" w:hAnsi="Times New Roman" w:eastAsia="仿宋"/>
          <w:b w:val="0"/>
          <w:sz w:val="24"/>
        </w:rPr>
        <w:t>第五章  项目合规风险分析</w:t>
      </w:r>
    </w:p>
    <w:p w14:paraId="12112559">
      <w:pPr>
        <w:spacing w:before="0" w:after="80" w:line="360" w:lineRule="auto"/>
      </w:pPr>
      <w:r>
        <w:rPr>
          <w:rFonts w:ascii="Times New Roman" w:hAnsi="Times New Roman" w:eastAsia="仿宋"/>
          <w:b w:val="0"/>
          <w:sz w:val="24"/>
        </w:rPr>
        <w:t>第六章  参考文献</w:t>
      </w:r>
    </w:p>
    <w:p w14:paraId="5507C753">
      <w:pPr>
        <w:spacing w:before="240" w:after="160" w:line="360" w:lineRule="auto"/>
        <w:rPr>
          <w:rFonts w:ascii="Times New Roman" w:hAnsi="Times New Roman" w:eastAsia="仿宋"/>
          <w:b/>
          <w:sz w:val="32"/>
          <w:szCs w:val="32"/>
        </w:rPr>
      </w:pPr>
    </w:p>
    <w:p w14:paraId="5C1F568D">
      <w:pPr>
        <w:spacing w:before="240" w:after="160" w:line="360" w:lineRule="auto"/>
        <w:rPr>
          <w:rFonts w:ascii="Times New Roman" w:hAnsi="Times New Roman" w:eastAsia="仿宋"/>
          <w:b/>
          <w:sz w:val="32"/>
          <w:szCs w:val="32"/>
        </w:rPr>
      </w:pPr>
    </w:p>
    <w:p w14:paraId="1FCCBDB9">
      <w:pPr>
        <w:spacing w:before="240" w:after="160" w:line="360" w:lineRule="auto"/>
        <w:rPr>
          <w:rFonts w:ascii="Times New Roman" w:hAnsi="Times New Roman" w:eastAsia="仿宋"/>
          <w:b/>
          <w:sz w:val="32"/>
          <w:szCs w:val="32"/>
        </w:rPr>
      </w:pPr>
    </w:p>
    <w:p w14:paraId="5C9C8BF1">
      <w:pPr>
        <w:spacing w:before="240" w:after="160" w:line="360" w:lineRule="auto"/>
        <w:rPr>
          <w:sz w:val="32"/>
          <w:szCs w:val="32"/>
        </w:rPr>
      </w:pPr>
      <w:r>
        <w:rPr>
          <w:rFonts w:ascii="Times New Roman" w:hAnsi="Times New Roman" w:eastAsia="仿宋"/>
          <w:b/>
          <w:sz w:val="32"/>
          <w:szCs w:val="32"/>
        </w:rPr>
        <w:t>第一章  项目介绍</w:t>
      </w:r>
    </w:p>
    <w:p w14:paraId="4AA89055">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1.1 项目背景与需求</w:t>
      </w:r>
    </w:p>
    <w:p w14:paraId="5E77D78B">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同一交易日内，市场会同时给出数千只标的的多维观测。本任务需要回答的不是单只股票涨多少，而是：在当天可比较的集合里，哪些相对更有潜力。判断必须只建立在当天及以前的信息上，否则无法用于按时间滚动的评价。</w:t>
      </w:r>
    </w:p>
    <w:p w14:paraId="7D88590A">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传统做法常见三类不足：只依赖少数强指标，组合能力有限；把当日相对位置和历史变化混在一起，或直接使用不可比的原始水平；优化点误差、却用排序指标验收，或打乱时间划分，本地结论难以对应无标签的最终区间。</w:t>
      </w:r>
    </w:p>
    <w:p w14:paraId="731F1596">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本项目面向南京大学友安杯「人工智能+」大学生创新技能挑战赛靖戈企业命题课题1。系统对官方股票面板做离线建模，为测试期每个交易日、全部股票输出潜力分数，评价采用横截面等级相关（RankIC）的时间平均，提交为规定形状的数值矩阵。项目不提供投资建议，不连接实时行情，不替代人工决策。</w:t>
      </w:r>
    </w:p>
    <w:p w14:paraId="34FFAFB1">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1.2 核心问题与技术挑战</w:t>
      </w:r>
    </w:p>
    <w:p w14:paraId="238EC6B3">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挑战一是排序目标与常见点估计不一致。标签接近截面分位形态，若按普通回归理解，可能出现误差下降、名次仍然混乱。挑战二是每日可比较股票数量变化大，仅靠当天截面关系的方法在集合明显变大时容易变弱；全年固定融合权重会在部分交易日偏向较弱的信息源。挑战三是严格时间约束：最终区间标签不可见，不得用于选模；高基数编号若使用不当，可能把“记住编号”当成泛化。</w:t>
      </w:r>
    </w:p>
    <w:p w14:paraId="56A2EF17">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1.3 项目总体方案</w:t>
      </w:r>
    </w:p>
    <w:p w14:paraId="07822D53">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针对上述约束，项目采用配置驱动的离线流程：数据处理、分轴建模、验证锁定融合、提交自检。数据按官方时间索引切分，在当日有效样本内构造相对位置，历史窗口不含预测日之后的信息。建模分为两轴：时间维学习近期相对强弱轨迹，股票维学习当天在市场和行业内的相对位置。融合规则只在验证集比较并锁定，再对无标签区间推断一次。采用双轴，是因为赛题给出了时间维与股票维两条线索，且验证现象表明两路信息并非每天同等可信，需要按当日可比较规模调节合成。</w:t>
      </w:r>
    </w:p>
    <w:p w14:paraId="77EFCADE">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1.4 项目创新与成果</w:t>
      </w:r>
    </w:p>
    <w:p w14:paraId="0BE86BCE">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创新不在于更换网络名称，而在于：把状态与趋势分开表达；按市场可比较规模动态合成；用统一指标和切分记录取舍，失败路径明确放弃；从读入官方数据包到写出规定矩阵形成可分阶段复现的流水线，并控制整包数据的内存占用。</w:t>
      </w:r>
    </w:p>
    <w:p w14:paraId="3F60EAD6">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本地验证集上，排序质量由单一信号约0.08、当天截面约0.10，经双轴合成进入0.11量级；随后将主树替换为扩展历史特征的DoubleEnsemble，并加入因果递推排名。锁定方案验证集Mean RankIC约0.1308，官方测试集Mean RankIC为0.1293，超过门槛0.12。测试标签不进入训练与特征构造。项目服务于本届指定赛题的方法验证与提交，不扩展为交易或投顾产品。</w:t>
      </w:r>
    </w:p>
    <w:p w14:paraId="329D6AD6">
      <w:pPr>
        <w:spacing w:before="240" w:after="160" w:line="360" w:lineRule="auto"/>
        <w:rPr>
          <w:rFonts w:hint="eastAsia" w:ascii="仿宋" w:hAnsi="仿宋" w:eastAsia="仿宋" w:cs="仿宋"/>
          <w:sz w:val="32"/>
          <w:szCs w:val="32"/>
        </w:rPr>
      </w:pPr>
      <w:r>
        <w:rPr>
          <w:rFonts w:hint="eastAsia" w:ascii="仿宋" w:hAnsi="仿宋" w:eastAsia="仿宋" w:cs="仿宋"/>
          <w:b/>
          <w:sz w:val="32"/>
          <w:szCs w:val="32"/>
        </w:rPr>
        <w:t>第二章  项目实施方案</w:t>
      </w:r>
    </w:p>
    <w:p w14:paraId="1C89D614">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2.1 总体技术路线</w:t>
      </w:r>
    </w:p>
    <w:p w14:paraId="68B23133">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实施顺序为：问题定义与赛题约束、数据处理与特征工程、双轴智能建模、动态融合优化、验证与工程交付。每一次实验用一份配置描述，读数、特征、指标和提交格式集中在公共库中，避免各脚本各写一套相关。默认先演练命令与缺失文件，确认本机未并行加载两份全面板后再训练，以适应约16GB内存环境。</w:t>
      </w:r>
    </w:p>
    <w:p w14:paraId="4116B3A1">
      <w:pPr>
        <w:spacing w:before="120" w:after="40" w:line="360" w:lineRule="auto"/>
        <w:jc w:val="center"/>
        <w:rPr>
          <w:rFonts w:hint="eastAsia" w:ascii="仿宋" w:hAnsi="仿宋" w:eastAsia="仿宋" w:cs="仿宋"/>
          <w:sz w:val="24"/>
          <w:szCs w:val="24"/>
        </w:rPr>
      </w:pPr>
      <w:r>
        <w:rPr>
          <w:rFonts w:hint="eastAsia" w:ascii="仿宋" w:hAnsi="仿宋" w:eastAsia="仿宋" w:cs="仿宋"/>
          <w:sz w:val="24"/>
          <w:szCs w:val="24"/>
        </w:rPr>
        <w:drawing>
          <wp:inline distT="0" distB="0" distL="114300" distR="114300">
            <wp:extent cx="5577840" cy="3718560"/>
            <wp:effectExtent l="0" t="0" r="1016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77840" cy="3718560"/>
                    </a:xfrm>
                    <a:prstGeom prst="rect">
                      <a:avLst/>
                    </a:prstGeom>
                  </pic:spPr>
                </pic:pic>
              </a:graphicData>
            </a:graphic>
          </wp:inline>
        </w:drawing>
      </w:r>
    </w:p>
    <w:p w14:paraId="2D62CDED">
      <w:pPr>
        <w:spacing w:before="40" w:after="200" w:line="360" w:lineRule="auto"/>
        <w:jc w:val="center"/>
        <w:rPr>
          <w:rFonts w:hint="eastAsia" w:ascii="仿宋" w:hAnsi="仿宋" w:eastAsia="仿宋" w:cs="仿宋"/>
          <w:sz w:val="24"/>
          <w:szCs w:val="24"/>
        </w:rPr>
      </w:pPr>
      <w:r>
        <w:rPr>
          <w:rFonts w:hint="eastAsia" w:ascii="仿宋" w:hAnsi="仿宋" w:eastAsia="仿宋" w:cs="仿宋"/>
          <w:b w:val="0"/>
          <w:sz w:val="24"/>
          <w:szCs w:val="24"/>
        </w:rPr>
        <w:t>图2-1  项目总体技术路线</w:t>
      </w:r>
    </w:p>
    <w:p w14:paraId="4F18CC4E">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2.2 数据处理与特征工程</w:t>
      </w:r>
    </w:p>
    <w:p w14:paraId="18D6045D">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数据为赛方发放的压缩面板，经pickle与zstd解码。探查记录：3603个交易日、5282只股票、99列数值特征和9列类别特征；训练、验证、测试起点以文件内索引为准（486、2918、3161）。缓冲期可回看，其标签不进入训练。相对位置只在当日有效样本上计算；历史统计与序列窗口的右端不超过预测日，主时序配置进一步排除当天。无信息日不按零参与均值和标准差。低、中基数类别进入截面树，高基数编号默认关闭。融合阶段只读取预先导出的标签与有效标记，避免再次装入整包面板。y2在加载后删除。融合权重只在验证集搜索并锁定后，才对测试集推断一次。</w:t>
      </w:r>
    </w:p>
    <w:p w14:paraId="310DC2B9">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2.3 双轴智能建模方法</w:t>
      </w:r>
    </w:p>
    <w:p w14:paraId="69D4A33C">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截面模块学习“当天谁相对更强”：用树模型拟合当日原始数值、市场/行业相对位置及类别属性，训练按日控制样本、评价覆盖全市场。历史树在截面相对强弱上统计窗口内的均值、标准差与末日值；主树随后改为全训练期DoubleEnsemble，并把历史轨迹从原27列扩展到经扫描保留的互补列（窗口20日），再与当天截面树按0.7/0.3合成。时序模块学习“相对强弱如何变化”：用短窗序列模型拟合截面相对位置轨迹，树几乎不用但单因子不弱的列单独成支，避免并进同一网络后高度相关。行业相对模块补充组内差异。融合先按当日有效股票规模提高或降低轨迹权重，再叠入行业相对信息。测试区间在最后已知标签日之后不再使用真实y1，只把模型前一日的横截面排名按时间衰减混入当日模型分，最终以10%权重接入主方案。</w:t>
      </w:r>
    </w:p>
    <w:p w14:paraId="5A41D427">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2.4 实验验证与方案确定</w:t>
      </w:r>
    </w:p>
    <w:p w14:paraId="5ACBEF6B">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对照原则是一次只改窗口、特征、损失或模型之一，结果写入实验记录。被放弃的路径包括：原始水平历史、缩短窗口、LambdaRank、把市场覆盖度当作树特征、单纯加树、向轨迹支重复加入已被树使用的类别、用与树更同向的相关损失、在训练难日上拟合残差、高基数股票编号、三档覆盖度门控，以及验证涨、测试跌的强时序平滑。保留路径沿截面树、历史相对信息、双树合成、轨迹融合、规模感知门控、扩展历史树、因果递推排名推进。文档锁定方案为：alpha-x主树加原GRU/MLP/覆盖度门控，再以10%权重混入带衰减的递推排名支。本地验证集Mean RankIC约0.1308，官方测试集0.1293。训练与特征不使用测试标签。</w:t>
      </w:r>
    </w:p>
    <w:p w14:paraId="37153242">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2.5 系统工程与难点处理</w:t>
      </w:r>
    </w:p>
    <w:p w14:paraId="325DACFE">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代码分为库、脚本与配置。库统一实现切分、因果特征、RankIC和提交格式；脚本只串联一次实验；配置通过继承改一个旋钮，基线保持稳定。流水线声明各阶段是否加载整表。玩具面板上核对门控公式，不依赖保密数据。主要难点与处理：排序目标与点误差可能背离，故全程同一套逐日Spearman验收；泄漏风险用时间切分和窗口右端约束控制；内存用单份面板、切分缓存和训练后释放张量控制；模型强弱随可比较规模变化，用验证锁定的动态合成代替固定平均；提交用形状、类型和非有限值检查降低平台拒收风险。</w:t>
      </w:r>
    </w:p>
    <w:p w14:paraId="3A12C927">
      <w:pPr>
        <w:spacing w:before="240" w:after="160" w:line="360" w:lineRule="auto"/>
        <w:rPr>
          <w:rFonts w:hint="eastAsia" w:ascii="仿宋" w:hAnsi="仿宋" w:eastAsia="仿宋" w:cs="仿宋"/>
          <w:sz w:val="32"/>
          <w:szCs w:val="32"/>
        </w:rPr>
      </w:pPr>
      <w:r>
        <w:rPr>
          <w:rFonts w:hint="eastAsia" w:ascii="仿宋" w:hAnsi="仿宋" w:eastAsia="仿宋" w:cs="仿宋"/>
          <w:b/>
          <w:sz w:val="32"/>
          <w:szCs w:val="32"/>
        </w:rPr>
        <w:t>第三章  项目创新性分析</w:t>
      </w:r>
    </w:p>
    <w:p w14:paraId="252B29C5">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本章说明相对传统点估计和“全部特征送入单一模型”的做法，创新体现在问题抽象、信息组织、合成规则和实验可信性，而不是简单替换基础模型结构。系统不涉及投资决策。</w:t>
      </w:r>
    </w:p>
    <w:p w14:paraId="7E6A52DD">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3.1 面向横截面排序的问题建模创新</w:t>
      </w:r>
    </w:p>
    <w:p w14:paraId="6ECC3317">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传统预测多将对象视为单一个体，优化涨跌或点误差。该抽象与“同一交易日内全体对象谁更有潜力”并不等价。本项目将任务重新定义为横截面排序学习：在每个交易日的可比较集合上学习相对次序，以与名次一致性相关的指标同时作为学习与验收目标；无标签区间不参与模型选择。价值在于学习对象与评价对象一致，这一建模方式可迁移到集合规模变化、标签延迟的比较类任务。</w:t>
      </w:r>
    </w:p>
    <w:p w14:paraId="74B0D89A">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3.2 面向状态与趋势的信息表达创新</w:t>
      </w:r>
    </w:p>
    <w:p w14:paraId="4C765868">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潜力同时依赖当前相对位置及其近期演变。传统做法将异构特征拼接后交给单模型自行分解，难以保证互补，也难以说明提升来自哪一类信息。本项目把输入组织为两路有明确语义的表示：状态信息回答“当前谁更有优势”，趋势信息回答“谁正在发生变化”，并减少两路重复使用同一来源。验证集上，状态一路已超过最强单一指标，与趋势合成后再高于单轴，说明结构化表达带来了可归因的互补。</w:t>
      </w:r>
    </w:p>
    <w:p w14:paraId="6A0CFB55">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3.3 面向分布变化的自适应融合创新</w:t>
      </w:r>
    </w:p>
    <w:p w14:paraId="3DCE7365">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固定权重假定各路信息每天同样可靠。有效样本规模变化时，横截面分布和全市场排序难度都会变化，依赖当日截面关系的表示更容易失稳。项目根据验证集失效模式，把当日可比较规模作为可观测环境变量，调节两路表示的合成比例并锁定。这不是靠增加模型数量提高验证表现，而是让组合规则跟踪“何种环境下哪路更可信”。规模感知融合把验证集从固定权约0.110提高到约0.117；后续扩展树与递推排名将验证集提升到约0.1308，官方测试集为0.1293。</w:t>
      </w:r>
    </w:p>
    <w:p w14:paraId="2B50E887">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3.4 面向可信机器学习的实验体系创新</w:t>
      </w:r>
    </w:p>
    <w:p w14:paraId="1906054C">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若缺少约束，即使结构合理，也无法证明未使用未来信息、对照未被改写。项目将时间因果、配置可追溯、基线保护、评价与提交可检查作为方法的一部分，使结果可复现、可验证、可审计。四项创新递进：先定义排序问题，再分开表达状态与趋势，再按规模变化调节合成，最后用实验纪律约束结论。可推广的是这一套组织方式，适用范围限于同类排序学习。</w:t>
      </w:r>
    </w:p>
    <w:p w14:paraId="039ECD77">
      <w:pPr>
        <w:spacing w:before="240" w:after="160" w:line="360" w:lineRule="auto"/>
        <w:rPr>
          <w:rFonts w:hint="eastAsia" w:ascii="仿宋" w:hAnsi="仿宋" w:eastAsia="仿宋" w:cs="仿宋"/>
          <w:sz w:val="32"/>
          <w:szCs w:val="32"/>
        </w:rPr>
      </w:pPr>
      <w:r>
        <w:rPr>
          <w:rFonts w:hint="eastAsia" w:ascii="仿宋" w:hAnsi="仿宋" w:eastAsia="仿宋" w:cs="仿宋"/>
          <w:b/>
          <w:sz w:val="32"/>
          <w:szCs w:val="32"/>
        </w:rPr>
        <w:t>第四章  项目实现成果</w:t>
      </w:r>
    </w:p>
    <w:p w14:paraId="14AFE082">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下文未另行说明时，RankIC指本地验证集Mean RankIC。官方测试门槛为Mean RankIC不低于0.12。锁定提交文件的官方测试集Mean RankIC为0.1293。预测文件按规范不进入版本库。</w:t>
      </w:r>
    </w:p>
    <w:p w14:paraId="674ACA89">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4.1 项目交付了什么</w:t>
      </w:r>
    </w:p>
    <w:p w14:paraId="025CEDCE">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已实现可分阶段运行的离线流水线：官方数据读取与时间切分、因果特征、截面与轨迹建模、行业相对补充、扩展历史树、验证集锁定融合、测试区间因果递推、提交格式检查。数据规模为3603日、5282只股票、99列数值和9列类别；训练2432日、验证243日、测试442日。文档锁定产物为submissions/task1_fusion_existing_recursive_w10.npy，形状(442, 5282)、float32。实验记录按编号持续追加，含失败项。</w:t>
      </w:r>
    </w:p>
    <w:p w14:paraId="545956A0">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4.2 量化效果</w:t>
      </w:r>
    </w:p>
    <w:tbl>
      <w:tblPr>
        <w:tblStyle w:val="32"/>
        <w:tblW w:w="0" w:type="auto"/>
        <w:jc w:val="center"/>
        <w:tblLayout w:type="autofit"/>
        <w:tblCellMar>
          <w:top w:w="0" w:type="dxa"/>
          <w:left w:w="108" w:type="dxa"/>
          <w:bottom w:w="0" w:type="dxa"/>
          <w:right w:w="108" w:type="dxa"/>
        </w:tblCellMar>
      </w:tblPr>
      <w:tblGrid>
        <w:gridCol w:w="1805"/>
        <w:gridCol w:w="1805"/>
        <w:gridCol w:w="1805"/>
        <w:gridCol w:w="1805"/>
        <w:gridCol w:w="1805"/>
      </w:tblGrid>
      <w:tr w14:paraId="13D5BF00">
        <w:tblPrEx>
          <w:tblCellMar>
            <w:top w:w="0" w:type="dxa"/>
            <w:left w:w="108" w:type="dxa"/>
            <w:bottom w:w="0" w:type="dxa"/>
            <w:right w:w="108" w:type="dxa"/>
          </w:tblCellMar>
        </w:tblPrEx>
        <w:trPr>
          <w:jc w:val="center"/>
        </w:trPr>
        <w:tc>
          <w:tcPr>
            <w:tcW w:w="1805" w:type="dxa"/>
            <w:tcBorders>
              <w:top w:val="single" w:color="1B3A5F" w:sz="4" w:space="0"/>
              <w:left w:val="single" w:color="1B3A5F" w:sz="4" w:space="0"/>
              <w:bottom w:val="single" w:color="1B3A5F" w:sz="4" w:space="0"/>
              <w:right w:val="single" w:color="1B3A5F" w:sz="4" w:space="0"/>
            </w:tcBorders>
            <w:shd w:val="clear" w:color="auto" w:fill="1B3A5F"/>
          </w:tcPr>
          <w:p w14:paraId="6CC1A060">
            <w:pPr>
              <w:spacing w:before="40" w:after="40" w:line="360" w:lineRule="auto"/>
              <w:jc w:val="center"/>
              <w:rPr>
                <w:rFonts w:hint="eastAsia" w:ascii="仿宋" w:hAnsi="仿宋" w:eastAsia="仿宋" w:cs="仿宋"/>
                <w:sz w:val="24"/>
                <w:szCs w:val="24"/>
              </w:rPr>
            </w:pPr>
            <w:r>
              <w:rPr>
                <w:rFonts w:hint="eastAsia" w:ascii="仿宋" w:hAnsi="仿宋" w:eastAsia="仿宋" w:cs="仿宋"/>
                <w:b/>
                <w:color w:val="FFFFFF"/>
                <w:sz w:val="24"/>
                <w:szCs w:val="24"/>
              </w:rPr>
              <w:t>阶段</w:t>
            </w:r>
          </w:p>
        </w:tc>
        <w:tc>
          <w:tcPr>
            <w:tcW w:w="1805" w:type="dxa"/>
            <w:tcBorders>
              <w:top w:val="single" w:color="1B3A5F" w:sz="4" w:space="0"/>
              <w:left w:val="single" w:color="1B3A5F" w:sz="4" w:space="0"/>
              <w:bottom w:val="single" w:color="1B3A5F" w:sz="4" w:space="0"/>
              <w:right w:val="single" w:color="1B3A5F" w:sz="4" w:space="0"/>
            </w:tcBorders>
            <w:shd w:val="clear" w:color="auto" w:fill="1B3A5F"/>
          </w:tcPr>
          <w:p w14:paraId="5B7EB222">
            <w:pPr>
              <w:spacing w:before="40" w:after="40" w:line="360" w:lineRule="auto"/>
              <w:jc w:val="center"/>
              <w:rPr>
                <w:rFonts w:hint="eastAsia" w:ascii="仿宋" w:hAnsi="仿宋" w:eastAsia="仿宋" w:cs="仿宋"/>
                <w:sz w:val="24"/>
                <w:szCs w:val="24"/>
              </w:rPr>
            </w:pPr>
            <w:r>
              <w:rPr>
                <w:rFonts w:hint="eastAsia" w:ascii="仿宋" w:hAnsi="仿宋" w:eastAsia="仿宋" w:cs="仿宋"/>
                <w:b/>
                <w:color w:val="FFFFFF"/>
                <w:sz w:val="24"/>
                <w:szCs w:val="24"/>
              </w:rPr>
              <w:t>方案（实验记录）</w:t>
            </w:r>
          </w:p>
        </w:tc>
        <w:tc>
          <w:tcPr>
            <w:tcW w:w="1805" w:type="dxa"/>
            <w:tcBorders>
              <w:top w:val="single" w:color="1B3A5F" w:sz="4" w:space="0"/>
              <w:left w:val="single" w:color="1B3A5F" w:sz="4" w:space="0"/>
              <w:bottom w:val="single" w:color="1B3A5F" w:sz="4" w:space="0"/>
              <w:right w:val="single" w:color="1B3A5F" w:sz="4" w:space="0"/>
            </w:tcBorders>
            <w:shd w:val="clear" w:color="auto" w:fill="1B3A5F"/>
          </w:tcPr>
          <w:p w14:paraId="4C901B5E">
            <w:pPr>
              <w:spacing w:before="40" w:after="40" w:line="360" w:lineRule="auto"/>
              <w:jc w:val="center"/>
              <w:rPr>
                <w:rFonts w:hint="eastAsia" w:ascii="仿宋" w:hAnsi="仿宋" w:eastAsia="仿宋" w:cs="仿宋"/>
                <w:sz w:val="24"/>
                <w:szCs w:val="24"/>
              </w:rPr>
            </w:pPr>
            <w:r>
              <w:rPr>
                <w:rFonts w:hint="eastAsia" w:ascii="仿宋" w:hAnsi="仿宋" w:eastAsia="仿宋" w:cs="仿宋"/>
                <w:b/>
                <w:color w:val="FFFFFF"/>
                <w:sz w:val="24"/>
                <w:szCs w:val="24"/>
              </w:rPr>
              <w:t>验证集RankIC</w:t>
            </w:r>
          </w:p>
        </w:tc>
        <w:tc>
          <w:tcPr>
            <w:tcW w:w="1805" w:type="dxa"/>
            <w:tcBorders>
              <w:top w:val="single" w:color="1B3A5F" w:sz="4" w:space="0"/>
              <w:left w:val="single" w:color="1B3A5F" w:sz="4" w:space="0"/>
              <w:bottom w:val="single" w:color="1B3A5F" w:sz="4" w:space="0"/>
              <w:right w:val="single" w:color="1B3A5F" w:sz="4" w:space="0"/>
            </w:tcBorders>
            <w:shd w:val="clear" w:color="auto" w:fill="1B3A5F"/>
          </w:tcPr>
          <w:p w14:paraId="1C3FAD4A">
            <w:pPr>
              <w:spacing w:before="40" w:after="40" w:line="360" w:lineRule="auto"/>
              <w:jc w:val="center"/>
              <w:rPr>
                <w:rFonts w:hint="eastAsia" w:ascii="仿宋" w:hAnsi="仿宋" w:eastAsia="仿宋" w:cs="仿宋"/>
                <w:sz w:val="24"/>
                <w:szCs w:val="24"/>
              </w:rPr>
            </w:pPr>
            <w:r>
              <w:rPr>
                <w:rFonts w:hint="eastAsia" w:ascii="仿宋" w:hAnsi="仿宋" w:eastAsia="仿宋" w:cs="仿宋"/>
                <w:b/>
                <w:color w:val="FFFFFF"/>
                <w:sz w:val="24"/>
                <w:szCs w:val="24"/>
              </w:rPr>
              <w:t>相对上阶段</w:t>
            </w:r>
          </w:p>
        </w:tc>
        <w:tc>
          <w:tcPr>
            <w:tcW w:w="1805" w:type="dxa"/>
            <w:tcBorders>
              <w:top w:val="single" w:color="1B3A5F" w:sz="4" w:space="0"/>
              <w:left w:val="single" w:color="1B3A5F" w:sz="4" w:space="0"/>
              <w:bottom w:val="single" w:color="1B3A5F" w:sz="4" w:space="0"/>
              <w:right w:val="single" w:color="1B3A5F" w:sz="4" w:space="0"/>
            </w:tcBorders>
            <w:shd w:val="clear" w:color="auto" w:fill="1B3A5F"/>
          </w:tcPr>
          <w:p w14:paraId="3053019F">
            <w:pPr>
              <w:spacing w:before="40" w:after="40" w:line="360" w:lineRule="auto"/>
              <w:jc w:val="center"/>
              <w:rPr>
                <w:rFonts w:hint="eastAsia" w:ascii="仿宋" w:hAnsi="仿宋" w:eastAsia="仿宋" w:cs="仿宋"/>
                <w:sz w:val="24"/>
                <w:szCs w:val="24"/>
              </w:rPr>
            </w:pPr>
            <w:r>
              <w:rPr>
                <w:rFonts w:hint="eastAsia" w:ascii="仿宋" w:hAnsi="仿宋" w:eastAsia="仿宋" w:cs="仿宋"/>
                <w:b/>
                <w:color w:val="FFFFFF"/>
                <w:sz w:val="24"/>
                <w:szCs w:val="24"/>
              </w:rPr>
              <w:t>去留</w:t>
            </w:r>
          </w:p>
        </w:tc>
      </w:tr>
      <w:tr w14:paraId="373DCD68">
        <w:tblPrEx>
          <w:tblCellMar>
            <w:top w:w="0" w:type="dxa"/>
            <w:left w:w="108" w:type="dxa"/>
            <w:bottom w:w="0" w:type="dxa"/>
            <w:right w:w="108" w:type="dxa"/>
          </w:tblCellMar>
        </w:tblPrEx>
        <w:trPr>
          <w:jc w:val="center"/>
        </w:trPr>
        <w:tc>
          <w:tcPr>
            <w:tcW w:w="1805" w:type="dxa"/>
            <w:tcBorders>
              <w:top w:val="single" w:color="1B3A5F" w:sz="4" w:space="0"/>
              <w:left w:val="single" w:color="1B3A5F" w:sz="4" w:space="0"/>
              <w:bottom w:val="single" w:color="1B3A5F" w:sz="4" w:space="0"/>
              <w:right w:val="single" w:color="1B3A5F" w:sz="4" w:space="0"/>
            </w:tcBorders>
          </w:tcPr>
          <w:p w14:paraId="339E599E">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对照尺</w:t>
            </w:r>
          </w:p>
        </w:tc>
        <w:tc>
          <w:tcPr>
            <w:tcW w:w="1805" w:type="dxa"/>
            <w:tcBorders>
              <w:top w:val="single" w:color="1B3A5F" w:sz="4" w:space="0"/>
              <w:left w:val="single" w:color="1B3A5F" w:sz="4" w:space="0"/>
              <w:bottom w:val="single" w:color="1B3A5F" w:sz="4" w:space="0"/>
              <w:right w:val="single" w:color="1B3A5F" w:sz="4" w:space="0"/>
            </w:tcBorders>
          </w:tcPr>
          <w:p w14:paraId="64D2FF20">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最强单列（训练集绝对值）</w:t>
            </w:r>
          </w:p>
        </w:tc>
        <w:tc>
          <w:tcPr>
            <w:tcW w:w="1805" w:type="dxa"/>
            <w:tcBorders>
              <w:top w:val="single" w:color="1B3A5F" w:sz="4" w:space="0"/>
              <w:left w:val="single" w:color="1B3A5F" w:sz="4" w:space="0"/>
              <w:bottom w:val="single" w:color="1B3A5F" w:sz="4" w:space="0"/>
              <w:right w:val="single" w:color="1B3A5F" w:sz="4" w:space="0"/>
            </w:tcBorders>
          </w:tcPr>
          <w:p w14:paraId="5850B832">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0.079187</w:t>
            </w:r>
          </w:p>
        </w:tc>
        <w:tc>
          <w:tcPr>
            <w:tcW w:w="1805" w:type="dxa"/>
            <w:tcBorders>
              <w:top w:val="single" w:color="1B3A5F" w:sz="4" w:space="0"/>
              <w:left w:val="single" w:color="1B3A5F" w:sz="4" w:space="0"/>
              <w:bottom w:val="single" w:color="1B3A5F" w:sz="4" w:space="0"/>
              <w:right w:val="single" w:color="1B3A5F" w:sz="4" w:space="0"/>
            </w:tcBorders>
          </w:tcPr>
          <w:p w14:paraId="065840D6">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w:t>
            </w:r>
          </w:p>
        </w:tc>
        <w:tc>
          <w:tcPr>
            <w:tcW w:w="1805" w:type="dxa"/>
            <w:tcBorders>
              <w:top w:val="single" w:color="1B3A5F" w:sz="4" w:space="0"/>
              <w:left w:val="single" w:color="1B3A5F" w:sz="4" w:space="0"/>
              <w:bottom w:val="single" w:color="1B3A5F" w:sz="4" w:space="0"/>
              <w:right w:val="single" w:color="1B3A5F" w:sz="4" w:space="0"/>
            </w:tcBorders>
          </w:tcPr>
          <w:p w14:paraId="641F02B7">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仅尺子</w:t>
            </w:r>
          </w:p>
        </w:tc>
      </w:tr>
      <w:tr w14:paraId="560D4808">
        <w:tblPrEx>
          <w:tblCellMar>
            <w:top w:w="0" w:type="dxa"/>
            <w:left w:w="108" w:type="dxa"/>
            <w:bottom w:w="0" w:type="dxa"/>
            <w:right w:w="108" w:type="dxa"/>
          </w:tblCellMar>
        </w:tblPrEx>
        <w:trPr>
          <w:jc w:val="center"/>
        </w:trPr>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77008723">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截面</w:t>
            </w:r>
          </w:p>
        </w:tc>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1FD00A46">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cs-lgbm-001</w:t>
            </w:r>
          </w:p>
        </w:tc>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70BD5DAD">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0.099910</w:t>
            </w:r>
          </w:p>
        </w:tc>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46EAD9CD">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+0.020723</w:t>
            </w:r>
          </w:p>
        </w:tc>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225E57B1">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保留底仓</w:t>
            </w:r>
          </w:p>
        </w:tc>
      </w:tr>
      <w:tr w14:paraId="41A3F93C">
        <w:tblPrEx>
          <w:tblCellMar>
            <w:top w:w="0" w:type="dxa"/>
            <w:left w:w="108" w:type="dxa"/>
            <w:bottom w:w="0" w:type="dxa"/>
            <w:right w:w="108" w:type="dxa"/>
          </w:tblCellMar>
        </w:tblPrEx>
        <w:trPr>
          <w:jc w:val="center"/>
        </w:trPr>
        <w:tc>
          <w:tcPr>
            <w:tcW w:w="1805" w:type="dxa"/>
            <w:tcBorders>
              <w:top w:val="single" w:color="1B3A5F" w:sz="4" w:space="0"/>
              <w:left w:val="single" w:color="1B3A5F" w:sz="4" w:space="0"/>
              <w:bottom w:val="single" w:color="1B3A5F" w:sz="4" w:space="0"/>
              <w:right w:val="single" w:color="1B3A5F" w:sz="4" w:space="0"/>
            </w:tcBorders>
          </w:tcPr>
          <w:p w14:paraId="0B34C97E">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历史相对</w:t>
            </w:r>
          </w:p>
        </w:tc>
        <w:tc>
          <w:tcPr>
            <w:tcW w:w="1805" w:type="dxa"/>
            <w:tcBorders>
              <w:top w:val="single" w:color="1B3A5F" w:sz="4" w:space="0"/>
              <w:left w:val="single" w:color="1B3A5F" w:sz="4" w:space="0"/>
              <w:bottom w:val="single" w:color="1B3A5F" w:sz="4" w:space="0"/>
              <w:right w:val="single" w:color="1B3A5F" w:sz="4" w:space="0"/>
            </w:tcBorders>
          </w:tcPr>
          <w:p w14:paraId="1024C6D1">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hist-lgbm-002</w:t>
            </w:r>
          </w:p>
        </w:tc>
        <w:tc>
          <w:tcPr>
            <w:tcW w:w="1805" w:type="dxa"/>
            <w:tcBorders>
              <w:top w:val="single" w:color="1B3A5F" w:sz="4" w:space="0"/>
              <w:left w:val="single" w:color="1B3A5F" w:sz="4" w:space="0"/>
              <w:bottom w:val="single" w:color="1B3A5F" w:sz="4" w:space="0"/>
              <w:right w:val="single" w:color="1B3A5F" w:sz="4" w:space="0"/>
            </w:tcBorders>
          </w:tcPr>
          <w:p w14:paraId="687109D3">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0.104192</w:t>
            </w:r>
          </w:p>
        </w:tc>
        <w:tc>
          <w:tcPr>
            <w:tcW w:w="1805" w:type="dxa"/>
            <w:tcBorders>
              <w:top w:val="single" w:color="1B3A5F" w:sz="4" w:space="0"/>
              <w:left w:val="single" w:color="1B3A5F" w:sz="4" w:space="0"/>
              <w:bottom w:val="single" w:color="1B3A5F" w:sz="4" w:space="0"/>
              <w:right w:val="single" w:color="1B3A5F" w:sz="4" w:space="0"/>
            </w:tcBorders>
          </w:tcPr>
          <w:p w14:paraId="30C58747">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+0.004282</w:t>
            </w:r>
          </w:p>
        </w:tc>
        <w:tc>
          <w:tcPr>
            <w:tcW w:w="1805" w:type="dxa"/>
            <w:tcBorders>
              <w:top w:val="single" w:color="1B3A5F" w:sz="4" w:space="0"/>
              <w:left w:val="single" w:color="1B3A5F" w:sz="4" w:space="0"/>
              <w:bottom w:val="single" w:color="1B3A5F" w:sz="4" w:space="0"/>
              <w:right w:val="single" w:color="1B3A5F" w:sz="4" w:space="0"/>
            </w:tcBorders>
          </w:tcPr>
          <w:p w14:paraId="73A7A517">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保留主树</w:t>
            </w:r>
          </w:p>
        </w:tc>
      </w:tr>
      <w:tr w14:paraId="7F9E3813">
        <w:tblPrEx>
          <w:tblCellMar>
            <w:top w:w="0" w:type="dxa"/>
            <w:left w:w="108" w:type="dxa"/>
            <w:bottom w:w="0" w:type="dxa"/>
            <w:right w:w="108" w:type="dxa"/>
          </w:tblCellMar>
        </w:tblPrEx>
        <w:trPr>
          <w:jc w:val="center"/>
        </w:trPr>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2D124589">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双树</w:t>
            </w:r>
          </w:p>
        </w:tc>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331BA299">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fusion-001</w:t>
            </w:r>
          </w:p>
        </w:tc>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3435A7B6">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0.106185</w:t>
            </w:r>
          </w:p>
        </w:tc>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699071E3">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+0.001993</w:t>
            </w:r>
          </w:p>
        </w:tc>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375BE82E">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保留</w:t>
            </w:r>
          </w:p>
        </w:tc>
      </w:tr>
      <w:tr w14:paraId="48464D45">
        <w:tblPrEx>
          <w:tblCellMar>
            <w:top w:w="0" w:type="dxa"/>
            <w:left w:w="108" w:type="dxa"/>
            <w:bottom w:w="0" w:type="dxa"/>
            <w:right w:w="108" w:type="dxa"/>
          </w:tblCellMar>
        </w:tblPrEx>
        <w:trPr>
          <w:jc w:val="center"/>
        </w:trPr>
        <w:tc>
          <w:tcPr>
            <w:tcW w:w="1805" w:type="dxa"/>
            <w:tcBorders>
              <w:top w:val="single" w:color="1B3A5F" w:sz="4" w:space="0"/>
              <w:left w:val="single" w:color="1B3A5F" w:sz="4" w:space="0"/>
              <w:bottom w:val="single" w:color="1B3A5F" w:sz="4" w:space="0"/>
              <w:right w:val="single" w:color="1B3A5F" w:sz="4" w:space="0"/>
            </w:tcBorders>
          </w:tcPr>
          <w:p w14:paraId="4BC85BDE">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加轨迹</w:t>
            </w:r>
          </w:p>
        </w:tc>
        <w:tc>
          <w:tcPr>
            <w:tcW w:w="1805" w:type="dxa"/>
            <w:tcBorders>
              <w:top w:val="single" w:color="1B3A5F" w:sz="4" w:space="0"/>
              <w:left w:val="single" w:color="1B3A5F" w:sz="4" w:space="0"/>
              <w:bottom w:val="single" w:color="1B3A5F" w:sz="4" w:space="0"/>
              <w:right w:val="single" w:color="1B3A5F" w:sz="4" w:space="0"/>
            </w:tcBorders>
          </w:tcPr>
          <w:p w14:paraId="17B546B2">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fusion-gru-blend-001</w:t>
            </w:r>
          </w:p>
        </w:tc>
        <w:tc>
          <w:tcPr>
            <w:tcW w:w="1805" w:type="dxa"/>
            <w:tcBorders>
              <w:top w:val="single" w:color="1B3A5F" w:sz="4" w:space="0"/>
              <w:left w:val="single" w:color="1B3A5F" w:sz="4" w:space="0"/>
              <w:bottom w:val="single" w:color="1B3A5F" w:sz="4" w:space="0"/>
              <w:right w:val="single" w:color="1B3A5F" w:sz="4" w:space="0"/>
            </w:tcBorders>
          </w:tcPr>
          <w:p w14:paraId="52A23A20">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0.110069</w:t>
            </w:r>
          </w:p>
        </w:tc>
        <w:tc>
          <w:tcPr>
            <w:tcW w:w="1805" w:type="dxa"/>
            <w:tcBorders>
              <w:top w:val="single" w:color="1B3A5F" w:sz="4" w:space="0"/>
              <w:left w:val="single" w:color="1B3A5F" w:sz="4" w:space="0"/>
              <w:bottom w:val="single" w:color="1B3A5F" w:sz="4" w:space="0"/>
              <w:right w:val="single" w:color="1B3A5F" w:sz="4" w:space="0"/>
            </w:tcBorders>
          </w:tcPr>
          <w:p w14:paraId="63B11675">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+0.003884</w:t>
            </w:r>
          </w:p>
        </w:tc>
        <w:tc>
          <w:tcPr>
            <w:tcW w:w="1805" w:type="dxa"/>
            <w:tcBorders>
              <w:top w:val="single" w:color="1B3A5F" w:sz="4" w:space="0"/>
              <w:left w:val="single" w:color="1B3A5F" w:sz="4" w:space="0"/>
              <w:bottom w:val="single" w:color="1B3A5F" w:sz="4" w:space="0"/>
              <w:right w:val="single" w:color="1B3A5F" w:sz="4" w:space="0"/>
            </w:tcBorders>
          </w:tcPr>
          <w:p w14:paraId="5BC6CF04">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过程方案</w:t>
            </w:r>
          </w:p>
        </w:tc>
      </w:tr>
      <w:tr w14:paraId="60BD3E84">
        <w:tblPrEx>
          <w:tblCellMar>
            <w:top w:w="0" w:type="dxa"/>
            <w:left w:w="108" w:type="dxa"/>
            <w:bottom w:w="0" w:type="dxa"/>
            <w:right w:w="108" w:type="dxa"/>
          </w:tblCellMar>
        </w:tblPrEx>
        <w:trPr>
          <w:jc w:val="center"/>
        </w:trPr>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09926768">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规模感知</w:t>
            </w:r>
          </w:p>
        </w:tc>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168773AE">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fusion-gru-cov-001</w:t>
            </w:r>
          </w:p>
        </w:tc>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7FA364E6">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0.111078</w:t>
            </w:r>
          </w:p>
        </w:tc>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78022CA0">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+0.001009</w:t>
            </w:r>
          </w:p>
        </w:tc>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3812FFD3">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保留规则</w:t>
            </w:r>
          </w:p>
        </w:tc>
      </w:tr>
      <w:tr w14:paraId="50A56334">
        <w:tblPrEx>
          <w:tblCellMar>
            <w:top w:w="0" w:type="dxa"/>
            <w:left w:w="108" w:type="dxa"/>
            <w:bottom w:w="0" w:type="dxa"/>
            <w:right w:w="108" w:type="dxa"/>
          </w:tblCellMar>
        </w:tblPrEx>
        <w:trPr>
          <w:jc w:val="center"/>
        </w:trPr>
        <w:tc>
          <w:tcPr>
            <w:tcW w:w="1805" w:type="dxa"/>
            <w:tcBorders>
              <w:top w:val="single" w:color="1B3A5F" w:sz="4" w:space="0"/>
              <w:left w:val="single" w:color="1B3A5F" w:sz="4" w:space="0"/>
              <w:bottom w:val="single" w:color="1B3A5F" w:sz="4" w:space="0"/>
              <w:right w:val="single" w:color="1B3A5F" w:sz="4" w:space="0"/>
            </w:tcBorders>
          </w:tcPr>
          <w:p w14:paraId="14D0D321">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行业补充</w:t>
            </w:r>
          </w:p>
        </w:tc>
        <w:tc>
          <w:tcPr>
            <w:tcW w:w="1805" w:type="dxa"/>
            <w:tcBorders>
              <w:top w:val="single" w:color="1B3A5F" w:sz="4" w:space="0"/>
              <w:left w:val="single" w:color="1B3A5F" w:sz="4" w:space="0"/>
              <w:bottom w:val="single" w:color="1B3A5F" w:sz="4" w:space="0"/>
              <w:right w:val="single" w:color="1B3A5F" w:sz="4" w:space="0"/>
            </w:tcBorders>
          </w:tcPr>
          <w:p w14:paraId="775AFEB7">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fusion-cs-mlp-cov-001</w:t>
            </w:r>
          </w:p>
        </w:tc>
        <w:tc>
          <w:tcPr>
            <w:tcW w:w="1805" w:type="dxa"/>
            <w:tcBorders>
              <w:top w:val="single" w:color="1B3A5F" w:sz="4" w:space="0"/>
              <w:left w:val="single" w:color="1B3A5F" w:sz="4" w:space="0"/>
              <w:bottom w:val="single" w:color="1B3A5F" w:sz="4" w:space="0"/>
              <w:right w:val="single" w:color="1B3A5F" w:sz="4" w:space="0"/>
            </w:tcBorders>
          </w:tcPr>
          <w:p w14:paraId="2EE68C04">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0.111971</w:t>
            </w:r>
          </w:p>
        </w:tc>
        <w:tc>
          <w:tcPr>
            <w:tcW w:w="1805" w:type="dxa"/>
            <w:tcBorders>
              <w:top w:val="single" w:color="1B3A5F" w:sz="4" w:space="0"/>
              <w:left w:val="single" w:color="1B3A5F" w:sz="4" w:space="0"/>
              <w:bottom w:val="single" w:color="1B3A5F" w:sz="4" w:space="0"/>
              <w:right w:val="single" w:color="1B3A5F" w:sz="4" w:space="0"/>
            </w:tcBorders>
          </w:tcPr>
          <w:p w14:paraId="5BD9223B">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+0.000893</w:t>
            </w:r>
          </w:p>
        </w:tc>
        <w:tc>
          <w:tcPr>
            <w:tcW w:w="1805" w:type="dxa"/>
            <w:tcBorders>
              <w:top w:val="single" w:color="1B3A5F" w:sz="4" w:space="0"/>
              <w:left w:val="single" w:color="1B3A5F" w:sz="4" w:space="0"/>
              <w:bottom w:val="single" w:color="1B3A5F" w:sz="4" w:space="0"/>
              <w:right w:val="single" w:color="1B3A5F" w:sz="4" w:space="0"/>
            </w:tcBorders>
          </w:tcPr>
          <w:p w14:paraId="63ED4D37">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过程方案</w:t>
            </w:r>
          </w:p>
        </w:tc>
      </w:tr>
      <w:tr w14:paraId="461A0461">
        <w:tblPrEx>
          <w:tblCellMar>
            <w:top w:w="0" w:type="dxa"/>
            <w:left w:w="108" w:type="dxa"/>
            <w:bottom w:w="0" w:type="dxa"/>
            <w:right w:w="108" w:type="dxa"/>
          </w:tblCellMar>
        </w:tblPrEx>
        <w:trPr>
          <w:jc w:val="center"/>
        </w:trPr>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6D6D998C">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错开当日</w:t>
            </w:r>
          </w:p>
        </w:tc>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6A529895">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fusion-cs-mlp-cov-notoday-001</w:t>
            </w:r>
          </w:p>
        </w:tc>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2648D426">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0.113122</w:t>
            </w:r>
          </w:p>
        </w:tc>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2A70BBB6">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+0.001151</w:t>
            </w:r>
          </w:p>
        </w:tc>
        <w:tc>
          <w:tcPr>
            <w:tcW w:w="1805" w:type="dxa"/>
            <w:tcBorders>
              <w:top w:val="single" w:color="1B3A5F" w:sz="4" w:space="0"/>
              <w:left w:val="single" w:color="1B3A5F" w:sz="4" w:space="0"/>
              <w:bottom w:val="single" w:color="1B3A5F" w:sz="4" w:space="0"/>
              <w:right w:val="single" w:color="1B3A5F" w:sz="4" w:space="0"/>
            </w:tcBorders>
            <w:shd w:val="clear" w:color="auto" w:fill="F4F7FB"/>
          </w:tcPr>
          <w:p w14:paraId="72F5A1FF">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过程方案</w:t>
            </w:r>
          </w:p>
        </w:tc>
      </w:tr>
      <w:tr w14:paraId="37B19D24">
        <w:tblPrEx>
          <w:tblCellMar>
            <w:top w:w="0" w:type="dxa"/>
            <w:left w:w="108" w:type="dxa"/>
            <w:bottom w:w="0" w:type="dxa"/>
            <w:right w:w="108" w:type="dxa"/>
          </w:tblCellMar>
        </w:tblPrEx>
        <w:trPr>
          <w:jc w:val="center"/>
        </w:trPr>
        <w:tc>
          <w:tcPr>
            <w:tcW w:w="1805" w:type="dxa"/>
            <w:tcBorders>
              <w:top w:val="single" w:color="1B3A5F" w:sz="4" w:space="0"/>
              <w:left w:val="single" w:color="1B3A5F" w:sz="4" w:space="0"/>
              <w:bottom w:val="single" w:color="1B3A5F" w:sz="4" w:space="0"/>
              <w:right w:val="single" w:color="1B3A5F" w:sz="4" w:space="0"/>
            </w:tcBorders>
          </w:tcPr>
          <w:p w14:paraId="4C8CB730">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过程锁定</w:t>
            </w:r>
          </w:p>
        </w:tc>
        <w:tc>
          <w:tcPr>
            <w:tcW w:w="1805" w:type="dxa"/>
            <w:tcBorders>
              <w:top w:val="single" w:color="1B3A5F" w:sz="4" w:space="0"/>
              <w:left w:val="single" w:color="1B3A5F" w:sz="4" w:space="0"/>
              <w:bottom w:val="single" w:color="1B3A5F" w:sz="4" w:space="0"/>
              <w:right w:val="single" w:color="1B3A5F" w:sz="4" w:space="0"/>
            </w:tcBorders>
          </w:tcPr>
          <w:p w14:paraId="519FAE1B">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n2000轨迹+硬门控+原行业模块</w:t>
            </w:r>
          </w:p>
        </w:tc>
        <w:tc>
          <w:tcPr>
            <w:tcW w:w="1805" w:type="dxa"/>
            <w:tcBorders>
              <w:top w:val="single" w:color="1B3A5F" w:sz="4" w:space="0"/>
              <w:left w:val="single" w:color="1B3A5F" w:sz="4" w:space="0"/>
              <w:bottom w:val="single" w:color="1B3A5F" w:sz="4" w:space="0"/>
              <w:right w:val="single" w:color="1B3A5F" w:sz="4" w:space="0"/>
            </w:tcBorders>
          </w:tcPr>
          <w:p w14:paraId="144D31BB">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0.117177</w:t>
            </w:r>
          </w:p>
        </w:tc>
        <w:tc>
          <w:tcPr>
            <w:tcW w:w="1805" w:type="dxa"/>
            <w:tcBorders>
              <w:top w:val="single" w:color="1B3A5F" w:sz="4" w:space="0"/>
              <w:left w:val="single" w:color="1B3A5F" w:sz="4" w:space="0"/>
              <w:bottom w:val="single" w:color="1B3A5F" w:sz="4" w:space="0"/>
              <w:right w:val="single" w:color="1B3A5F" w:sz="4" w:space="0"/>
            </w:tcBorders>
          </w:tcPr>
          <w:p w14:paraId="4AAECE58">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+0.004055</w:t>
            </w:r>
          </w:p>
        </w:tc>
        <w:tc>
          <w:tcPr>
            <w:tcW w:w="1805" w:type="dxa"/>
            <w:tcBorders>
              <w:top w:val="single" w:color="1B3A5F" w:sz="4" w:space="0"/>
              <w:left w:val="single" w:color="1B3A5F" w:sz="4" w:space="0"/>
              <w:bottom w:val="single" w:color="1B3A5F" w:sz="4" w:space="0"/>
              <w:right w:val="single" w:color="1B3A5F" w:sz="4" w:space="0"/>
            </w:tcBorders>
          </w:tcPr>
          <w:p w14:paraId="5B40DB6D">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过程方案</w:t>
            </w:r>
          </w:p>
        </w:tc>
      </w:tr>
      <w:tr w14:paraId="37B19D24">
        <w:tblPrEx>
          <w:tblCellMar>
            <w:top w:w="0" w:type="dxa"/>
            <w:left w:w="108" w:type="dxa"/>
            <w:bottom w:w="0" w:type="dxa"/>
            <w:right w:w="108" w:type="dxa"/>
          </w:tblCellMar>
        </w:tblPrEx>
        <w:trPr>
          <w:jc w:val="center"/>
        </w:trPr>
        <w:tc>
          <w:tcPr>
            <w:tcW w:w="1805" w:type="dxa"/>
            <w:tcBorders>
              <w:top w:val="single" w:color="1B3A5F" w:sz="4" w:space="0"/>
              <w:left w:val="single" w:color="1B3A5F" w:sz="4" w:space="0"/>
              <w:bottom w:val="single" w:color="1B3A5F" w:sz="4" w:space="0"/>
              <w:right w:val="single" w:color="1B3A5F" w:sz="4" w:space="0"/>
            </w:tcBorders>
          </w:tcPr>
          <w:p w14:paraId="4C8CB730">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扩展历史树</w:t>
            </w:r>
          </w:p>
        </w:tc>
        <w:tc>
          <w:tcPr>
            <w:tcW w:w="1805" w:type="dxa"/>
            <w:tcBorders>
              <w:top w:val="single" w:color="1B3A5F" w:sz="4" w:space="0"/>
              <w:left w:val="single" w:color="1B3A5F" w:sz="4" w:space="0"/>
              <w:bottom w:val="single" w:color="1B3A5F" w:sz="4" w:space="0"/>
              <w:right w:val="single" w:color="1B3A5F" w:sz="4" w:space="0"/>
            </w:tcBorders>
          </w:tcPr>
          <w:p w14:paraId="519FAE1B">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hist-lgbm-alpha-x + 原门控融合</w:t>
            </w:r>
          </w:p>
        </w:tc>
        <w:tc>
          <w:tcPr>
            <w:tcW w:w="1805" w:type="dxa"/>
            <w:tcBorders>
              <w:top w:val="single" w:color="1B3A5F" w:sz="4" w:space="0"/>
              <w:left w:val="single" w:color="1B3A5F" w:sz="4" w:space="0"/>
              <w:bottom w:val="single" w:color="1B3A5F" w:sz="4" w:space="0"/>
              <w:right w:val="single" w:color="1B3A5F" w:sz="4" w:space="0"/>
            </w:tcBorders>
          </w:tcPr>
          <w:p w14:paraId="144D31BB">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0.122846</w:t>
            </w:r>
          </w:p>
        </w:tc>
        <w:tc>
          <w:tcPr>
            <w:tcW w:w="1805" w:type="dxa"/>
            <w:tcBorders>
              <w:top w:val="single" w:color="1B3A5F" w:sz="4" w:space="0"/>
              <w:left w:val="single" w:color="1B3A5F" w:sz="4" w:space="0"/>
              <w:bottom w:val="single" w:color="1B3A5F" w:sz="4" w:space="0"/>
              <w:right w:val="single" w:color="1B3A5F" w:sz="4" w:space="0"/>
            </w:tcBorders>
          </w:tcPr>
          <w:p w14:paraId="4AAECE58">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+0.005669</w:t>
            </w:r>
          </w:p>
        </w:tc>
        <w:tc>
          <w:tcPr>
            <w:tcW w:w="1805" w:type="dxa"/>
            <w:tcBorders>
              <w:top w:val="single" w:color="1B3A5F" w:sz="4" w:space="0"/>
              <w:left w:val="single" w:color="1B3A5F" w:sz="4" w:space="0"/>
              <w:bottom w:val="single" w:color="1B3A5F" w:sz="4" w:space="0"/>
              <w:right w:val="single" w:color="1B3A5F" w:sz="4" w:space="0"/>
            </w:tcBorders>
          </w:tcPr>
          <w:p w14:paraId="5B40DB6D">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保留主树</w:t>
            </w:r>
          </w:p>
        </w:tc>
      </w:tr>
      <w:tr w14:paraId="37B19D24">
        <w:tblPrEx>
          <w:tblCellMar>
            <w:top w:w="0" w:type="dxa"/>
            <w:left w:w="108" w:type="dxa"/>
            <w:bottom w:w="0" w:type="dxa"/>
            <w:right w:w="108" w:type="dxa"/>
          </w:tblCellMar>
        </w:tblPrEx>
        <w:trPr>
          <w:jc w:val="center"/>
        </w:trPr>
        <w:tc>
          <w:tcPr>
            <w:tcW w:w="1805" w:type="dxa"/>
            <w:tcBorders>
              <w:top w:val="single" w:color="1B3A5F" w:sz="4" w:space="0"/>
              <w:left w:val="single" w:color="1B3A5F" w:sz="4" w:space="0"/>
              <w:bottom w:val="single" w:color="1B3A5F" w:sz="4" w:space="0"/>
              <w:right w:val="single" w:color="1B3A5F" w:sz="4" w:space="0"/>
            </w:tcBorders>
          </w:tcPr>
          <w:p w14:paraId="4C8CB730">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文档锁定</w:t>
            </w:r>
          </w:p>
        </w:tc>
        <w:tc>
          <w:tcPr>
            <w:tcW w:w="1805" w:type="dxa"/>
            <w:tcBorders>
              <w:top w:val="single" w:color="1B3A5F" w:sz="4" w:space="0"/>
              <w:left w:val="single" w:color="1B3A5F" w:sz="4" w:space="0"/>
              <w:bottom w:val="single" w:color="1B3A5F" w:sz="4" w:space="0"/>
              <w:right w:val="single" w:color="1B3A5F" w:sz="4" w:space="0"/>
            </w:tcBorders>
          </w:tcPr>
          <w:p w14:paraId="519FAE1B">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90%现有最强 + 10%递推衰减</w:t>
            </w:r>
          </w:p>
        </w:tc>
        <w:tc>
          <w:tcPr>
            <w:tcW w:w="1805" w:type="dxa"/>
            <w:tcBorders>
              <w:top w:val="single" w:color="1B3A5F" w:sz="4" w:space="0"/>
              <w:left w:val="single" w:color="1B3A5F" w:sz="4" w:space="0"/>
              <w:bottom w:val="single" w:color="1B3A5F" w:sz="4" w:space="0"/>
              <w:right w:val="single" w:color="1B3A5F" w:sz="4" w:space="0"/>
            </w:tcBorders>
          </w:tcPr>
          <w:p w14:paraId="144D31BB">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0.130825</w:t>
            </w:r>
          </w:p>
        </w:tc>
        <w:tc>
          <w:tcPr>
            <w:tcW w:w="1805" w:type="dxa"/>
            <w:tcBorders>
              <w:top w:val="single" w:color="1B3A5F" w:sz="4" w:space="0"/>
              <w:left w:val="single" w:color="1B3A5F" w:sz="4" w:space="0"/>
              <w:bottom w:val="single" w:color="1B3A5F" w:sz="4" w:space="0"/>
              <w:right w:val="single" w:color="1B3A5F" w:sz="4" w:space="0"/>
            </w:tcBorders>
          </w:tcPr>
          <w:p w14:paraId="4AAECE58">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+0.007979</w:t>
            </w:r>
          </w:p>
        </w:tc>
        <w:tc>
          <w:tcPr>
            <w:tcW w:w="1805" w:type="dxa"/>
            <w:tcBorders>
              <w:top w:val="single" w:color="1B3A5F" w:sz="4" w:space="0"/>
              <w:left w:val="single" w:color="1B3A5F" w:sz="4" w:space="0"/>
              <w:bottom w:val="single" w:color="1B3A5F" w:sz="4" w:space="0"/>
              <w:right w:val="single" w:color="1B3A5F" w:sz="4" w:space="0"/>
            </w:tcBorders>
          </w:tcPr>
          <w:p w14:paraId="5B40DB6D">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锁定</w:t>
            </w:r>
          </w:p>
        </w:tc>
      </w:tr>
    </w:tbl>
    <w:p w14:paraId="044D25F1">
      <w:pPr>
        <w:spacing w:line="360" w:lineRule="auto"/>
        <w:rPr>
          <w:rFonts w:hint="eastAsia" w:ascii="仿宋" w:hAnsi="仿宋" w:eastAsia="仿宋" w:cs="仿宋"/>
          <w:sz w:val="24"/>
          <w:szCs w:val="24"/>
        </w:rPr>
      </w:pPr>
    </w:p>
    <w:p w14:paraId="5DFB64F0">
      <w:pPr>
        <w:spacing w:before="40" w:after="200" w:line="360" w:lineRule="auto"/>
        <w:jc w:val="center"/>
        <w:rPr>
          <w:rFonts w:hint="eastAsia" w:ascii="仿宋" w:hAnsi="仿宋" w:eastAsia="仿宋" w:cs="仿宋"/>
          <w:sz w:val="24"/>
          <w:szCs w:val="24"/>
        </w:rPr>
      </w:pPr>
      <w:r>
        <w:rPr>
          <w:rFonts w:hint="eastAsia" w:ascii="仿宋" w:hAnsi="仿宋" w:eastAsia="仿宋" w:cs="仿宋"/>
          <w:b w:val="0"/>
          <w:sz w:val="24"/>
          <w:szCs w:val="24"/>
        </w:rPr>
        <w:t>表4-1  验证集Mean RankIC变化路径（数字来自实验记录）</w:t>
      </w:r>
    </w:p>
    <w:p w14:paraId="55794B62">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相对截面底仓0.099910，早期硬门控方案提高0.017267（约17.3%）。锁定方案验证集0.130825，相对底仓提高0.030915（约30.9%）。官方测试集0.1293，已超过门槛0.12。放弃路径同样构成证据：原始水平历史0.084406，覆盖度当作树特征0.063500，难日残差单支为负；后续三档门控与强时序平滑验证上涨、测试回落，不进入锁定文件。不把测试期真实y1直接当特征。</w:t>
      </w:r>
    </w:p>
    <w:p w14:paraId="407943FC">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4.3 成果质量</w:t>
      </w:r>
    </w:p>
    <w:p w14:paraId="7EBDB0E1">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截面底仓按日RankIC最小-0.205、中位0.100、最大0.396，不宜只看均值。历史相对信息使负RankIC日由49降至39。轨迹单模弱于树（锁定支0.091862），但与树日分数相关约0.37至0.48（两棵树之间约0.81至0.98），并在39个负日中改善24日。高覆盖四分位树约0.058、轨迹约0.100、固定0.25权融合约0.074，说明固定权不是该区间最优。数据按时间划分，测试标签不选模。提交规格为442×5282、float32、无非有限值。仓库未系统报告锁定方案多种子标准差，稳定性主要依据日分布与分层结果。</w:t>
      </w:r>
    </w:p>
    <w:p w14:paraId="6F9D9053">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4.4 运行与复现体验</w:t>
      </w:r>
    </w:p>
    <w:p w14:paraId="231A4CE9">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项目无面向公众的界面。体验体现在：一份配置对应一次实验，基线不直接覆盖；运行前可演练缺失文件与是否加载整表；融合阶段读切分缓存，降低约8.5GB面板在约16GB内存下重复加载的风险；RankIC与提交检查集中实现，避免各脚本口径不一。实验记录未给出统一墙钟，故不评价具体训练小时数。</w:t>
      </w:r>
    </w:p>
    <w:p w14:paraId="209EDC21">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4.5 创新是否落地</w:t>
      </w:r>
    </w:p>
    <w:p w14:paraId="34736A2D">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问题建模落地为全市场分数矩阵与逐日RankIC，而不是单票点误差。信息表达落地为截面0.099910、加历史相对信息0.104192、再与轨迹合成0.110069。规模感知融合提高到约0.117，扩展历史树与因果递推将验证集提高到约0.1308、官方测试集0.1293。实验记录含失败项，验证锁定与提交检查可在代码中对应。</w:t>
      </w:r>
    </w:p>
    <w:p w14:paraId="5F571DC8">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4.6 成果汇总</w:t>
      </w:r>
    </w:p>
    <w:tbl>
      <w:tblPr>
        <w:tblStyle w:val="32"/>
        <w:tblW w:w="0" w:type="auto"/>
        <w:jc w:val="center"/>
        <w:tblLayout w:type="autofit"/>
        <w:tblCellMar>
          <w:top w:w="0" w:type="dxa"/>
          <w:left w:w="108" w:type="dxa"/>
          <w:bottom w:w="0" w:type="dxa"/>
          <w:right w:w="108" w:type="dxa"/>
        </w:tblCellMar>
      </w:tblPr>
      <w:tblGrid>
        <w:gridCol w:w="3009"/>
        <w:gridCol w:w="3009"/>
        <w:gridCol w:w="3009"/>
      </w:tblGrid>
      <w:tr w14:paraId="53756EED">
        <w:tblPrEx>
          <w:tblCellMar>
            <w:top w:w="0" w:type="dxa"/>
            <w:left w:w="108" w:type="dxa"/>
            <w:bottom w:w="0" w:type="dxa"/>
            <w:right w:w="108" w:type="dxa"/>
          </w:tblCellMar>
        </w:tblPrEx>
        <w:trPr>
          <w:jc w:val="center"/>
        </w:trPr>
        <w:tc>
          <w:tcPr>
            <w:tcW w:w="3009" w:type="dxa"/>
            <w:tcBorders>
              <w:top w:val="single" w:color="1B3A5F" w:sz="4" w:space="0"/>
              <w:left w:val="single" w:color="1B3A5F" w:sz="4" w:space="0"/>
              <w:bottom w:val="single" w:color="1B3A5F" w:sz="4" w:space="0"/>
              <w:right w:val="single" w:color="1B3A5F" w:sz="4" w:space="0"/>
            </w:tcBorders>
            <w:shd w:val="clear" w:color="auto" w:fill="1B3A5F"/>
          </w:tcPr>
          <w:p w14:paraId="4B9AE8FD">
            <w:pPr>
              <w:spacing w:before="40" w:after="40" w:line="360" w:lineRule="auto"/>
              <w:jc w:val="center"/>
              <w:rPr>
                <w:rFonts w:hint="eastAsia" w:ascii="仿宋" w:hAnsi="仿宋" w:eastAsia="仿宋" w:cs="仿宋"/>
                <w:sz w:val="24"/>
                <w:szCs w:val="24"/>
              </w:rPr>
            </w:pPr>
            <w:r>
              <w:rPr>
                <w:rFonts w:hint="eastAsia" w:ascii="仿宋" w:hAnsi="仿宋" w:eastAsia="仿宋" w:cs="仿宋"/>
                <w:b/>
                <w:color w:val="FFFFFF"/>
                <w:sz w:val="24"/>
                <w:szCs w:val="24"/>
              </w:rPr>
              <w:t>类别</w:t>
            </w:r>
          </w:p>
        </w:tc>
        <w:tc>
          <w:tcPr>
            <w:tcW w:w="3009" w:type="dxa"/>
            <w:tcBorders>
              <w:top w:val="single" w:color="1B3A5F" w:sz="4" w:space="0"/>
              <w:left w:val="single" w:color="1B3A5F" w:sz="4" w:space="0"/>
              <w:bottom w:val="single" w:color="1B3A5F" w:sz="4" w:space="0"/>
              <w:right w:val="single" w:color="1B3A5F" w:sz="4" w:space="0"/>
            </w:tcBorders>
            <w:shd w:val="clear" w:color="auto" w:fill="1B3A5F"/>
          </w:tcPr>
          <w:p w14:paraId="1FEB6393">
            <w:pPr>
              <w:spacing w:before="40" w:after="40" w:line="360" w:lineRule="auto"/>
              <w:jc w:val="center"/>
              <w:rPr>
                <w:rFonts w:hint="eastAsia" w:ascii="仿宋" w:hAnsi="仿宋" w:eastAsia="仿宋" w:cs="仿宋"/>
                <w:sz w:val="24"/>
                <w:szCs w:val="24"/>
              </w:rPr>
            </w:pPr>
            <w:r>
              <w:rPr>
                <w:rFonts w:hint="eastAsia" w:ascii="仿宋" w:hAnsi="仿宋" w:eastAsia="仿宋" w:cs="仿宋"/>
                <w:b/>
                <w:color w:val="FFFFFF"/>
                <w:sz w:val="24"/>
                <w:szCs w:val="24"/>
              </w:rPr>
              <w:t>实现内容</w:t>
            </w:r>
          </w:p>
        </w:tc>
        <w:tc>
          <w:tcPr>
            <w:tcW w:w="3009" w:type="dxa"/>
            <w:tcBorders>
              <w:top w:val="single" w:color="1B3A5F" w:sz="4" w:space="0"/>
              <w:left w:val="single" w:color="1B3A5F" w:sz="4" w:space="0"/>
              <w:bottom w:val="single" w:color="1B3A5F" w:sz="4" w:space="0"/>
              <w:right w:val="single" w:color="1B3A5F" w:sz="4" w:space="0"/>
            </w:tcBorders>
            <w:shd w:val="clear" w:color="auto" w:fill="1B3A5F"/>
          </w:tcPr>
          <w:p w14:paraId="07A160DD">
            <w:pPr>
              <w:spacing w:before="40" w:after="40" w:line="360" w:lineRule="auto"/>
              <w:jc w:val="center"/>
              <w:rPr>
                <w:rFonts w:hint="eastAsia" w:ascii="仿宋" w:hAnsi="仿宋" w:eastAsia="仿宋" w:cs="仿宋"/>
                <w:sz w:val="24"/>
                <w:szCs w:val="24"/>
              </w:rPr>
            </w:pPr>
            <w:r>
              <w:rPr>
                <w:rFonts w:hint="eastAsia" w:ascii="仿宋" w:hAnsi="仿宋" w:eastAsia="仿宋" w:cs="仿宋"/>
                <w:b/>
                <w:color w:val="FFFFFF"/>
                <w:sz w:val="24"/>
                <w:szCs w:val="24"/>
              </w:rPr>
              <w:t>量化结果或状态</w:t>
            </w:r>
          </w:p>
        </w:tc>
      </w:tr>
      <w:tr w14:paraId="13D56322">
        <w:tblPrEx>
          <w:tblCellMar>
            <w:top w:w="0" w:type="dxa"/>
            <w:left w:w="108" w:type="dxa"/>
            <w:bottom w:w="0" w:type="dxa"/>
            <w:right w:w="108" w:type="dxa"/>
          </w:tblCellMar>
        </w:tblPrEx>
        <w:trPr>
          <w:jc w:val="center"/>
        </w:trPr>
        <w:tc>
          <w:tcPr>
            <w:tcW w:w="3009" w:type="dxa"/>
            <w:tcBorders>
              <w:top w:val="single" w:color="1B3A5F" w:sz="4" w:space="0"/>
              <w:left w:val="single" w:color="1B3A5F" w:sz="4" w:space="0"/>
              <w:bottom w:val="single" w:color="1B3A5F" w:sz="4" w:space="0"/>
              <w:right w:val="single" w:color="1B3A5F" w:sz="4" w:space="0"/>
            </w:tcBorders>
          </w:tcPr>
          <w:p w14:paraId="2F4955C6">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数据</w:t>
            </w:r>
          </w:p>
        </w:tc>
        <w:tc>
          <w:tcPr>
            <w:tcW w:w="3009" w:type="dxa"/>
            <w:tcBorders>
              <w:top w:val="single" w:color="1B3A5F" w:sz="4" w:space="0"/>
              <w:left w:val="single" w:color="1B3A5F" w:sz="4" w:space="0"/>
              <w:bottom w:val="single" w:color="1B3A5F" w:sz="4" w:space="0"/>
              <w:right w:val="single" w:color="1B3A5F" w:sz="4" w:space="0"/>
            </w:tcBorders>
          </w:tcPr>
          <w:p w14:paraId="09C36E45">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时间切分、因果窗口、相对化</w:t>
            </w:r>
          </w:p>
        </w:tc>
        <w:tc>
          <w:tcPr>
            <w:tcW w:w="3009" w:type="dxa"/>
            <w:tcBorders>
              <w:top w:val="single" w:color="1B3A5F" w:sz="4" w:space="0"/>
              <w:left w:val="single" w:color="1B3A5F" w:sz="4" w:space="0"/>
              <w:bottom w:val="single" w:color="1B3A5F" w:sz="4" w:space="0"/>
              <w:right w:val="single" w:color="1B3A5F" w:sz="4" w:space="0"/>
            </w:tcBorders>
          </w:tcPr>
          <w:p w14:paraId="282270FF">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3603日，5282只，99列数值</w:t>
            </w:r>
          </w:p>
        </w:tc>
      </w:tr>
      <w:tr w14:paraId="0C82EE7A">
        <w:tblPrEx>
          <w:tblCellMar>
            <w:top w:w="0" w:type="dxa"/>
            <w:left w:w="108" w:type="dxa"/>
            <w:bottom w:w="0" w:type="dxa"/>
            <w:right w:w="108" w:type="dxa"/>
          </w:tblCellMar>
        </w:tblPrEx>
        <w:trPr>
          <w:jc w:val="center"/>
        </w:trPr>
        <w:tc>
          <w:tcPr>
            <w:tcW w:w="3009" w:type="dxa"/>
            <w:tcBorders>
              <w:top w:val="single" w:color="1B3A5F" w:sz="4" w:space="0"/>
              <w:left w:val="single" w:color="1B3A5F" w:sz="4" w:space="0"/>
              <w:bottom w:val="single" w:color="1B3A5F" w:sz="4" w:space="0"/>
              <w:right w:val="single" w:color="1B3A5F" w:sz="4" w:space="0"/>
            </w:tcBorders>
            <w:shd w:val="clear" w:color="auto" w:fill="F4F7FB"/>
          </w:tcPr>
          <w:p w14:paraId="4AFD4A80">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截面</w:t>
            </w:r>
          </w:p>
        </w:tc>
        <w:tc>
          <w:tcPr>
            <w:tcW w:w="3009" w:type="dxa"/>
            <w:tcBorders>
              <w:top w:val="single" w:color="1B3A5F" w:sz="4" w:space="0"/>
              <w:left w:val="single" w:color="1B3A5F" w:sz="4" w:space="0"/>
              <w:bottom w:val="single" w:color="1B3A5F" w:sz="4" w:space="0"/>
              <w:right w:val="single" w:color="1B3A5F" w:sz="4" w:space="0"/>
            </w:tcBorders>
            <w:shd w:val="clear" w:color="auto" w:fill="F4F7FB"/>
          </w:tcPr>
          <w:p w14:paraId="3BD4ACC9">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当日+历史相对树</w:t>
            </w:r>
          </w:p>
        </w:tc>
        <w:tc>
          <w:tcPr>
            <w:tcW w:w="3009" w:type="dxa"/>
            <w:tcBorders>
              <w:top w:val="single" w:color="1B3A5F" w:sz="4" w:space="0"/>
              <w:left w:val="single" w:color="1B3A5F" w:sz="4" w:space="0"/>
              <w:bottom w:val="single" w:color="1B3A5F" w:sz="4" w:space="0"/>
              <w:right w:val="single" w:color="1B3A5F" w:sz="4" w:space="0"/>
            </w:tcBorders>
            <w:shd w:val="clear" w:color="auto" w:fill="F4F7FB"/>
          </w:tcPr>
          <w:p w14:paraId="4B5E6D3B">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0.099910 / 0.104192</w:t>
            </w:r>
          </w:p>
        </w:tc>
      </w:tr>
      <w:tr w14:paraId="2C231A7C">
        <w:tblPrEx>
          <w:tblCellMar>
            <w:top w:w="0" w:type="dxa"/>
            <w:left w:w="108" w:type="dxa"/>
            <w:bottom w:w="0" w:type="dxa"/>
            <w:right w:w="108" w:type="dxa"/>
          </w:tblCellMar>
        </w:tblPrEx>
        <w:trPr>
          <w:jc w:val="center"/>
        </w:trPr>
        <w:tc>
          <w:tcPr>
            <w:tcW w:w="3009" w:type="dxa"/>
            <w:tcBorders>
              <w:top w:val="single" w:color="1B3A5F" w:sz="4" w:space="0"/>
              <w:left w:val="single" w:color="1B3A5F" w:sz="4" w:space="0"/>
              <w:bottom w:val="single" w:color="1B3A5F" w:sz="4" w:space="0"/>
              <w:right w:val="single" w:color="1B3A5F" w:sz="4" w:space="0"/>
            </w:tcBorders>
          </w:tcPr>
          <w:p w14:paraId="3FFA233B">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融合</w:t>
            </w:r>
          </w:p>
        </w:tc>
        <w:tc>
          <w:tcPr>
            <w:tcW w:w="3009" w:type="dxa"/>
            <w:tcBorders>
              <w:top w:val="single" w:color="1B3A5F" w:sz="4" w:space="0"/>
              <w:left w:val="single" w:color="1B3A5F" w:sz="4" w:space="0"/>
              <w:bottom w:val="single" w:color="1B3A5F" w:sz="4" w:space="0"/>
              <w:right w:val="single" w:color="1B3A5F" w:sz="4" w:space="0"/>
            </w:tcBorders>
          </w:tcPr>
          <w:p w14:paraId="48FF325F">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双树、轨迹、规模感知、扩展树、递推排名</w:t>
            </w:r>
          </w:p>
        </w:tc>
        <w:tc>
          <w:tcPr>
            <w:tcW w:w="3009" w:type="dxa"/>
            <w:tcBorders>
              <w:top w:val="single" w:color="1B3A5F" w:sz="4" w:space="0"/>
              <w:left w:val="single" w:color="1B3A5F" w:sz="4" w:space="0"/>
              <w:bottom w:val="single" w:color="1B3A5F" w:sz="4" w:space="0"/>
              <w:right w:val="single" w:color="1B3A5F" w:sz="4" w:space="0"/>
            </w:tcBorders>
          </w:tcPr>
          <w:p w14:paraId="6A16A21D">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锁定验证集0.1308；平台0.1293</w:t>
            </w:r>
          </w:p>
        </w:tc>
      </w:tr>
      <w:tr w14:paraId="7A6FC35C">
        <w:tblPrEx>
          <w:tblCellMar>
            <w:top w:w="0" w:type="dxa"/>
            <w:left w:w="108" w:type="dxa"/>
            <w:bottom w:w="0" w:type="dxa"/>
            <w:right w:w="108" w:type="dxa"/>
          </w:tblCellMar>
        </w:tblPrEx>
        <w:trPr>
          <w:jc w:val="center"/>
        </w:trPr>
        <w:tc>
          <w:tcPr>
            <w:tcW w:w="3009" w:type="dxa"/>
            <w:tcBorders>
              <w:top w:val="single" w:color="1B3A5F" w:sz="4" w:space="0"/>
              <w:left w:val="single" w:color="1B3A5F" w:sz="4" w:space="0"/>
              <w:bottom w:val="single" w:color="1B3A5F" w:sz="4" w:space="0"/>
              <w:right w:val="single" w:color="1B3A5F" w:sz="4" w:space="0"/>
            </w:tcBorders>
            <w:shd w:val="clear" w:color="auto" w:fill="F4F7FB"/>
          </w:tcPr>
          <w:p w14:paraId="060681B0">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探索</w:t>
            </w:r>
          </w:p>
        </w:tc>
        <w:tc>
          <w:tcPr>
            <w:tcW w:w="3009" w:type="dxa"/>
            <w:tcBorders>
              <w:top w:val="single" w:color="1B3A5F" w:sz="4" w:space="0"/>
              <w:left w:val="single" w:color="1B3A5F" w:sz="4" w:space="0"/>
              <w:bottom w:val="single" w:color="1B3A5F" w:sz="4" w:space="0"/>
              <w:right w:val="single" w:color="1B3A5F" w:sz="4" w:space="0"/>
            </w:tcBorders>
            <w:shd w:val="clear" w:color="auto" w:fill="F4F7FB"/>
          </w:tcPr>
          <w:p w14:paraId="339E0415">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已放弃：三档门控、强平滑、高基数编号</w:t>
            </w:r>
          </w:p>
        </w:tc>
        <w:tc>
          <w:tcPr>
            <w:tcW w:w="3009" w:type="dxa"/>
            <w:tcBorders>
              <w:top w:val="single" w:color="1B3A5F" w:sz="4" w:space="0"/>
              <w:left w:val="single" w:color="1B3A5F" w:sz="4" w:space="0"/>
              <w:bottom w:val="single" w:color="1B3A5F" w:sz="4" w:space="0"/>
              <w:right w:val="single" w:color="1B3A5F" w:sz="4" w:space="0"/>
            </w:tcBorders>
            <w:shd w:val="clear" w:color="auto" w:fill="F4F7FB"/>
          </w:tcPr>
          <w:p w14:paraId="4CD2B869">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验证涨、测试跌，不进锁定文件</w:t>
            </w:r>
          </w:p>
        </w:tc>
      </w:tr>
      <w:tr w14:paraId="76AFED09">
        <w:tblPrEx>
          <w:tblCellMar>
            <w:top w:w="0" w:type="dxa"/>
            <w:left w:w="108" w:type="dxa"/>
            <w:bottom w:w="0" w:type="dxa"/>
            <w:right w:w="108" w:type="dxa"/>
          </w:tblCellMar>
        </w:tblPrEx>
        <w:trPr>
          <w:jc w:val="center"/>
        </w:trPr>
        <w:tc>
          <w:tcPr>
            <w:tcW w:w="3009" w:type="dxa"/>
            <w:tcBorders>
              <w:top w:val="single" w:color="1B3A5F" w:sz="4" w:space="0"/>
              <w:left w:val="single" w:color="1B3A5F" w:sz="4" w:space="0"/>
              <w:bottom w:val="single" w:color="1B3A5F" w:sz="4" w:space="0"/>
              <w:right w:val="single" w:color="1B3A5F" w:sz="4" w:space="0"/>
            </w:tcBorders>
          </w:tcPr>
          <w:p w14:paraId="0ADC7991">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实验</w:t>
            </w:r>
          </w:p>
        </w:tc>
        <w:tc>
          <w:tcPr>
            <w:tcW w:w="3009" w:type="dxa"/>
            <w:tcBorders>
              <w:top w:val="single" w:color="1B3A5F" w:sz="4" w:space="0"/>
              <w:left w:val="single" w:color="1B3A5F" w:sz="4" w:space="0"/>
              <w:bottom w:val="single" w:color="1B3A5F" w:sz="4" w:space="0"/>
              <w:right w:val="single" w:color="1B3A5F" w:sz="4" w:space="0"/>
            </w:tcBorders>
          </w:tcPr>
          <w:p w14:paraId="5BFD0278">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有编号对照</w:t>
            </w:r>
          </w:p>
        </w:tc>
        <w:tc>
          <w:tcPr>
            <w:tcW w:w="3009" w:type="dxa"/>
            <w:tcBorders>
              <w:top w:val="single" w:color="1B3A5F" w:sz="4" w:space="0"/>
              <w:left w:val="single" w:color="1B3A5F" w:sz="4" w:space="0"/>
              <w:bottom w:val="single" w:color="1B3A5F" w:sz="4" w:space="0"/>
              <w:right w:val="single" w:color="1B3A5F" w:sz="4" w:space="0"/>
            </w:tcBorders>
          </w:tcPr>
          <w:p w14:paraId="3B62179B">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持续追加，含失败项</w:t>
            </w:r>
          </w:p>
        </w:tc>
      </w:tr>
      <w:tr w14:paraId="0304E96E">
        <w:tblPrEx>
          <w:tblCellMar>
            <w:top w:w="0" w:type="dxa"/>
            <w:left w:w="108" w:type="dxa"/>
            <w:bottom w:w="0" w:type="dxa"/>
            <w:right w:w="108" w:type="dxa"/>
          </w:tblCellMar>
        </w:tblPrEx>
        <w:trPr>
          <w:jc w:val="center"/>
        </w:trPr>
        <w:tc>
          <w:tcPr>
            <w:tcW w:w="3009" w:type="dxa"/>
            <w:tcBorders>
              <w:top w:val="single" w:color="1B3A5F" w:sz="4" w:space="0"/>
              <w:left w:val="single" w:color="1B3A5F" w:sz="4" w:space="0"/>
              <w:bottom w:val="single" w:color="1B3A5F" w:sz="4" w:space="0"/>
              <w:right w:val="single" w:color="1B3A5F" w:sz="4" w:space="0"/>
            </w:tcBorders>
            <w:shd w:val="clear" w:color="auto" w:fill="F4F7FB"/>
          </w:tcPr>
          <w:p w14:paraId="31C9144E">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交付规格</w:t>
            </w:r>
          </w:p>
        </w:tc>
        <w:tc>
          <w:tcPr>
            <w:tcW w:w="3009" w:type="dxa"/>
            <w:tcBorders>
              <w:top w:val="single" w:color="1B3A5F" w:sz="4" w:space="0"/>
              <w:left w:val="single" w:color="1B3A5F" w:sz="4" w:space="0"/>
              <w:bottom w:val="single" w:color="1B3A5F" w:sz="4" w:space="0"/>
              <w:right w:val="single" w:color="1B3A5F" w:sz="4" w:space="0"/>
            </w:tcBorders>
            <w:shd w:val="clear" w:color="auto" w:fill="F4F7FB"/>
          </w:tcPr>
          <w:p w14:paraId="0E64C6BD">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测试预测矩阵</w:t>
            </w:r>
          </w:p>
        </w:tc>
        <w:tc>
          <w:tcPr>
            <w:tcW w:w="3009" w:type="dxa"/>
            <w:tcBorders>
              <w:top w:val="single" w:color="1B3A5F" w:sz="4" w:space="0"/>
              <w:left w:val="single" w:color="1B3A5F" w:sz="4" w:space="0"/>
              <w:bottom w:val="single" w:color="1B3A5F" w:sz="4" w:space="0"/>
              <w:right w:val="single" w:color="1B3A5F" w:sz="4" w:space="0"/>
            </w:tcBorders>
            <w:shd w:val="clear" w:color="auto" w:fill="F4F7FB"/>
          </w:tcPr>
          <w:p w14:paraId="4A356A13">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442×5282，float32</w:t>
            </w:r>
          </w:p>
        </w:tc>
      </w:tr>
      <w:tr w14:paraId="1F613436">
        <w:tblPrEx>
          <w:tblCellMar>
            <w:top w:w="0" w:type="dxa"/>
            <w:left w:w="108" w:type="dxa"/>
            <w:bottom w:w="0" w:type="dxa"/>
            <w:right w:w="108" w:type="dxa"/>
          </w:tblCellMar>
        </w:tblPrEx>
        <w:trPr>
          <w:jc w:val="center"/>
        </w:trPr>
        <w:tc>
          <w:tcPr>
            <w:tcW w:w="3009" w:type="dxa"/>
            <w:tcBorders>
              <w:top w:val="single" w:color="1B3A5F" w:sz="4" w:space="0"/>
              <w:left w:val="single" w:color="1B3A5F" w:sz="4" w:space="0"/>
              <w:bottom w:val="single" w:color="1B3A5F" w:sz="4" w:space="0"/>
              <w:right w:val="single" w:color="1B3A5F" w:sz="4" w:space="0"/>
            </w:tcBorders>
          </w:tcPr>
          <w:p w14:paraId="6BBC7516">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官方门槛</w:t>
            </w:r>
          </w:p>
        </w:tc>
        <w:tc>
          <w:tcPr>
            <w:tcW w:w="3009" w:type="dxa"/>
            <w:tcBorders>
              <w:top w:val="single" w:color="1B3A5F" w:sz="4" w:space="0"/>
              <w:left w:val="single" w:color="1B3A5F" w:sz="4" w:space="0"/>
              <w:bottom w:val="single" w:color="1B3A5F" w:sz="4" w:space="0"/>
              <w:right w:val="single" w:color="1B3A5F" w:sz="4" w:space="0"/>
            </w:tcBorders>
          </w:tcPr>
          <w:p w14:paraId="302FE683">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测试集Mean RankIC≥0.12</w:t>
            </w:r>
          </w:p>
        </w:tc>
        <w:tc>
          <w:tcPr>
            <w:tcW w:w="3009" w:type="dxa"/>
            <w:tcBorders>
              <w:top w:val="single" w:color="1B3A5F" w:sz="4" w:space="0"/>
              <w:left w:val="single" w:color="1B3A5F" w:sz="4" w:space="0"/>
              <w:bottom w:val="single" w:color="1B3A5F" w:sz="4" w:space="0"/>
              <w:right w:val="single" w:color="1B3A5F" w:sz="4" w:space="0"/>
            </w:tcBorders>
          </w:tcPr>
          <w:p w14:paraId="173A8440">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已过线，平台实测0.1293</w:t>
            </w:r>
          </w:p>
        </w:tc>
      </w:tr>
    </w:tbl>
    <w:p w14:paraId="773E0C4D">
      <w:pPr>
        <w:spacing w:line="360" w:lineRule="auto"/>
        <w:rPr>
          <w:rFonts w:hint="eastAsia" w:ascii="仿宋" w:hAnsi="仿宋" w:eastAsia="仿宋" w:cs="仿宋"/>
          <w:sz w:val="24"/>
          <w:szCs w:val="24"/>
        </w:rPr>
      </w:pPr>
    </w:p>
    <w:p w14:paraId="4097559C">
      <w:pPr>
        <w:spacing w:before="40" w:after="200" w:line="360" w:lineRule="auto"/>
        <w:jc w:val="center"/>
        <w:rPr>
          <w:rFonts w:hint="eastAsia" w:ascii="仿宋" w:hAnsi="仿宋" w:eastAsia="仿宋" w:cs="仿宋"/>
          <w:sz w:val="24"/>
          <w:szCs w:val="24"/>
        </w:rPr>
      </w:pPr>
      <w:r>
        <w:rPr>
          <w:rFonts w:hint="eastAsia" w:ascii="仿宋" w:hAnsi="仿宋" w:eastAsia="仿宋" w:cs="仿宋"/>
          <w:b w:val="0"/>
          <w:sz w:val="24"/>
          <w:szCs w:val="24"/>
        </w:rPr>
        <w:t>表4-2  成果汇总</w:t>
      </w:r>
    </w:p>
    <w:p w14:paraId="5684767A">
      <w:pPr>
        <w:spacing w:before="240" w:after="160" w:line="360" w:lineRule="auto"/>
        <w:rPr>
          <w:rFonts w:hint="eastAsia" w:ascii="仿宋" w:hAnsi="仿宋" w:eastAsia="仿宋" w:cs="仿宋"/>
          <w:sz w:val="24"/>
          <w:szCs w:val="24"/>
        </w:rPr>
      </w:pPr>
      <w:r>
        <w:rPr>
          <w:rFonts w:hint="eastAsia" w:ascii="仿宋" w:hAnsi="仿宋" w:eastAsia="仿宋" w:cs="仿宋"/>
          <w:b/>
          <w:sz w:val="32"/>
          <w:szCs w:val="32"/>
        </w:rPr>
        <w:t>第五章  项目合规风险分析</w:t>
      </w:r>
    </w:p>
    <w:p w14:paraId="4859B2E9">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当前项目属于竞赛场景下的离线横截面评分与排序，输出用于赛题RankIC评价的预测矩阵。不是在线交易、证券投资顾问或自动下单系统，不向个人投资者提供买卖建议，不管理资金。仓库未记载已取得的金融牌照、监管批准或商业数据授权。以下区分竞赛阶段与未来若扩展业务后的要求，不把后者写成既成事实。</w:t>
      </w:r>
    </w:p>
    <w:p w14:paraId="6411DD9F">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5.1 监管风险</w:t>
      </w:r>
    </w:p>
    <w:p w14:paraId="342EFC7D">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竞赛中的分数是规定任务的模型输出，不构成面向公众的证券投资建议。若未来直接提供给投资者，或形成荐股、组合、自动交易，需按届时业务形态另行评估。数据为赛方发放面板，仅用于本届指定赛题，不进入版本库；不采集个人账户与身份信息。项目不生成面向用户的投顾文本，自动化停留在离线训练与一次性测试推断。</w:t>
      </w:r>
    </w:p>
    <w:p w14:paraId="0D6EA6FD">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5.2 业务风险</w:t>
      </w:r>
    </w:p>
    <w:p w14:paraId="4B8ADAC0">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优化目标是排序相关性，不等于收益点预测或回报保证。将潜力分读成涨跌、将RankIC读成收益保证、将验证集外推为任意市场能力，属于结果误用。对外表述应限定为竞赛预测及同类研究型排序；验证集0.1308与官方测试集0.1293须分开引用，前者只用于选模。当前成果不承担投资决策功能。</w:t>
      </w:r>
    </w:p>
    <w:p w14:paraId="38941CB7">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5.3 技术风险</w:t>
      </w:r>
    </w:p>
    <w:p w14:paraId="72B8E510">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泄漏风险通过时间切分、窗口不含预测日之后、测试标签不选模、删除y2来降低，但不能写成不会发生泄漏。有效样本规模变化会导致分布和排序难度变化，规模感知融合针对已观察失效模式，不能宣称已消除漂移。整包约8.5GB，约16GB内存下并行加载两份面板可能失败，已用缓存、演练和提交检查降低工程风险。公开仓库不含预测文件，复现仍依赖本地数据。</w:t>
      </w:r>
    </w:p>
    <w:p w14:paraId="2BC247E9">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5.4 知识产权风险</w:t>
      </w:r>
    </w:p>
    <w:p w14:paraId="795037C9">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程序依赖Python科学计算与LightGBM、PyTorch等开源库，发布或商业化须遵守各库许可证。本项目代码采用MIT协议声明，该声明不覆盖赛题数据。当前以自研脚本与配置为主，未包含外部预训练权重。数据权利以组委会及赛题单位规则为准，不能主张已获得超出竞赛范围的授权。</w:t>
      </w:r>
    </w:p>
    <w:p w14:paraId="5AC67316">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5.5 风险控制</w:t>
      </w:r>
    </w:p>
    <w:tbl>
      <w:tblPr>
        <w:tblStyle w:val="32"/>
        <w:tblW w:w="0" w:type="auto"/>
        <w:jc w:val="center"/>
        <w:tblLayout w:type="autofit"/>
        <w:tblCellMar>
          <w:top w:w="0" w:type="dxa"/>
          <w:left w:w="108" w:type="dxa"/>
          <w:bottom w:w="0" w:type="dxa"/>
          <w:right w:w="108" w:type="dxa"/>
        </w:tblCellMar>
      </w:tblPr>
      <w:tblGrid>
        <w:gridCol w:w="2256"/>
        <w:gridCol w:w="2256"/>
        <w:gridCol w:w="2256"/>
        <w:gridCol w:w="2256"/>
      </w:tblGrid>
      <w:tr w14:paraId="4DB97FCC">
        <w:tblPrEx>
          <w:tblCellMar>
            <w:top w:w="0" w:type="dxa"/>
            <w:left w:w="108" w:type="dxa"/>
            <w:bottom w:w="0" w:type="dxa"/>
            <w:right w:w="108" w:type="dxa"/>
          </w:tblCellMar>
        </w:tblPrEx>
        <w:trPr>
          <w:jc w:val="center"/>
        </w:trPr>
        <w:tc>
          <w:tcPr>
            <w:tcW w:w="2256" w:type="dxa"/>
            <w:tcBorders>
              <w:top w:val="single" w:color="1B3A5F" w:sz="4" w:space="0"/>
              <w:left w:val="single" w:color="1B3A5F" w:sz="4" w:space="0"/>
              <w:bottom w:val="single" w:color="1B3A5F" w:sz="4" w:space="0"/>
              <w:right w:val="single" w:color="1B3A5F" w:sz="4" w:space="0"/>
            </w:tcBorders>
            <w:shd w:val="clear" w:color="auto" w:fill="1B3A5F"/>
          </w:tcPr>
          <w:p w14:paraId="31CF5768">
            <w:pPr>
              <w:spacing w:before="40" w:after="40" w:line="360" w:lineRule="auto"/>
              <w:jc w:val="center"/>
              <w:rPr>
                <w:rFonts w:hint="eastAsia" w:ascii="仿宋" w:hAnsi="仿宋" w:eastAsia="仿宋" w:cs="仿宋"/>
                <w:sz w:val="24"/>
                <w:szCs w:val="24"/>
              </w:rPr>
            </w:pPr>
            <w:r>
              <w:rPr>
                <w:rFonts w:hint="eastAsia" w:ascii="仿宋" w:hAnsi="仿宋" w:eastAsia="仿宋" w:cs="仿宋"/>
                <w:b/>
                <w:color w:val="FFFFFF"/>
                <w:sz w:val="24"/>
                <w:szCs w:val="24"/>
              </w:rPr>
              <w:t>类别</w:t>
            </w:r>
          </w:p>
        </w:tc>
        <w:tc>
          <w:tcPr>
            <w:tcW w:w="2256" w:type="dxa"/>
            <w:tcBorders>
              <w:top w:val="single" w:color="1B3A5F" w:sz="4" w:space="0"/>
              <w:left w:val="single" w:color="1B3A5F" w:sz="4" w:space="0"/>
              <w:bottom w:val="single" w:color="1B3A5F" w:sz="4" w:space="0"/>
              <w:right w:val="single" w:color="1B3A5F" w:sz="4" w:space="0"/>
            </w:tcBorders>
            <w:shd w:val="clear" w:color="auto" w:fill="1B3A5F"/>
          </w:tcPr>
          <w:p w14:paraId="191CC4B8">
            <w:pPr>
              <w:spacing w:before="40" w:after="40" w:line="360" w:lineRule="auto"/>
              <w:jc w:val="center"/>
              <w:rPr>
                <w:rFonts w:hint="eastAsia" w:ascii="仿宋" w:hAnsi="仿宋" w:eastAsia="仿宋" w:cs="仿宋"/>
                <w:sz w:val="24"/>
                <w:szCs w:val="24"/>
              </w:rPr>
            </w:pPr>
            <w:r>
              <w:rPr>
                <w:rFonts w:hint="eastAsia" w:ascii="仿宋" w:hAnsi="仿宋" w:eastAsia="仿宋" w:cs="仿宋"/>
                <w:b/>
                <w:color w:val="FFFFFF"/>
                <w:sz w:val="24"/>
                <w:szCs w:val="24"/>
              </w:rPr>
              <w:t>主要风险</w:t>
            </w:r>
          </w:p>
        </w:tc>
        <w:tc>
          <w:tcPr>
            <w:tcW w:w="2256" w:type="dxa"/>
            <w:tcBorders>
              <w:top w:val="single" w:color="1B3A5F" w:sz="4" w:space="0"/>
              <w:left w:val="single" w:color="1B3A5F" w:sz="4" w:space="0"/>
              <w:bottom w:val="single" w:color="1B3A5F" w:sz="4" w:space="0"/>
              <w:right w:val="single" w:color="1B3A5F" w:sz="4" w:space="0"/>
            </w:tcBorders>
            <w:shd w:val="clear" w:color="auto" w:fill="1B3A5F"/>
          </w:tcPr>
          <w:p w14:paraId="038551C2">
            <w:pPr>
              <w:spacing w:before="40" w:after="40" w:line="360" w:lineRule="auto"/>
              <w:jc w:val="center"/>
              <w:rPr>
                <w:rFonts w:hint="eastAsia" w:ascii="仿宋" w:hAnsi="仿宋" w:eastAsia="仿宋" w:cs="仿宋"/>
                <w:sz w:val="24"/>
                <w:szCs w:val="24"/>
              </w:rPr>
            </w:pPr>
            <w:r>
              <w:rPr>
                <w:rFonts w:hint="eastAsia" w:ascii="仿宋" w:hAnsi="仿宋" w:eastAsia="仿宋" w:cs="仿宋"/>
                <w:b/>
                <w:color w:val="FFFFFF"/>
                <w:sz w:val="24"/>
                <w:szCs w:val="24"/>
              </w:rPr>
              <w:t>当前措施</w:t>
            </w:r>
          </w:p>
        </w:tc>
        <w:tc>
          <w:tcPr>
            <w:tcW w:w="2256" w:type="dxa"/>
            <w:tcBorders>
              <w:top w:val="single" w:color="1B3A5F" w:sz="4" w:space="0"/>
              <w:left w:val="single" w:color="1B3A5F" w:sz="4" w:space="0"/>
              <w:bottom w:val="single" w:color="1B3A5F" w:sz="4" w:space="0"/>
              <w:right w:val="single" w:color="1B3A5F" w:sz="4" w:space="0"/>
            </w:tcBorders>
            <w:shd w:val="clear" w:color="auto" w:fill="1B3A5F"/>
          </w:tcPr>
          <w:p w14:paraId="4F17F070">
            <w:pPr>
              <w:spacing w:before="40" w:after="40" w:line="360" w:lineRule="auto"/>
              <w:jc w:val="center"/>
              <w:rPr>
                <w:rFonts w:hint="eastAsia" w:ascii="仿宋" w:hAnsi="仿宋" w:eastAsia="仿宋" w:cs="仿宋"/>
                <w:sz w:val="24"/>
                <w:szCs w:val="24"/>
              </w:rPr>
            </w:pPr>
            <w:r>
              <w:rPr>
                <w:rFonts w:hint="eastAsia" w:ascii="仿宋" w:hAnsi="仿宋" w:eastAsia="仿宋" w:cs="仿宋"/>
                <w:b/>
                <w:color w:val="FFFFFF"/>
                <w:sz w:val="24"/>
                <w:szCs w:val="24"/>
              </w:rPr>
              <w:t>后续建议</w:t>
            </w:r>
          </w:p>
        </w:tc>
      </w:tr>
      <w:tr w14:paraId="0C822E50">
        <w:tblPrEx>
          <w:tblCellMar>
            <w:top w:w="0" w:type="dxa"/>
            <w:left w:w="108" w:type="dxa"/>
            <w:bottom w:w="0" w:type="dxa"/>
            <w:right w:w="108" w:type="dxa"/>
          </w:tblCellMar>
        </w:tblPrEx>
        <w:trPr>
          <w:jc w:val="center"/>
        </w:trPr>
        <w:tc>
          <w:tcPr>
            <w:tcW w:w="2256" w:type="dxa"/>
            <w:tcBorders>
              <w:top w:val="single" w:color="1B3A5F" w:sz="4" w:space="0"/>
              <w:left w:val="single" w:color="1B3A5F" w:sz="4" w:space="0"/>
              <w:bottom w:val="single" w:color="1B3A5F" w:sz="4" w:space="0"/>
              <w:right w:val="single" w:color="1B3A5F" w:sz="4" w:space="0"/>
            </w:tcBorders>
          </w:tcPr>
          <w:p w14:paraId="66DD2487">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监管</w:t>
            </w:r>
          </w:p>
        </w:tc>
        <w:tc>
          <w:tcPr>
            <w:tcW w:w="2256" w:type="dxa"/>
            <w:tcBorders>
              <w:top w:val="single" w:color="1B3A5F" w:sz="4" w:space="0"/>
              <w:left w:val="single" w:color="1B3A5F" w:sz="4" w:space="0"/>
              <w:bottom w:val="single" w:color="1B3A5F" w:sz="4" w:space="0"/>
              <w:right w:val="single" w:color="1B3A5F" w:sz="4" w:space="0"/>
            </w:tcBorders>
          </w:tcPr>
          <w:p w14:paraId="7D4D2615">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分数被当作投资建议</w:t>
            </w:r>
          </w:p>
        </w:tc>
        <w:tc>
          <w:tcPr>
            <w:tcW w:w="2256" w:type="dxa"/>
            <w:tcBorders>
              <w:top w:val="single" w:color="1B3A5F" w:sz="4" w:space="0"/>
              <w:left w:val="single" w:color="1B3A5F" w:sz="4" w:space="0"/>
              <w:bottom w:val="single" w:color="1B3A5F" w:sz="4" w:space="0"/>
              <w:right w:val="single" w:color="1B3A5F" w:sz="4" w:space="0"/>
            </w:tcBorders>
          </w:tcPr>
          <w:p w14:paraId="44B58212">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限定竞赛离线预测</w:t>
            </w:r>
          </w:p>
        </w:tc>
        <w:tc>
          <w:tcPr>
            <w:tcW w:w="2256" w:type="dxa"/>
            <w:tcBorders>
              <w:top w:val="single" w:color="1B3A5F" w:sz="4" w:space="0"/>
              <w:left w:val="single" w:color="1B3A5F" w:sz="4" w:space="0"/>
              <w:bottom w:val="single" w:color="1B3A5F" w:sz="4" w:space="0"/>
              <w:right w:val="single" w:color="1B3A5F" w:sz="4" w:space="0"/>
            </w:tcBorders>
          </w:tcPr>
          <w:p w14:paraId="7F0B5333">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商业化前按业务评估</w:t>
            </w:r>
          </w:p>
        </w:tc>
      </w:tr>
      <w:tr w14:paraId="05F7A372">
        <w:tblPrEx>
          <w:tblCellMar>
            <w:top w:w="0" w:type="dxa"/>
            <w:left w:w="108" w:type="dxa"/>
            <w:bottom w:w="0" w:type="dxa"/>
            <w:right w:w="108" w:type="dxa"/>
          </w:tblCellMar>
        </w:tblPrEx>
        <w:trPr>
          <w:jc w:val="center"/>
        </w:trPr>
        <w:tc>
          <w:tcPr>
            <w:tcW w:w="2256" w:type="dxa"/>
            <w:tcBorders>
              <w:top w:val="single" w:color="1B3A5F" w:sz="4" w:space="0"/>
              <w:left w:val="single" w:color="1B3A5F" w:sz="4" w:space="0"/>
              <w:bottom w:val="single" w:color="1B3A5F" w:sz="4" w:space="0"/>
              <w:right w:val="single" w:color="1B3A5F" w:sz="4" w:space="0"/>
            </w:tcBorders>
            <w:shd w:val="clear" w:color="auto" w:fill="F4F7FB"/>
          </w:tcPr>
          <w:p w14:paraId="3AA4BDB0">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数据</w:t>
            </w:r>
          </w:p>
        </w:tc>
        <w:tc>
          <w:tcPr>
            <w:tcW w:w="2256" w:type="dxa"/>
            <w:tcBorders>
              <w:top w:val="single" w:color="1B3A5F" w:sz="4" w:space="0"/>
              <w:left w:val="single" w:color="1B3A5F" w:sz="4" w:space="0"/>
              <w:bottom w:val="single" w:color="1B3A5F" w:sz="4" w:space="0"/>
              <w:right w:val="single" w:color="1B3A5F" w:sz="4" w:space="0"/>
            </w:tcBorders>
            <w:shd w:val="clear" w:color="auto" w:fill="F4F7FB"/>
          </w:tcPr>
          <w:p w14:paraId="76EEEE41">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超范围使用赛题数据</w:t>
            </w:r>
          </w:p>
        </w:tc>
        <w:tc>
          <w:tcPr>
            <w:tcW w:w="2256" w:type="dxa"/>
            <w:tcBorders>
              <w:top w:val="single" w:color="1B3A5F" w:sz="4" w:space="0"/>
              <w:left w:val="single" w:color="1B3A5F" w:sz="4" w:space="0"/>
              <w:bottom w:val="single" w:color="1B3A5F" w:sz="4" w:space="0"/>
              <w:right w:val="single" w:color="1B3A5F" w:sz="4" w:space="0"/>
            </w:tcBorders>
            <w:shd w:val="clear" w:color="auto" w:fill="F4F7FB"/>
          </w:tcPr>
          <w:p w14:paraId="7E0E8E71">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官方数据、不入库、删除y2</w:t>
            </w:r>
          </w:p>
        </w:tc>
        <w:tc>
          <w:tcPr>
            <w:tcW w:w="2256" w:type="dxa"/>
            <w:tcBorders>
              <w:top w:val="single" w:color="1B3A5F" w:sz="4" w:space="0"/>
              <w:left w:val="single" w:color="1B3A5F" w:sz="4" w:space="0"/>
              <w:bottom w:val="single" w:color="1B3A5F" w:sz="4" w:space="0"/>
              <w:right w:val="single" w:color="1B3A5F" w:sz="4" w:space="0"/>
            </w:tcBorders>
            <w:shd w:val="clear" w:color="auto" w:fill="F4F7FB"/>
          </w:tcPr>
          <w:p w14:paraId="6F5E819F">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赛后按承诺删除</w:t>
            </w:r>
          </w:p>
        </w:tc>
      </w:tr>
      <w:tr w14:paraId="51E9D210">
        <w:tblPrEx>
          <w:tblCellMar>
            <w:top w:w="0" w:type="dxa"/>
            <w:left w:w="108" w:type="dxa"/>
            <w:bottom w:w="0" w:type="dxa"/>
            <w:right w:w="108" w:type="dxa"/>
          </w:tblCellMar>
        </w:tblPrEx>
        <w:trPr>
          <w:jc w:val="center"/>
        </w:trPr>
        <w:tc>
          <w:tcPr>
            <w:tcW w:w="2256" w:type="dxa"/>
            <w:tcBorders>
              <w:top w:val="single" w:color="1B3A5F" w:sz="4" w:space="0"/>
              <w:left w:val="single" w:color="1B3A5F" w:sz="4" w:space="0"/>
              <w:bottom w:val="single" w:color="1B3A5F" w:sz="4" w:space="0"/>
              <w:right w:val="single" w:color="1B3A5F" w:sz="4" w:space="0"/>
            </w:tcBorders>
          </w:tcPr>
          <w:p w14:paraId="08D4119A">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技术</w:t>
            </w:r>
          </w:p>
        </w:tc>
        <w:tc>
          <w:tcPr>
            <w:tcW w:w="2256" w:type="dxa"/>
            <w:tcBorders>
              <w:top w:val="single" w:color="1B3A5F" w:sz="4" w:space="0"/>
              <w:left w:val="single" w:color="1B3A5F" w:sz="4" w:space="0"/>
              <w:bottom w:val="single" w:color="1B3A5F" w:sz="4" w:space="0"/>
              <w:right w:val="single" w:color="1B3A5F" w:sz="4" w:space="0"/>
            </w:tcBorders>
          </w:tcPr>
          <w:p w14:paraId="0E043F29">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未来信息进入训练</w:t>
            </w:r>
          </w:p>
        </w:tc>
        <w:tc>
          <w:tcPr>
            <w:tcW w:w="2256" w:type="dxa"/>
            <w:tcBorders>
              <w:top w:val="single" w:color="1B3A5F" w:sz="4" w:space="0"/>
              <w:left w:val="single" w:color="1B3A5F" w:sz="4" w:space="0"/>
              <w:bottom w:val="single" w:color="1B3A5F" w:sz="4" w:space="0"/>
              <w:right w:val="single" w:color="1B3A5F" w:sz="4" w:space="0"/>
            </w:tcBorders>
          </w:tcPr>
          <w:p w14:paraId="5391374E">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时间切分、窗口因果</w:t>
            </w:r>
          </w:p>
        </w:tc>
        <w:tc>
          <w:tcPr>
            <w:tcW w:w="2256" w:type="dxa"/>
            <w:tcBorders>
              <w:top w:val="single" w:color="1B3A5F" w:sz="4" w:space="0"/>
              <w:left w:val="single" w:color="1B3A5F" w:sz="4" w:space="0"/>
              <w:bottom w:val="single" w:color="1B3A5F" w:sz="4" w:space="0"/>
              <w:right w:val="single" w:color="1B3A5F" w:sz="4" w:space="0"/>
            </w:tcBorders>
          </w:tcPr>
          <w:p w14:paraId="5EFF536E">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持续核对配置与指标</w:t>
            </w:r>
          </w:p>
        </w:tc>
      </w:tr>
      <w:tr w14:paraId="2E65AB3F">
        <w:tblPrEx>
          <w:tblCellMar>
            <w:top w:w="0" w:type="dxa"/>
            <w:left w:w="108" w:type="dxa"/>
            <w:bottom w:w="0" w:type="dxa"/>
            <w:right w:w="108" w:type="dxa"/>
          </w:tblCellMar>
        </w:tblPrEx>
        <w:trPr>
          <w:jc w:val="center"/>
        </w:trPr>
        <w:tc>
          <w:tcPr>
            <w:tcW w:w="2256" w:type="dxa"/>
            <w:tcBorders>
              <w:top w:val="single" w:color="1B3A5F" w:sz="4" w:space="0"/>
              <w:left w:val="single" w:color="1B3A5F" w:sz="4" w:space="0"/>
              <w:bottom w:val="single" w:color="1B3A5F" w:sz="4" w:space="0"/>
              <w:right w:val="single" w:color="1B3A5F" w:sz="4" w:space="0"/>
            </w:tcBorders>
            <w:shd w:val="clear" w:color="auto" w:fill="F4F7FB"/>
          </w:tcPr>
          <w:p w14:paraId="4E5F2723">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模型</w:t>
            </w:r>
          </w:p>
        </w:tc>
        <w:tc>
          <w:tcPr>
            <w:tcW w:w="2256" w:type="dxa"/>
            <w:tcBorders>
              <w:top w:val="single" w:color="1B3A5F" w:sz="4" w:space="0"/>
              <w:left w:val="single" w:color="1B3A5F" w:sz="4" w:space="0"/>
              <w:bottom w:val="single" w:color="1B3A5F" w:sz="4" w:space="0"/>
              <w:right w:val="single" w:color="1B3A5F" w:sz="4" w:space="0"/>
            </w:tcBorders>
            <w:shd w:val="clear" w:color="auto" w:fill="F4F7FB"/>
          </w:tcPr>
          <w:p w14:paraId="5D04C281">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可比较规模变化</w:t>
            </w:r>
          </w:p>
        </w:tc>
        <w:tc>
          <w:tcPr>
            <w:tcW w:w="2256" w:type="dxa"/>
            <w:tcBorders>
              <w:top w:val="single" w:color="1B3A5F" w:sz="4" w:space="0"/>
              <w:left w:val="single" w:color="1B3A5F" w:sz="4" w:space="0"/>
              <w:bottom w:val="single" w:color="1B3A5F" w:sz="4" w:space="0"/>
              <w:right w:val="single" w:color="1B3A5F" w:sz="4" w:space="0"/>
            </w:tcBorders>
            <w:shd w:val="clear" w:color="auto" w:fill="F4F7FB"/>
          </w:tcPr>
          <w:p w14:paraId="054A4066">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规模感知融合</w:t>
            </w:r>
          </w:p>
        </w:tc>
        <w:tc>
          <w:tcPr>
            <w:tcW w:w="2256" w:type="dxa"/>
            <w:tcBorders>
              <w:top w:val="single" w:color="1B3A5F" w:sz="4" w:space="0"/>
              <w:left w:val="single" w:color="1B3A5F" w:sz="4" w:space="0"/>
              <w:bottom w:val="single" w:color="1B3A5F" w:sz="4" w:space="0"/>
              <w:right w:val="single" w:color="1B3A5F" w:sz="4" w:space="0"/>
            </w:tcBorders>
            <w:shd w:val="clear" w:color="auto" w:fill="F4F7FB"/>
          </w:tcPr>
          <w:p w14:paraId="0FC05217">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增加样本外监测</w:t>
            </w:r>
          </w:p>
        </w:tc>
      </w:tr>
      <w:tr w14:paraId="028187A3">
        <w:tblPrEx>
          <w:tblCellMar>
            <w:top w:w="0" w:type="dxa"/>
            <w:left w:w="108" w:type="dxa"/>
            <w:bottom w:w="0" w:type="dxa"/>
            <w:right w:w="108" w:type="dxa"/>
          </w:tblCellMar>
        </w:tblPrEx>
        <w:trPr>
          <w:jc w:val="center"/>
        </w:trPr>
        <w:tc>
          <w:tcPr>
            <w:tcW w:w="2256" w:type="dxa"/>
            <w:tcBorders>
              <w:top w:val="single" w:color="1B3A5F" w:sz="4" w:space="0"/>
              <w:left w:val="single" w:color="1B3A5F" w:sz="4" w:space="0"/>
              <w:bottom w:val="single" w:color="1B3A5F" w:sz="4" w:space="0"/>
              <w:right w:val="single" w:color="1B3A5F" w:sz="4" w:space="0"/>
            </w:tcBorders>
          </w:tcPr>
          <w:p w14:paraId="4F085699">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工程</w:t>
            </w:r>
          </w:p>
        </w:tc>
        <w:tc>
          <w:tcPr>
            <w:tcW w:w="2256" w:type="dxa"/>
            <w:tcBorders>
              <w:top w:val="single" w:color="1B3A5F" w:sz="4" w:space="0"/>
              <w:left w:val="single" w:color="1B3A5F" w:sz="4" w:space="0"/>
              <w:bottom w:val="single" w:color="1B3A5F" w:sz="4" w:space="0"/>
              <w:right w:val="single" w:color="1B3A5F" w:sz="4" w:space="0"/>
            </w:tcBorders>
          </w:tcPr>
          <w:p w14:paraId="4F0E781B">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内存与提交格式</w:t>
            </w:r>
          </w:p>
        </w:tc>
        <w:tc>
          <w:tcPr>
            <w:tcW w:w="2256" w:type="dxa"/>
            <w:tcBorders>
              <w:top w:val="single" w:color="1B3A5F" w:sz="4" w:space="0"/>
              <w:left w:val="single" w:color="1B3A5F" w:sz="4" w:space="0"/>
              <w:bottom w:val="single" w:color="1B3A5F" w:sz="4" w:space="0"/>
              <w:right w:val="single" w:color="1B3A5F" w:sz="4" w:space="0"/>
            </w:tcBorders>
          </w:tcPr>
          <w:p w14:paraId="28B32E01">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缓存、演练、提交检查</w:t>
            </w:r>
          </w:p>
        </w:tc>
        <w:tc>
          <w:tcPr>
            <w:tcW w:w="2256" w:type="dxa"/>
            <w:tcBorders>
              <w:top w:val="single" w:color="1B3A5F" w:sz="4" w:space="0"/>
              <w:left w:val="single" w:color="1B3A5F" w:sz="4" w:space="0"/>
              <w:bottom w:val="single" w:color="1B3A5F" w:sz="4" w:space="0"/>
              <w:right w:val="single" w:color="1B3A5F" w:sz="4" w:space="0"/>
            </w:tcBorders>
          </w:tcPr>
          <w:p w14:paraId="7A329C32">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补充自动化测试</w:t>
            </w:r>
          </w:p>
        </w:tc>
      </w:tr>
      <w:tr w14:paraId="3753E4A9">
        <w:tblPrEx>
          <w:tblCellMar>
            <w:top w:w="0" w:type="dxa"/>
            <w:left w:w="108" w:type="dxa"/>
            <w:bottom w:w="0" w:type="dxa"/>
            <w:right w:w="108" w:type="dxa"/>
          </w:tblCellMar>
        </w:tblPrEx>
        <w:trPr>
          <w:jc w:val="center"/>
        </w:trPr>
        <w:tc>
          <w:tcPr>
            <w:tcW w:w="2256" w:type="dxa"/>
            <w:tcBorders>
              <w:top w:val="single" w:color="1B3A5F" w:sz="4" w:space="0"/>
              <w:left w:val="single" w:color="1B3A5F" w:sz="4" w:space="0"/>
              <w:bottom w:val="single" w:color="1B3A5F" w:sz="4" w:space="0"/>
              <w:right w:val="single" w:color="1B3A5F" w:sz="4" w:space="0"/>
            </w:tcBorders>
            <w:shd w:val="clear" w:color="auto" w:fill="F4F7FB"/>
          </w:tcPr>
          <w:p w14:paraId="62B15CE4">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知识产权</w:t>
            </w:r>
          </w:p>
        </w:tc>
        <w:tc>
          <w:tcPr>
            <w:tcW w:w="2256" w:type="dxa"/>
            <w:tcBorders>
              <w:top w:val="single" w:color="1B3A5F" w:sz="4" w:space="0"/>
              <w:left w:val="single" w:color="1B3A5F" w:sz="4" w:space="0"/>
              <w:bottom w:val="single" w:color="1B3A5F" w:sz="4" w:space="0"/>
              <w:right w:val="single" w:color="1B3A5F" w:sz="4" w:space="0"/>
            </w:tcBorders>
            <w:shd w:val="clear" w:color="auto" w:fill="F4F7FB"/>
          </w:tcPr>
          <w:p w14:paraId="30986FF6">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依赖与数据权利</w:t>
            </w:r>
          </w:p>
        </w:tc>
        <w:tc>
          <w:tcPr>
            <w:tcW w:w="2256" w:type="dxa"/>
            <w:tcBorders>
              <w:top w:val="single" w:color="1B3A5F" w:sz="4" w:space="0"/>
              <w:left w:val="single" w:color="1B3A5F" w:sz="4" w:space="0"/>
              <w:bottom w:val="single" w:color="1B3A5F" w:sz="4" w:space="0"/>
              <w:right w:val="single" w:color="1B3A5F" w:sz="4" w:space="0"/>
            </w:tcBorders>
            <w:shd w:val="clear" w:color="auto" w:fill="F4F7FB"/>
          </w:tcPr>
          <w:p w14:paraId="37B19781">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记录依赖；数据不入库</w:t>
            </w:r>
          </w:p>
        </w:tc>
        <w:tc>
          <w:tcPr>
            <w:tcW w:w="2256" w:type="dxa"/>
            <w:tcBorders>
              <w:top w:val="single" w:color="1B3A5F" w:sz="4" w:space="0"/>
              <w:left w:val="single" w:color="1B3A5F" w:sz="4" w:space="0"/>
              <w:bottom w:val="single" w:color="1B3A5F" w:sz="4" w:space="0"/>
              <w:right w:val="single" w:color="1B3A5F" w:sz="4" w:space="0"/>
            </w:tcBorders>
            <w:shd w:val="clear" w:color="auto" w:fill="F4F7FB"/>
          </w:tcPr>
          <w:p w14:paraId="27D77C96">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对外发布前审查许可证</w:t>
            </w:r>
          </w:p>
        </w:tc>
      </w:tr>
      <w:tr w14:paraId="34C9E80B">
        <w:tblPrEx>
          <w:tblCellMar>
            <w:top w:w="0" w:type="dxa"/>
            <w:left w:w="108" w:type="dxa"/>
            <w:bottom w:w="0" w:type="dxa"/>
            <w:right w:w="108" w:type="dxa"/>
          </w:tblCellMar>
        </w:tblPrEx>
        <w:trPr>
          <w:jc w:val="center"/>
        </w:trPr>
        <w:tc>
          <w:tcPr>
            <w:tcW w:w="2256" w:type="dxa"/>
            <w:tcBorders>
              <w:top w:val="single" w:color="1B3A5F" w:sz="4" w:space="0"/>
              <w:left w:val="single" w:color="1B3A5F" w:sz="4" w:space="0"/>
              <w:bottom w:val="single" w:color="1B3A5F" w:sz="4" w:space="0"/>
              <w:right w:val="single" w:color="1B3A5F" w:sz="4" w:space="0"/>
            </w:tcBorders>
          </w:tcPr>
          <w:p w14:paraId="44F1A9DD">
            <w:pPr>
              <w:spacing w:before="40" w:after="40" w:line="360" w:lineRule="auto"/>
              <w:jc w:val="left"/>
              <w:rPr>
                <w:rFonts w:hint="eastAsia" w:ascii="仿宋" w:hAnsi="仿宋" w:eastAsia="仿宋" w:cs="仿宋"/>
                <w:sz w:val="24"/>
                <w:szCs w:val="24"/>
              </w:rPr>
            </w:pPr>
            <w:r>
              <w:rPr>
                <w:rFonts w:hint="eastAsia" w:ascii="仿宋" w:hAnsi="仿宋" w:eastAsia="仿宋" w:cs="仿宋"/>
                <w:b w:val="0"/>
                <w:sz w:val="24"/>
                <w:szCs w:val="24"/>
              </w:rPr>
              <w:t>业务</w:t>
            </w:r>
          </w:p>
        </w:tc>
        <w:tc>
          <w:tcPr>
            <w:tcW w:w="2256" w:type="dxa"/>
            <w:tcBorders>
              <w:top w:val="single" w:color="1B3A5F" w:sz="4" w:space="0"/>
              <w:left w:val="single" w:color="1B3A5F" w:sz="4" w:space="0"/>
              <w:bottom w:val="single" w:color="1B3A5F" w:sz="4" w:space="0"/>
              <w:right w:val="single" w:color="1B3A5F" w:sz="4" w:space="0"/>
            </w:tcBorders>
          </w:tcPr>
          <w:p w14:paraId="58A70745">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结果被过度解释</w:t>
            </w:r>
          </w:p>
        </w:tc>
        <w:tc>
          <w:tcPr>
            <w:tcW w:w="2256" w:type="dxa"/>
            <w:tcBorders>
              <w:top w:val="single" w:color="1B3A5F" w:sz="4" w:space="0"/>
              <w:left w:val="single" w:color="1B3A5F" w:sz="4" w:space="0"/>
              <w:bottom w:val="single" w:color="1B3A5F" w:sz="4" w:space="0"/>
              <w:right w:val="single" w:color="1B3A5F" w:sz="4" w:space="0"/>
            </w:tcBorders>
          </w:tcPr>
          <w:p w14:paraId="1CFABB70">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明确非投资建议</w:t>
            </w:r>
          </w:p>
        </w:tc>
        <w:tc>
          <w:tcPr>
            <w:tcW w:w="2256" w:type="dxa"/>
            <w:tcBorders>
              <w:top w:val="single" w:color="1B3A5F" w:sz="4" w:space="0"/>
              <w:left w:val="single" w:color="1B3A5F" w:sz="4" w:space="0"/>
              <w:bottom w:val="single" w:color="1B3A5F" w:sz="4" w:space="0"/>
              <w:right w:val="single" w:color="1B3A5F" w:sz="4" w:space="0"/>
            </w:tcBorders>
          </w:tcPr>
          <w:p w14:paraId="18E0A508">
            <w:pPr>
              <w:spacing w:before="40" w:after="40" w:line="360" w:lineRule="auto"/>
              <w:jc w:val="center"/>
              <w:rPr>
                <w:rFonts w:hint="eastAsia" w:ascii="仿宋" w:hAnsi="仿宋" w:eastAsia="仿宋" w:cs="仿宋"/>
                <w:sz w:val="24"/>
                <w:szCs w:val="24"/>
              </w:rPr>
            </w:pPr>
            <w:r>
              <w:rPr>
                <w:rFonts w:hint="eastAsia" w:ascii="仿宋" w:hAnsi="仿宋" w:eastAsia="仿宋" w:cs="仿宋"/>
                <w:b w:val="0"/>
                <w:sz w:val="24"/>
                <w:szCs w:val="24"/>
              </w:rPr>
              <w:t>对外使用时补充口径</w:t>
            </w:r>
          </w:p>
        </w:tc>
      </w:tr>
    </w:tbl>
    <w:p w14:paraId="00576D6E">
      <w:pPr>
        <w:spacing w:line="360" w:lineRule="auto"/>
        <w:rPr>
          <w:rFonts w:hint="eastAsia" w:ascii="仿宋" w:hAnsi="仿宋" w:eastAsia="仿宋" w:cs="仿宋"/>
          <w:sz w:val="24"/>
          <w:szCs w:val="24"/>
        </w:rPr>
      </w:pPr>
    </w:p>
    <w:p w14:paraId="2CE7AF96">
      <w:pPr>
        <w:spacing w:before="40" w:after="200" w:line="360" w:lineRule="auto"/>
        <w:jc w:val="center"/>
        <w:rPr>
          <w:rFonts w:hint="eastAsia" w:ascii="仿宋" w:hAnsi="仿宋" w:eastAsia="仿宋" w:cs="仿宋"/>
          <w:sz w:val="24"/>
          <w:szCs w:val="24"/>
        </w:rPr>
      </w:pPr>
      <w:r>
        <w:rPr>
          <w:rFonts w:hint="eastAsia" w:ascii="仿宋" w:hAnsi="仿宋" w:eastAsia="仿宋" w:cs="仿宋"/>
          <w:b w:val="0"/>
          <w:sz w:val="24"/>
          <w:szCs w:val="24"/>
        </w:rPr>
        <w:t>表5-1  风险与控制</w:t>
      </w:r>
    </w:p>
    <w:p w14:paraId="5A2BB4B3">
      <w:pPr>
        <w:spacing w:before="0" w:after="120" w:line="360" w:lineRule="auto"/>
        <w:ind w:firstLine="420"/>
        <w:jc w:val="both"/>
        <w:rPr>
          <w:rFonts w:hint="eastAsia" w:ascii="仿宋" w:hAnsi="仿宋" w:eastAsia="仿宋" w:cs="仿宋"/>
          <w:sz w:val="24"/>
          <w:szCs w:val="24"/>
        </w:rPr>
      </w:pPr>
      <w:r>
        <w:rPr>
          <w:rFonts w:hint="eastAsia" w:ascii="仿宋" w:hAnsi="仿宋" w:eastAsia="仿宋" w:cs="仿宋"/>
          <w:b w:val="0"/>
          <w:sz w:val="24"/>
          <w:szCs w:val="24"/>
        </w:rPr>
        <w:t>当前措施降低竞赛阶段风险，若进入实际业务仍须按具体模式审查，不存在已符合全部法律法规的结论。</w:t>
      </w:r>
    </w:p>
    <w:p w14:paraId="6F872C40">
      <w:pPr>
        <w:spacing w:before="240" w:after="160" w:line="360" w:lineRule="auto"/>
        <w:rPr>
          <w:rFonts w:hint="eastAsia" w:ascii="仿宋" w:hAnsi="仿宋" w:eastAsia="仿宋" w:cs="仿宋"/>
          <w:sz w:val="32"/>
          <w:szCs w:val="32"/>
        </w:rPr>
      </w:pPr>
      <w:r>
        <w:rPr>
          <w:rFonts w:hint="eastAsia" w:ascii="仿宋" w:hAnsi="仿宋" w:eastAsia="仿宋" w:cs="仿宋"/>
          <w:b/>
          <w:sz w:val="32"/>
          <w:szCs w:val="32"/>
        </w:rPr>
        <w:t>第六章  参考文献</w:t>
      </w:r>
    </w:p>
    <w:p w14:paraId="1C5D67C7">
      <w:pPr>
        <w:spacing w:before="0" w:after="120" w:line="360" w:lineRule="auto"/>
        <w:jc w:val="both"/>
        <w:rPr>
          <w:rFonts w:hint="eastAsia" w:ascii="仿宋" w:hAnsi="仿宋" w:eastAsia="仿宋" w:cs="仿宋"/>
          <w:sz w:val="24"/>
          <w:szCs w:val="24"/>
        </w:rPr>
      </w:pPr>
      <w:r>
        <w:rPr>
          <w:rFonts w:hint="eastAsia" w:ascii="仿宋" w:hAnsi="仿宋" w:eastAsia="仿宋" w:cs="仿宋"/>
          <w:b w:val="0"/>
          <w:sz w:val="24"/>
          <w:szCs w:val="24"/>
        </w:rPr>
        <w:t>以下按IEEE编排。仅列入与实现直接相关的理论、赛题资料与核心工具。未列入未使用的Transformer、LSTM、强化学习及第三方行情接口。</w:t>
      </w:r>
    </w:p>
    <w:p w14:paraId="068B2465">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6.1 学术论文</w:t>
      </w:r>
    </w:p>
    <w:p w14:paraId="053C1F3F">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[1] C. Spearman, “The proof and measurement of association between two things,” The American Journal of Psychology, vol. 15, no. 1, pp. 72–101, 1904.</w:t>
      </w:r>
    </w:p>
    <w:p w14:paraId="5E3DF9B9">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[2] K. Cho, B. van Merriënboer, C. Gulcehre, D. Bahdanau, F. Bougares, H. Schwenk, and Y. Bengio, “Learning phrase representations using RNN encoder–decoder for statistical machine translation,” in Proc. EMNLP, Doha, Qatar, 2014, pp. 1724–1734.</w:t>
      </w:r>
    </w:p>
    <w:p w14:paraId="2A223533">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[3] J. Chung, C. Gulcehre, K. Cho, and Y. Bengio, “Empirical evaluation of gated recurrent neural networks on sequence modeling,” arXiv:1412.3555, 2014.</w:t>
      </w:r>
    </w:p>
    <w:p w14:paraId="1DEBC180">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[4] G. Ke, Q. Meng, T. Finley, T. Wang, W. Chen, W. Ma, Q. Ye, and T.-Y. Liu, “LightGBM: A highly efficient gradient boosting decision tree,” in Advances in Neural Information Processing Systems, vol. 30, 2017, pp. 3146–3154.</w:t>
      </w:r>
    </w:p>
    <w:p w14:paraId="28A6915C">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[5] C. J. C. Burges, “From RankNet to LambdaRank to LambdaMART: An overview,” Microsoft Research, Tech. Rep. MSR-TR-2010-82, 2010.</w:t>
      </w:r>
    </w:p>
    <w:p w14:paraId="5A964090">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[6] X. Yang, W. Liu, D. Zhou, J. Bian, and T.-Y. Liu, “Qlib: An AI-oriented quantitative investment platform,” arXiv:2009.11189, 2020.</w:t>
      </w:r>
    </w:p>
    <w:p w14:paraId="608A6E1F">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[7] C. R. Harris et al., “Array programming with NumPy,” Nature, vol. 585, pp. 357–362, 2020.</w:t>
      </w:r>
    </w:p>
    <w:p w14:paraId="4EAC3EB1">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[8] P. Virtanen et al., “SciPy 1.0: Fundamental algorithms for scientific computing in Python,” Nature Methods, vol. 17, pp. 261–272, 2020.</w:t>
      </w:r>
    </w:p>
    <w:p w14:paraId="5FFECA4A">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[9] A. Paszke et al., “PyTorch: An imperative style, high-performance deep learning library,” in Advances in Neural Information Processing Systems, vol. 32, 2019.</w:t>
      </w:r>
    </w:p>
    <w:p w14:paraId="3ECB1A2F">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[10] W. McKinney, “Data structures for statistical computing in Python,” in Proc. 9th Python in Science Conf. (SciPy), Austin, TX, USA, 2010, pp. 56–61.</w:t>
      </w:r>
    </w:p>
    <w:p w14:paraId="2BAAFE8D">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6.2 数据源与竞赛资料</w:t>
      </w:r>
    </w:p>
    <w:p w14:paraId="1516BB3C">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[11] 南京大学，“2026友安杯‘人工智能+’大学生创新技能挑战赛，”竞赛主办信息，2026。具体章程以组委会公布文本为准。</w:t>
      </w:r>
    </w:p>
    <w:p w14:paraId="28501565">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[12] 靖戈（赛题单位），“企业命题课题1（标签y1）：横截面RankIC评价与提交说明，”赛题资料，2026。数据为官方发放股票面板，仅用于本届指定赛题，不入库、不转售。</w:t>
      </w:r>
    </w:p>
    <w:p w14:paraId="06069AF4">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[13] 靖戈提交平台，“课题一预测提交，”2026. [Online]. Available: https://satc.jingle.ai/ ; https://satc.jingle.ai/submit. [Accessed: Sep. 17, 2026].</w:t>
      </w:r>
    </w:p>
    <w:p w14:paraId="4CE3FC6C">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[14] 《参赛团队数据资料保密承诺书》，赛题配套材料。用途与留存期限以该承诺书及组委会通知为准。</w:t>
      </w:r>
    </w:p>
    <w:p w14:paraId="64FA0596">
      <w:pPr>
        <w:spacing w:before="200" w:after="120" w:line="360" w:lineRule="auto"/>
        <w:rPr>
          <w:rFonts w:hint="eastAsia" w:ascii="仿宋" w:hAnsi="仿宋" w:eastAsia="仿宋" w:cs="仿宋"/>
          <w:sz w:val="28"/>
          <w:szCs w:val="28"/>
        </w:rPr>
      </w:pPr>
      <w:r>
        <w:rPr>
          <w:rFonts w:hint="eastAsia" w:ascii="仿宋" w:hAnsi="仿宋" w:eastAsia="仿宋" w:cs="仿宋"/>
          <w:b/>
          <w:sz w:val="28"/>
          <w:szCs w:val="28"/>
        </w:rPr>
        <w:t>6.3 软件与工具</w:t>
      </w:r>
    </w:p>
    <w:p w14:paraId="3E7EDE2F">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[15] Python Software Foundation, Python. [Online]. Available: https://www.python.org/</w:t>
      </w:r>
    </w:p>
    <w:p w14:paraId="59B77A99">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[16] NumPy Developers, NumPy. [Online]. Available: https://numpy.org/</w:t>
      </w:r>
    </w:p>
    <w:p w14:paraId="34D2ED7B">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[17] pandas Development Team, pandas. [Online]. Available: https://pandas.pydata.org/</w:t>
      </w:r>
    </w:p>
    <w:p w14:paraId="7AE83516">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[18] SciPy Developers, SciPy. [Online]. Available: https://scipy.org/</w:t>
      </w:r>
    </w:p>
    <w:p w14:paraId="355CC6F7">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[19] Microsoft, LightGBM. [Online]. Available: https://github.com/microsoft/LightGBM</w:t>
      </w:r>
    </w:p>
    <w:p w14:paraId="3940A828">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[20] PyTorch Foundation, PyTorch. [Online]. Available: https://pytorch.org/</w:t>
      </w:r>
    </w:p>
    <w:p w14:paraId="171E40AE">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[21] The YAML Project, PyYAML. [Online]. Available: https://github.com/yaml/pyyaml</w:t>
      </w:r>
    </w:p>
    <w:p w14:paraId="02996ADA">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[22] Facebook, zstd. [Online]. Available: https://github.com/facebook/zstd</w:t>
      </w:r>
    </w:p>
    <w:p w14:paraId="0EDD252C">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[23] Software Freedom Conservancy, Git. [Online]. Available: https://git-scm.com/</w:t>
      </w:r>
    </w:p>
    <w:p w14:paraId="1B004BF2">
      <w:pPr>
        <w:spacing w:before="0" w:after="80" w:line="360" w:lineRule="auto"/>
        <w:ind w:left="420" w:hanging="420"/>
        <w:jc w:val="both"/>
        <w:rPr>
          <w:rFonts w:hint="eastAsia" w:ascii="仿宋" w:hAnsi="仿宋" w:eastAsia="仿宋" w:cs="仿宋"/>
          <w:sz w:val="24"/>
          <w:szCs w:val="24"/>
        </w:rPr>
      </w:pPr>
      <w:r>
        <w:rPr>
          <w:rFonts w:hint="eastAsia" w:ascii="仿宋" w:hAnsi="仿宋" w:eastAsia="仿宋" w:cs="仿宋"/>
          <w:b w:val="0"/>
          <w:sz w:val="24"/>
          <w:szCs w:val="24"/>
        </w:rPr>
        <w:t>[24] 本队项目源代码（MIT License，2026）。预测文件与赛题数据按版本忽略规则不纳入公开提交包。</w:t>
      </w:r>
    </w:p>
    <w:p w14:paraId="6C6B89A4">
      <w:pPr>
        <w:spacing w:before="0" w:after="120" w:line="360" w:lineRule="auto"/>
        <w:jc w:val="both"/>
        <w:rPr>
          <w:rFonts w:hint="eastAsia" w:ascii="仿宋" w:hAnsi="仿宋" w:eastAsia="仿宋" w:cs="仿宋"/>
          <w:sz w:val="24"/>
          <w:szCs w:val="24"/>
        </w:rPr>
      </w:pPr>
      <w:r>
        <w:rPr>
          <w:rFonts w:hint="eastAsia" w:ascii="仿宋" w:hAnsi="仿宋" w:eastAsia="仿宋" w:cs="仿宋"/>
          <w:b w:val="0"/>
          <w:sz w:val="24"/>
          <w:szCs w:val="24"/>
        </w:rPr>
        <w:t>核心依赖见仓库requirements.txt。读数方式以赛题说明为准。本参考文献不出现参赛队员或指导教师姓名。</w:t>
      </w:r>
    </w:p>
    <w:sectPr>
      <w:headerReference w:type="default" r:id="rId10"/>
      <w:footerReference w:type="default" r:id="rId11"/>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1F653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仿宋"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3643</Words>
  <Characters>3861</Characters>
  <Lines>0</Lines>
  <Paragraphs>0</Paragraphs>
  <TotalTime>1</TotalTime>
  <ScaleCrop>false</ScaleCrop>
  <LinksUpToDate>false</LinksUpToDate>
  <CharactersWithSpaces>3905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陈梓豪</cp:lastModifiedBy>
  <dcterms:modified xsi:type="dcterms:W3CDTF">2026-09-16T16:46:20Z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eyJoZGlkIjoiYzlkMTYyMmQ5MTI1MGYxNGU4Nzk3YTUwYjE2YzBiYTEiLCJ1c2VySWQiOiIxNzMzMDIyMTE4In0=</vt:lpwstr>
  </property>
  <property fmtid="{D5CDD505-2E9C-101B-9397-08002B2CF9AE}" pid="3" name="KSOProductBuildVer">
    <vt:lpwstr>2052-12.1.0.28505</vt:lpwstr>
  </property>
  <property fmtid="{D5CDD505-2E9C-101B-9397-08002B2CF9AE}" pid="4" name="ICV">
    <vt:lpwstr>D9DF39AF8EE2467BBBCA325CF0BD6702_12</vt:lpwstr>
  </property>
</Properties>
</file>