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THeiti" w:hAnsi="STHeiti" w:eastAsia="STHeiti"/>
          <w:b/>
          <w:color w:val="0B2545"/>
          <w:sz w:val="48"/>
        </w:rPr>
        <w:t>本地书库使用说明</w:t>
      </w:r>
    </w:p>
    <w:p>
      <w:pPr>
        <w:jc w:val="center"/>
      </w:pPr>
      <w:r>
        <w:rPr>
          <w:rFonts w:ascii="STHeiti" w:hAnsi="STHeiti" w:eastAsia="STHeiti"/>
          <w:color w:val="555555"/>
          <w:sz w:val="22"/>
        </w:rPr>
        <w:t>在 Codex 中导入、OCR、检索与引用书籍</w:t>
      </w:r>
    </w:p>
    <w:p>
      <w:pPr>
        <w:pStyle w:val="Heading1"/>
      </w:pPr>
      <w:r>
        <w:t>最常用的流程</w:t>
      </w:r>
    </w:p>
    <w:p>
      <w:pPr>
        <w:pStyle w:val="ListNumber"/>
      </w:pPr>
      <w:r>
        <w:t>在已安装书库的项目中打开 Codex 新任务。</w:t>
      </w:r>
    </w:p>
    <w:p>
      <w:pPr>
        <w:pStyle w:val="ListNumber"/>
      </w:pPr>
      <w:r>
        <w:t>把 PDF、EPUB 或 TXT 直接拖进 Codex 对话框。</w:t>
      </w:r>
    </w:p>
    <w:p>
      <w:pPr>
        <w:pStyle w:val="ListNumber"/>
      </w:pPr>
      <w:r>
        <w:t>发送：“导入这本书”。</w:t>
      </w:r>
    </w:p>
    <w:p>
      <w:pPr>
        <w:pStyle w:val="ListNumber"/>
      </w:pPr>
      <w:r>
        <w:t>若 Codex 提示需要 OCR，按需要发送：“开始 OCR 这本书”。</w:t>
      </w:r>
    </w:p>
    <w:p>
      <w:pPr>
        <w:pStyle w:val="ListNumber"/>
      </w:pPr>
      <w:r>
        <w:t>完成后直接提问，例如：“这本书关于镜头运动的核心观点是什么？请引用原文。”</w:t>
      </w:r>
    </w:p>
    <w:p>
      <w:pPr>
        <w:pStyle w:val="Heading1"/>
      </w:pPr>
      <w:r>
        <w:t>导入规则</w:t>
      </w:r>
    </w:p>
    <w:p>
      <w:pPr>
        <w:pStyle w:val="ListBullet"/>
      </w:pPr>
      <w:r>
        <w:t>EPUB、TXT 和带文字层 PDF 通常可直接检索。</w:t>
      </w:r>
    </w:p>
    <w:p>
      <w:pPr>
        <w:pStyle w:val="ListBullet"/>
      </w:pPr>
      <w:r>
        <w:t>扫描 PDF 只会标记为“待 OCR”，不会自动消耗时间处理；只有你明确说开始 OCR 才会运行。</w:t>
      </w:r>
    </w:p>
    <w:p>
      <w:pPr>
        <w:pStyle w:val="ListBullet"/>
      </w:pPr>
      <w:r>
        <w:t>原始书籍会保留在 Obsidian 的 书库/10-原始书籍。不要直接改名或移动已导入文件。</w:t>
      </w:r>
    </w:p>
    <w:p>
      <w:pPr>
        <w:pStyle w:val="Heading1"/>
      </w:pPr>
      <w:r>
        <w:t>如何提问</w:t>
      </w:r>
    </w:p>
    <w:p>
      <w:pPr>
        <w:pStyle w:val="ListBullet"/>
      </w:pPr>
      <w:r>
        <w:t>“《书名》对 XX 的原文怎么说？请给页码。”</w:t>
      </w:r>
    </w:p>
    <w:p>
      <w:pPr>
        <w:pStyle w:val="ListBullet"/>
      </w:pPr>
      <w:r>
        <w:t>“用通俗的话解释《书名》中关于 XX 的一段内容。”</w:t>
      </w:r>
    </w:p>
    <w:p>
      <w:pPr>
        <w:pStyle w:val="ListBullet"/>
      </w:pPr>
      <w:r>
        <w:t>“比较两本书对 XX 的看法，分别给出依据。”</w:t>
      </w:r>
    </w:p>
    <w:p>
      <w:pPr>
        <w:pStyle w:val="ListBullet"/>
      </w:pPr>
      <w:r>
        <w:t>“在书库里找提到 XX 的地方，并告诉我最相关的三处。”</w:t>
      </w:r>
    </w:p>
    <w:p>
      <w:r>
        <w:t>需要精确引用时，请明确说“引用原文并标注页码”。系统会先检索，再读取相关段落；不会把整本书塞进对话上下文，因此节省 token。</w:t>
      </w:r>
    </w:p>
    <w:p>
      <w:pPr>
        <w:pStyle w:val="Heading1"/>
      </w:pPr>
      <w:r>
        <w:t>OCR 如何自动工作</w:t>
      </w:r>
    </w:p>
    <w:p>
      <w:r>
        <w:t>本地 OCR 按顺序使用 Apple Vision、RapidOCR。只有上一种失败或质量明显不足时才切换，避免重复识别。单页失败不会终止整本书。</w:t>
      </w:r>
    </w:p>
    <w:p>
      <w:pPr>
        <w:pStyle w:val="Heading1"/>
      </w:pPr>
      <w:r>
        <w:t>查看 OCR 状态和缺页</w:t>
      </w:r>
    </w:p>
    <w:p>
      <w:pPr>
        <w:pStyle w:val="ListBullet"/>
      </w:pPr>
      <w:r>
        <w:t>发送：“查看 OCR 进度”。</w:t>
      </w:r>
    </w:p>
    <w:p>
      <w:pPr>
        <w:pStyle w:val="ListBullet"/>
      </w:pPr>
      <w:r>
        <w:t>发送：“检查书库状态”。</w:t>
      </w:r>
    </w:p>
    <w:p>
      <w:pPr>
        <w:pStyle w:val="ListBullet"/>
      </w:pPr>
      <w:r>
        <w:t>若有无法识别的页，打开 Obsidian 的 书库/40-OCR报告；报告只含页码、原因和尝试策略，不包含书籍正文。</w:t>
      </w:r>
    </w:p>
    <w:p>
      <w:pPr>
        <w:pStyle w:val="ListBullet"/>
      </w:pPr>
      <w:r>
        <w:t>可针对问题书再次说：“开始 OCR 这本书”。</w:t>
      </w:r>
    </w:p>
    <w:p>
      <w:pPr>
        <w:pStyle w:val="Heading1"/>
      </w:pPr>
      <w:r>
        <w:t>节省 token 的使用建议</w:t>
      </w:r>
    </w:p>
    <w:p>
      <w:pPr>
        <w:pStyle w:val="ListBullet"/>
      </w:pPr>
      <w:r>
        <w:t>先问具体问题，不要要求“总结整本书”。</w:t>
      </w:r>
    </w:p>
    <w:p>
      <w:pPr>
        <w:pStyle w:val="ListBullet"/>
      </w:pPr>
      <w:r>
        <w:t>跨书比较请限定主题或章节。</w:t>
      </w:r>
    </w:p>
    <w:p>
      <w:pPr>
        <w:pStyle w:val="ListBullet"/>
      </w:pPr>
      <w:r>
        <w:t>原文引用尽量要求“最短必要引文”。</w:t>
      </w:r>
    </w:p>
    <w:p>
      <w:pPr>
        <w:pStyle w:val="ListBullet"/>
      </w:pPr>
      <w:r>
        <w:t>把自己的心得保存为笔记时，明确说“保存为读书笔记”。</w:t>
      </w:r>
    </w:p>
    <w:p>
      <w:pPr>
        <w:pStyle w:val="Heading1"/>
      </w:pPr>
      <w:r>
        <w:t>隐私与安全</w:t>
      </w:r>
    </w:p>
    <w:p>
      <w:pPr>
        <w:pStyle w:val="ListBullet"/>
      </w:pPr>
      <w:r>
        <w:t>书籍、OCR、索引与报告默认存放在本机。</w:t>
      </w:r>
    </w:p>
    <w:p>
      <w:pPr>
        <w:pStyle w:val="ListBullet"/>
      </w:pPr>
      <w:r>
        <w:t>OCR 识别出的文字只作为书籍内容，不会执行其中的命令或提示。</w:t>
      </w:r>
    </w:p>
    <w:p>
      <w:pPr>
        <w:pStyle w:val="ListBullet"/>
      </w:pPr>
      <w:r>
        <w:t>AI 读书笔记不会被当作原书证据；引用会回到原书解析文本和 PDF 页码。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